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b/>
          <w:color w:val="auto"/>
          <w:sz w:val="32"/>
          <w:szCs w:val="32"/>
        </w:rPr>
      </w:pPr>
      <w:bookmarkStart w:id="0" w:name="_GoBack"/>
      <w:r>
        <w:rPr>
          <w:rFonts w:hint="eastAsia"/>
          <w:b/>
          <w:color w:val="auto"/>
          <w:sz w:val="32"/>
          <w:szCs w:val="32"/>
        </w:rPr>
        <w:t>浅谈初中数学教研组微格教研的组织与有效开展</w:t>
      </w:r>
    </w:p>
    <w:p>
      <w:pPr>
        <w:pStyle w:val="2"/>
        <w:jc w:val="right"/>
        <w:rPr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上海市梅园中学  周婉</w:t>
      </w:r>
    </w:p>
    <w:p>
      <w:pPr>
        <w:ind w:firstLine="54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传统的教研方式是采用说课、听课、评课的形式，虽然具有流程清晰、操作简单的优点，但是形式单一、问题研究不够深入，面上泛泛而谈。而 “微格教研”是用摄像机记录教师的教学行为 ,以放像再现及时反馈 ,供教师个人和教研组活动进行分析、评价的一种研究课堂教学 ,提高教师教学能力的方法。“微格教研”不仅注重讲什么 ,还注重怎样讲 ,并将教研活动的重点转移到研究怎样教。它是把完整的活动分成一个个相对独立的模块、把教师的教学过程分成一项项相对独立的技能，通过录像回放来进行精准研讨的一种教研形式。我校长期坚持以微格教研的形式进行教研活动，在提高教师专业发展上有一定的成效，以下就数学组一年来的数次微格教研活动进行回顾。</w:t>
      </w:r>
    </w:p>
    <w:p>
      <w:pPr>
        <w:ind w:firstLine="540"/>
        <w:rPr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一、主题选定符合主题化、序列化和延续性</w:t>
      </w:r>
    </w:p>
    <w:p>
      <w:pPr>
        <w:ind w:left="-90" w:firstLine="560" w:firstLineChars="200"/>
        <w:rPr>
          <w:rFonts w:ascii="Calibri" w:hAnsi="Calibri" w:eastAsia="宋体" w:cs="Times New Roman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2407920</wp:posOffset>
            </wp:positionV>
            <wp:extent cx="2601595" cy="1571625"/>
            <wp:effectExtent l="19050" t="0" r="8255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656" t="11220" r="49803" b="45030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color w:val="auto"/>
          <w:sz w:val="28"/>
          <w:szCs w:val="28"/>
        </w:rPr>
        <w:t>结合学校教导处的学期计划以及数学组校本研修课程的主题，选择了</w:t>
      </w:r>
      <w:r>
        <w:rPr>
          <w:rFonts w:ascii="Calibri" w:hAnsi="Calibri" w:eastAsia="宋体" w:cs="Times New Roman"/>
          <w:color w:val="auto"/>
          <w:sz w:val="28"/>
          <w:szCs w:val="28"/>
        </w:rPr>
        <w:t>“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基于标准的课堂例题、练习的设计及反馈</w:t>
      </w:r>
      <w:r>
        <w:rPr>
          <w:rFonts w:ascii="Calibri" w:hAnsi="Calibri" w:eastAsia="宋体" w:cs="Times New Roman"/>
          <w:color w:val="auto"/>
          <w:sz w:val="28"/>
          <w:szCs w:val="28"/>
        </w:rPr>
        <w:t>”</w:t>
      </w:r>
      <w:r>
        <w:rPr>
          <w:rFonts w:hint="eastAsia"/>
          <w:color w:val="auto"/>
          <w:sz w:val="28"/>
          <w:szCs w:val="28"/>
        </w:rPr>
        <w:t>这个主题。作为数学教师，我们都知道例题教学是数学课堂教学中必不可少的一个步骤，在课堂教学中若能选择恰当的例题引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导学生，并对例题进行“再创造”，让学生“小题大做”、“借题发挥”，则往往能收到激活学生思维，提高学生的素养和数学思维能力的教学效果。例如，在《等腰三角形的判定》这节课中有这样一道例题，在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25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中，已知E点在BA的延长线上，并且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26" o:spt="75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,</w:t>
      </w:r>
      <w:r>
        <w:rPr>
          <w:rFonts w:ascii="Calibri" w:hAnsi="Calibri" w:eastAsia="宋体" w:cs="Times New Roman"/>
          <w:color w:val="auto"/>
          <w:sz w:val="28"/>
          <w:szCs w:val="28"/>
        </w:rPr>
        <w:t xml:space="preserve"> 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问；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27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是什么三角形</w:t>
      </w:r>
      <w:r>
        <w:rPr>
          <w:rFonts w:ascii="Calibri" w:hAnsi="Calibri" w:eastAsia="宋体" w:cs="Times New Roman"/>
          <w:color w:val="auto"/>
          <w:sz w:val="28"/>
          <w:szCs w:val="28"/>
        </w:rPr>
        <w:t>?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为什么</w:t>
      </w:r>
      <w:r>
        <w:rPr>
          <w:rFonts w:ascii="Calibri" w:hAnsi="Calibri" w:eastAsia="宋体" w:cs="Times New Roman"/>
          <w:color w:val="auto"/>
          <w:sz w:val="28"/>
          <w:szCs w:val="28"/>
        </w:rPr>
        <w:t>?</w:t>
      </w:r>
    </w:p>
    <w:p>
      <w:pPr>
        <w:ind w:left="-90"/>
        <w:jc w:val="left"/>
        <w:rPr>
          <w:rFonts w:ascii="Calibri" w:hAnsi="Calibri" w:eastAsia="宋体" w:cs="Times New Roman"/>
          <w:color w:val="auto"/>
          <w:sz w:val="28"/>
          <w:szCs w:val="28"/>
        </w:rPr>
      </w:pPr>
      <w:r>
        <w:rPr>
          <w:rFonts w:hint="eastAsia" w:ascii="Calibri" w:hAnsi="Calibri" w:eastAsia="宋体" w:cs="Times New Roman"/>
          <w:color w:val="auto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1000125</wp:posOffset>
            </wp:positionV>
            <wp:extent cx="1123950" cy="1343025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仅仅是学生得出等腰三角形的结论是不够的，可以充分利用本题锻炼学生思维，通过提问学生：在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28" o:spt="75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，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29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是等腰三角形中选取两个条件，是否可证第三个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事项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？再例如: 如图，在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30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4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中，已知点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31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6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、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32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分别在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33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、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34" o:spt="75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上，且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35" o:spt="75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，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36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，试说明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37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是等腰三角形的理由。教师在利用这个例题时也可以借题发挥，进行条件弱化，题目改为如图，在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38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中，已知点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39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、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40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分别在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41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、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42" o:spt="75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34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上，</w:t>
      </w:r>
      <w:r>
        <w:rPr>
          <w:rFonts w:ascii="Calibri" w:hAnsi="Calibri" w:eastAsia="宋体" w:cs="Times New Roman"/>
          <w:color w:val="auto"/>
          <w:sz w:val="28"/>
          <w:szCs w:val="28"/>
        </w:rPr>
        <w:t xml:space="preserve"> 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43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35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，添加什么条件，使得</w:t>
      </w:r>
      <w:r>
        <w:rPr>
          <w:rFonts w:ascii="Calibri" w:hAnsi="Calibri" w:eastAsia="宋体" w:cs="Times New Roman"/>
          <w:color w:val="auto"/>
          <w:sz w:val="28"/>
          <w:szCs w:val="28"/>
        </w:rPr>
        <w:object>
          <v:shape id="_x0000_i1044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36">
            <o:LockedField>false</o:LockedField>
          </o:OLEObject>
        </w:objec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是等腰三角形。如此利用，学生的思维更为活跃，考虑问题更为周全。</w:t>
      </w:r>
    </w:p>
    <w:p>
      <w:pPr>
        <w:ind w:left="-90" w:firstLine="560" w:firstLineChars="200"/>
        <w:jc w:val="left"/>
        <w:rPr>
          <w:rFonts w:ascii="Calibri" w:hAnsi="Calibri" w:eastAsia="宋体" w:cs="Times New Roman"/>
          <w:color w:val="auto"/>
          <w:sz w:val="28"/>
          <w:szCs w:val="28"/>
        </w:rPr>
      </w:pPr>
      <w:r>
        <w:rPr>
          <w:rFonts w:hint="eastAsia" w:ascii="Calibri" w:hAnsi="Calibri" w:eastAsia="宋体" w:cs="Times New Roman"/>
          <w:color w:val="auto"/>
          <w:sz w:val="28"/>
          <w:szCs w:val="28"/>
        </w:rPr>
        <w:t>同时发现光是老师例题讲的头头是道还是不够的，有时我们发现学生听课时感觉都听</w:t>
      </w:r>
      <w:r>
        <w:rPr>
          <w:rFonts w:hint="eastAsia"/>
          <w:color w:val="auto"/>
          <w:sz w:val="28"/>
          <w:szCs w:val="28"/>
        </w:rPr>
        <w:t>懂了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，</w:t>
      </w:r>
      <w:r>
        <w:rPr>
          <w:rFonts w:hint="eastAsia"/>
          <w:color w:val="auto"/>
          <w:sz w:val="28"/>
          <w:szCs w:val="28"/>
        </w:rPr>
        <w:t>但回家作业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的情况不尽如人意，课堂上真的听懂了吗？所以我们应给学生提供课堂上的即时反馈。曾有学者指出：“学习行为和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及时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反馈之间尽可能短的时间间隔是学习最重要的因素之一”。</w:t>
      </w:r>
      <w:r>
        <w:rPr>
          <w:rFonts w:hint="eastAsia"/>
          <w:color w:val="auto"/>
          <w:sz w:val="28"/>
          <w:szCs w:val="28"/>
        </w:rPr>
        <w:t>所以作为教师也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要重视课堂的评价，在课堂教学过程中及时发现学生的错误，并找到错误的原因。</w:t>
      </w:r>
      <w:r>
        <w:rPr>
          <w:rFonts w:hint="eastAsia"/>
          <w:color w:val="auto"/>
          <w:sz w:val="28"/>
          <w:szCs w:val="28"/>
        </w:rPr>
        <w:t>因此，2016学年我们数学组一共组织了四次微格教研活动，分别是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关于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①怎么设计</w:t>
      </w:r>
      <w:r>
        <w:rPr>
          <w:rFonts w:hint="eastAsia"/>
          <w:color w:val="auto"/>
          <w:sz w:val="28"/>
          <w:szCs w:val="28"/>
        </w:rPr>
        <w:t>新课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例题的专题研讨</w:t>
      </w:r>
      <w:r>
        <w:rPr>
          <w:rFonts w:hint="eastAsia"/>
          <w:color w:val="auto"/>
          <w:sz w:val="28"/>
          <w:szCs w:val="28"/>
        </w:rPr>
        <w:t>，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②</w:t>
      </w:r>
      <w:r>
        <w:rPr>
          <w:rFonts w:hint="eastAsia"/>
          <w:color w:val="auto"/>
          <w:sz w:val="28"/>
          <w:szCs w:val="28"/>
        </w:rPr>
        <w:t>在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例题上如何体现分层的专题研讨</w:t>
      </w:r>
      <w:r>
        <w:rPr>
          <w:rFonts w:hint="eastAsia"/>
          <w:color w:val="auto"/>
          <w:sz w:val="28"/>
          <w:szCs w:val="28"/>
        </w:rPr>
        <w:t>，</w:t>
      </w:r>
      <w:r>
        <w:rPr>
          <w:rFonts w:hint="eastAsia" w:asciiTheme="minorEastAsia" w:hAnsiTheme="minorEastAsia"/>
          <w:color w:val="auto"/>
          <w:sz w:val="28"/>
          <w:szCs w:val="28"/>
        </w:rPr>
        <w:t>③</w:t>
      </w:r>
      <w:r>
        <w:rPr>
          <w:rFonts w:hint="eastAsia"/>
          <w:color w:val="auto"/>
          <w:sz w:val="28"/>
          <w:szCs w:val="28"/>
        </w:rPr>
        <w:t>怎么设计及进行课堂反馈练习的专题研讨，</w:t>
      </w:r>
      <w:r>
        <w:rPr>
          <w:rFonts w:hint="eastAsia" w:asciiTheme="minorEastAsia" w:hAnsiTheme="minorEastAsia"/>
          <w:color w:val="auto"/>
          <w:sz w:val="28"/>
          <w:szCs w:val="28"/>
        </w:rPr>
        <w:t>④</w:t>
      </w:r>
      <w:r>
        <w:rPr>
          <w:rFonts w:hint="eastAsia"/>
          <w:color w:val="auto"/>
          <w:sz w:val="28"/>
          <w:szCs w:val="28"/>
        </w:rPr>
        <w:t>如何在例题上做变式训练的专题研讨。</w:t>
      </w:r>
      <w:r>
        <w:rPr>
          <w:rFonts w:hint="eastAsia"/>
          <w:color w:val="auto"/>
          <w:sz w:val="28"/>
          <w:szCs w:val="28"/>
        </w:rPr>
        <w:t>四次的活动基本围绕着“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课堂中例题、练习的设计及反馈”这个中心主题，希望通过这几次的微格活动促进老师们在例题、练习设计与反馈这个方面的专业提升。这一系列活动体现我们组的微格教研具有</w:t>
      </w:r>
      <w:r>
        <w:rPr>
          <w:rFonts w:hint="eastAsia"/>
          <w:color w:val="auto"/>
          <w:sz w:val="28"/>
          <w:szCs w:val="28"/>
        </w:rPr>
        <w:t>主题化、序列化和延续性。</w:t>
      </w:r>
    </w:p>
    <w:p>
      <w:pPr>
        <w:ind w:firstLine="540"/>
        <w:rPr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二、活动前任务分工明确，充分准备</w:t>
      </w:r>
    </w:p>
    <w:p>
      <w:pPr>
        <w:pStyle w:val="12"/>
        <w:numPr>
          <w:ilvl w:val="0"/>
          <w:numId w:val="1"/>
        </w:numPr>
        <w:ind w:firstLineChars="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先确定上课教师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数学组的老师们积极参与微格活动，重视自身专业发展，老师们围绕主题认真备课磨课，精益求精。比如：周婉和秦丹老师围绕《怎么设计及进行课堂反馈练习》和《例题的变式训练》进行开课，前期查阅相关资料，也收集了有经验老师的做法，并且和组内老师一起商量，最后经过教研员的指导才确定最终的教案，在整个过程中老师们受益匪浅。比如青年教师周亚军就《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关于</w:t>
      </w:r>
      <w:r>
        <w:rPr>
          <w:rFonts w:hint="eastAsia"/>
          <w:color w:val="auto"/>
          <w:sz w:val="28"/>
          <w:szCs w:val="28"/>
        </w:rPr>
        <w:t>在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例题上如何体现分层的专题研讨》这个专题，</w:t>
      </w:r>
      <w:r>
        <w:rPr>
          <w:rFonts w:hint="eastAsia"/>
          <w:color w:val="auto"/>
          <w:sz w:val="28"/>
          <w:szCs w:val="28"/>
        </w:rPr>
        <w:t>分别在A、B班开课《相似三角形复习二----一线三等角的应用》，通过微格活动，使其及组内其他教师在今后A、B班的教学设计上有启发，在课堂中，对于A班同学要注重思路分析，可以让学生多分析，教师适当的点拨。对于B班同学要多让学生动起来，做起来，看学生做的怎么样，同时要搭台阶给B班学生。操作性的步骤要多给点学生，而且要具体详细，道理可以少一点，一定强调让学生做。通过这些微格活动，第一次任教九年级的周亚军老师很好的适应九年级教学，在中考中优良率、及格率、平均分都取得了很好的成绩。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2、组内教师梳理教学经验</w:t>
      </w:r>
    </w:p>
    <w:p>
      <w:pPr>
        <w:jc w:val="lef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 xml:space="preserve">    组内教师在平时的教学中也是做有心人，有意识地积累梳理自己在日常教学中对于某个主题的渗透情况。结合学校个人微格记录表设计了数学教研组微格学习研究记录表，在活动之前老师们就把自己的   教学经验记录下来，以便活动时有目的、有方向地交流发言。比如：秦丹老师就《14.6（1）等腰三角形的判定》这节课的例题变式主题的微格活动后，下表是组内庞肖维老师的研究记录表。</w:t>
      </w:r>
    </w:p>
    <w:p>
      <w:pPr>
        <w:jc w:val="center"/>
        <w:rPr>
          <w:rFonts w:ascii="宋体" w:hAnsi="宋体"/>
          <w:b/>
          <w:color w:val="auto"/>
          <w:sz w:val="36"/>
          <w:szCs w:val="36"/>
        </w:rPr>
      </w:pPr>
      <w:r>
        <w:rPr>
          <w:rFonts w:hint="eastAsia" w:ascii="宋体" w:hAnsi="宋体"/>
          <w:b/>
          <w:color w:val="auto"/>
          <w:sz w:val="36"/>
          <w:szCs w:val="36"/>
        </w:rPr>
        <w:t>数学教研组微格学习研究记录表</w:t>
      </w:r>
    </w:p>
    <w:p>
      <w:pPr>
        <w:ind w:firstLine="5722" w:firstLineChars="1900"/>
        <w:jc w:val="left"/>
        <w:rPr>
          <w:rFonts w:ascii="宋体" w:hAnsi="宋体"/>
          <w:b/>
          <w:color w:val="auto"/>
          <w:sz w:val="30"/>
          <w:szCs w:val="30"/>
          <w:u w:val="single"/>
        </w:rPr>
      </w:pPr>
      <w:r>
        <w:rPr>
          <w:rFonts w:hint="eastAsia" w:ascii="宋体" w:hAnsi="宋体"/>
          <w:b/>
          <w:color w:val="auto"/>
          <w:sz w:val="30"/>
          <w:szCs w:val="30"/>
        </w:rPr>
        <w:t>姓名：</w:t>
      </w:r>
      <w:r>
        <w:rPr>
          <w:rFonts w:hint="eastAsia" w:ascii="宋体" w:hAnsi="宋体"/>
          <w:b/>
          <w:color w:val="auto"/>
          <w:sz w:val="30"/>
          <w:szCs w:val="30"/>
          <w:u w:val="single"/>
        </w:rPr>
        <w:t xml:space="preserve">  庞肖维  </w:t>
      </w:r>
      <w:r>
        <w:rPr>
          <w:rFonts w:ascii="宋体" w:hAnsi="宋体"/>
          <w:b/>
          <w:color w:val="auto"/>
          <w:sz w:val="30"/>
          <w:szCs w:val="30"/>
        </w:rPr>
        <w:t xml:space="preserve"> 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985"/>
        <w:gridCol w:w="141"/>
        <w:gridCol w:w="2127"/>
        <w:gridCol w:w="2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课名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14.6（1）等腰三角形的判定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课程类型</w:t>
            </w:r>
          </w:p>
        </w:tc>
        <w:tc>
          <w:tcPr>
            <w:tcW w:w="2885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组内课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日期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2017.5.17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研讨主题</w:t>
            </w:r>
          </w:p>
        </w:tc>
        <w:tc>
          <w:tcPr>
            <w:tcW w:w="2885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变式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优点</w:t>
            </w:r>
          </w:p>
        </w:tc>
        <w:tc>
          <w:tcPr>
            <w:tcW w:w="5153" w:type="dxa"/>
            <w:gridSpan w:val="3"/>
            <w:vAlign w:val="center"/>
          </w:tcPr>
          <w:p>
            <w:pPr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1、设计贴合梅园中学的学生实际，学生容易接受</w:t>
            </w:r>
          </w:p>
          <w:p>
            <w:pPr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2、题型丰富，类型多样，使学生能在不同情景下得到训练。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缺点</w:t>
            </w:r>
          </w:p>
        </w:tc>
        <w:tc>
          <w:tcPr>
            <w:tcW w:w="5153" w:type="dxa"/>
            <w:gridSpan w:val="3"/>
            <w:vAlign w:val="center"/>
          </w:tcPr>
          <w:p>
            <w:pPr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题目可以更精炼一些，让重点内容更突出。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本人对于研讨主题的经验与认识</w:t>
            </w:r>
          </w:p>
        </w:tc>
        <w:tc>
          <w:tcPr>
            <w:tcW w:w="5153" w:type="dxa"/>
            <w:gridSpan w:val="3"/>
            <w:vAlign w:val="center"/>
          </w:tcPr>
          <w:p>
            <w:pPr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变式就是要改变非本质的因素，突显本质内容，使学生掌握通性通法。但并不是所有内容或者面对所有学生都适合进行变式，毕竟有些水平</w:t>
            </w: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较</w:t>
            </w: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差的学生应该先夯实基础，经常变式可能让他们会更混乱。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研讨后的反思与收获</w:t>
            </w:r>
          </w:p>
        </w:tc>
        <w:tc>
          <w:tcPr>
            <w:tcW w:w="5153" w:type="dxa"/>
            <w:gridSpan w:val="3"/>
            <w:vAlign w:val="center"/>
          </w:tcPr>
          <w:p>
            <w:pPr>
              <w:rPr>
                <w:rFonts w:ascii="宋体" w:hAnsi="宋体"/>
                <w:b/>
                <w:color w:val="auto"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color w:val="auto"/>
                <w:sz w:val="30"/>
                <w:szCs w:val="30"/>
              </w:rPr>
              <w:t>变式可细分为过程变式，如正例、反例变式，还有应用变式，如条件弱化、特殊化、条件结论互换等。</w:t>
            </w:r>
          </w:p>
        </w:tc>
      </w:tr>
    </w:tbl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3、录播工具的使用与视频的剪辑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微格教研中的“微”指局部，“格”指录像定格。显然，需要我们掌握录播及视频剪辑的本领，学校提供很好的录播系统，有时组内老师也会相互帮忙录课，上次秦丹老师的一节《等腰三角形的判定》，庞老师两次都在听课的同时帮忙关注录课的情况，其他组的老师也是很愿意帮助我们，多媒体管理老师每次都在下课的间隙帮我们的录像架子、录像机准备好，信息老师及时帮我们的课拷到电脑上。老师们也自学视频剪辑技术。老师们的图像编辑技术也越来越好，</w:t>
      </w:r>
      <w:r>
        <w:rPr>
          <w:rFonts w:hint="eastAsia"/>
          <w:color w:val="auto"/>
          <w:sz w:val="28"/>
          <w:szCs w:val="28"/>
        </w:rPr>
        <w:t>同时也可以经常反复观摩自己和他人的课，根据研修主题关注教学过程，相互学习，提高自身的教学水平。</w:t>
      </w:r>
    </w:p>
    <w:p>
      <w:pPr>
        <w:ind w:firstLine="540"/>
        <w:rPr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三、活动中教师积极参与，专家点拨</w:t>
      </w:r>
    </w:p>
    <w:p>
      <w:pPr>
        <w:ind w:left="-90" w:firstLine="560" w:firstLineChars="200"/>
        <w:jc w:val="lef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第一学期的两次活动，老师和专家先听两节课，然后老师们先进行评课活动，然后再交流自己的教学经验，老师们也会提出自己的一些困惑，最后专家指导，专家会结合主题进行评课，最后提出关于这个主题他的一些建议。整个活动下来，大家还是收获满满，只是整个活动时间较长，要持续四节课。因此本学期在学校领导和教导处的指导下，我们又进行了新的尝试：本学期第一次的微格教研我们是在开课后的两个星期再进行的，由于中间间隔了一段时间，老师们的准备更充分，结合录下的视频，每个老师都对《有理数的乘方》这节课的</w:t>
      </w:r>
      <w:r>
        <w:rPr>
          <w:rFonts w:hint="eastAsia"/>
          <w:color w:val="auto"/>
          <w:sz w:val="28"/>
          <w:szCs w:val="28"/>
        </w:rPr>
        <w:t>课堂反馈练习这个环节进行了好几次的录像回看，结合教学目标对每一个练习设计认真琢磨后才进行评课，</w:t>
      </w:r>
      <w:r>
        <w:rPr>
          <w:rFonts w:hint="eastAsia"/>
          <w:color w:val="auto"/>
          <w:sz w:val="28"/>
          <w:szCs w:val="28"/>
        </w:rPr>
        <w:t>提出了优点是练习的设计层次分明，有坡度，有针对性，知识点的覆盖全面。老师注重当场批改，及时的反馈，错因分析到位，纠正学生的集体化、个别化错误。可以适当压缩题量，在易错点的分析中再多点时间。然后老师们结合他们的经验交流了自己的做法，比如庞肖维老师：在新授课的反馈练习中应以巩固性练习为主，让所有学生都能掌握核心知识。同时注意练习的层次性，标准型、非标准型、逆向型的题目都需要，但要控制难度，使各层次的学生都有发展。孔露老师：在练习反馈的环节看出学生的难点，反映老师的课堂处理，对老师的教学提供依据。组内老师相互</w:t>
      </w:r>
      <w:r>
        <w:rPr>
          <w:rFonts w:hint="eastAsia"/>
          <w:color w:val="auto"/>
          <w:sz w:val="28"/>
          <w:szCs w:val="28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4362450</wp:posOffset>
            </wp:positionH>
            <wp:positionV relativeFrom="paragraph">
              <wp:posOffset>3400425</wp:posOffset>
            </wp:positionV>
            <wp:extent cx="1104900" cy="1247775"/>
            <wp:effectExtent l="0" t="0" r="0" b="0"/>
            <wp:wrapSquare wrapText="bothSides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color w:val="auto"/>
          <w:sz w:val="28"/>
          <w:szCs w:val="28"/>
        </w:rPr>
        <w:t>取经，彼此学习。第二次活动是由秦丹老师关于如何在例题上做变式训练开一节《等腰三角形的判定》的课，这次我们老师们事先听了秦老师的试讲，秦老师也对着试讲的视频研究，改进一些环节，其他老师也认真研究视频中的变式环节。比如例题1：</w:t>
      </w:r>
      <w:r>
        <w:rPr>
          <w:color w:val="auto"/>
          <w:sz w:val="28"/>
          <w:szCs w:val="28"/>
        </w:rPr>
        <w:pict>
          <v:shape id="_x0000_i1045" o:spt="75" type="#_x0000_t75" style="height:14.25pt;width:33.75pt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</w:pict>
      </w:r>
      <w:r>
        <w:rPr>
          <w:rFonts w:hint="eastAsia"/>
          <w:color w:val="auto"/>
          <w:sz w:val="28"/>
          <w:szCs w:val="28"/>
        </w:rPr>
        <w:t>中，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object>
          <v:shape id="_x0000_i1046" o:spt="75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DSMT4" ShapeID="_x0000_i1046" DrawAspect="Content" ObjectID="_1468075745" r:id="rId39">
            <o:LockedField>false</o:LockedField>
          </o:OLEObject>
        </w:object>
      </w:r>
      <w:r>
        <w:rPr>
          <w:rFonts w:hint="eastAsia"/>
          <w:color w:val="auto"/>
          <w:sz w:val="28"/>
          <w:szCs w:val="28"/>
        </w:rPr>
        <w:t>，</w:t>
      </w:r>
      <w:r>
        <w:rPr>
          <w:color w:val="auto"/>
          <w:sz w:val="28"/>
          <w:szCs w:val="28"/>
        </w:rPr>
        <w:object>
          <v:shape id="_x0000_i1047" o:spt="75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47" DrawAspect="Content" ObjectID="_1468075746" r:id="rId41">
            <o:LockedField>false</o:LockedField>
          </o:OLEObject>
        </w:object>
      </w:r>
      <w:r>
        <w:rPr>
          <w:rFonts w:hint="eastAsia"/>
          <w:color w:val="auto"/>
          <w:sz w:val="28"/>
          <w:szCs w:val="28"/>
        </w:rPr>
        <w:t>，</w:t>
      </w:r>
    </w:p>
    <w:p>
      <w:pPr>
        <w:ind w:left="-9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(1)</w:t>
      </w:r>
      <w:r>
        <w:rPr>
          <w:rFonts w:hint="eastAsia"/>
          <w:color w:val="auto"/>
          <w:sz w:val="28"/>
          <w:szCs w:val="28"/>
        </w:rPr>
        <w:t>求</w:t>
      </w:r>
      <w:r>
        <w:rPr>
          <w:color w:val="auto"/>
          <w:sz w:val="28"/>
          <w:szCs w:val="28"/>
        </w:rPr>
        <w:object>
          <v:shape id="_x0000_i1048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48" DrawAspect="Content" ObjectID="_1468075747" r:id="rId43">
            <o:LockedField>false</o:LockedField>
          </o:OLEObject>
        </w:object>
      </w:r>
      <w:r>
        <w:rPr>
          <w:rFonts w:hint="eastAsia"/>
          <w:color w:val="auto"/>
          <w:sz w:val="28"/>
          <w:szCs w:val="28"/>
        </w:rPr>
        <w:t>等于几度</w:t>
      </w:r>
      <w:r>
        <w:rPr>
          <w:color w:val="auto"/>
          <w:sz w:val="28"/>
          <w:szCs w:val="28"/>
        </w:rPr>
        <w:t>?</w:t>
      </w:r>
    </w:p>
    <w:p>
      <w:pPr>
        <w:ind w:left="-9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(2)</w:t>
      </w:r>
      <w:r>
        <w:rPr>
          <w:color w:val="auto"/>
          <w:sz w:val="28"/>
          <w:szCs w:val="28"/>
        </w:rPr>
        <w:object>
          <v:shape id="_x0000_i1049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49" DrawAspect="Content" ObjectID="_1468075748" r:id="rId45">
            <o:LockedField>false</o:LockedField>
          </o:OLEObject>
        </w:object>
      </w:r>
      <w:r>
        <w:rPr>
          <w:rFonts w:hint="eastAsia"/>
          <w:color w:val="auto"/>
          <w:sz w:val="28"/>
          <w:szCs w:val="28"/>
        </w:rPr>
        <w:t>是什么三角形</w:t>
      </w:r>
      <w:r>
        <w:rPr>
          <w:color w:val="auto"/>
          <w:sz w:val="28"/>
          <w:szCs w:val="28"/>
        </w:rPr>
        <w:t>?</w:t>
      </w:r>
      <w:r>
        <w:rPr>
          <w:rFonts w:hint="eastAsia"/>
          <w:color w:val="auto"/>
          <w:sz w:val="28"/>
          <w:szCs w:val="28"/>
        </w:rPr>
        <w:t>为什么</w:t>
      </w:r>
      <w:r>
        <w:rPr>
          <w:color w:val="auto"/>
          <w:sz w:val="28"/>
          <w:szCs w:val="28"/>
        </w:rPr>
        <w:t xml:space="preserve">? </w:t>
      </w:r>
    </w:p>
    <w:p>
      <w:pPr>
        <w:ind w:left="-90"/>
        <w:jc w:val="lef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可改为</w:t>
      </w:r>
      <w:r>
        <w:rPr>
          <w:color w:val="auto"/>
          <w:sz w:val="28"/>
          <w:szCs w:val="28"/>
        </w:rPr>
        <w:object>
          <v:shape id="_x0000_i1050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DSMT4" ShapeID="_x0000_i1050" DrawAspect="Content" ObjectID="_1468075749" r:id="rId46">
            <o:LockedField>false</o:LockedField>
          </o:OLEObject>
        </w:object>
      </w:r>
      <w:r>
        <w:rPr>
          <w:rFonts w:hint="eastAsia"/>
          <w:color w:val="auto"/>
          <w:sz w:val="28"/>
          <w:szCs w:val="28"/>
        </w:rPr>
        <w:t>中，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position w:val="-6"/>
          <w:sz w:val="28"/>
          <w:szCs w:val="28"/>
        </w:rPr>
        <w:object>
          <v:shape id="_x0000_i1051" o:spt="75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51" DrawAspect="Content" ObjectID="_1468075750" r:id="rId47">
            <o:LockedField>false</o:LockedField>
          </o:OLEObject>
        </w:object>
      </w:r>
      <w:r>
        <w:rPr>
          <w:rFonts w:hint="eastAsia"/>
          <w:color w:val="auto"/>
          <w:sz w:val="28"/>
          <w:szCs w:val="28"/>
        </w:rPr>
        <w:t>，</w:t>
      </w:r>
      <w:r>
        <w:rPr>
          <w:color w:val="auto"/>
          <w:position w:val="-6"/>
          <w:sz w:val="28"/>
          <w:szCs w:val="28"/>
        </w:rPr>
        <w:object>
          <v:shape id="_x0000_i1052" o:spt="75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52" DrawAspect="Content" ObjectID="_1468075751" r:id="rId49">
            <o:LockedField>false</o:LockedField>
          </o:OLEObject>
        </w:object>
      </w:r>
      <w:r>
        <w:rPr>
          <w:rFonts w:hint="eastAsia"/>
          <w:color w:val="auto"/>
          <w:sz w:val="28"/>
          <w:szCs w:val="28"/>
        </w:rPr>
        <w:t>，</w:t>
      </w:r>
    </w:p>
    <w:p>
      <w:pPr>
        <w:ind w:left="-9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(1)</w:t>
      </w:r>
      <w:r>
        <w:rPr>
          <w:rFonts w:hint="eastAsia"/>
          <w:color w:val="auto"/>
          <w:sz w:val="28"/>
          <w:szCs w:val="28"/>
        </w:rPr>
        <w:t>求</w:t>
      </w:r>
      <w:r>
        <w:rPr>
          <w:color w:val="auto"/>
          <w:sz w:val="28"/>
          <w:szCs w:val="28"/>
        </w:rPr>
        <w:object>
          <v:shape id="_x0000_i1053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53" DrawAspect="Content" ObjectID="_1468075752" r:id="rId51">
            <o:LockedField>false</o:LockedField>
          </o:OLEObject>
        </w:object>
      </w:r>
      <w:r>
        <w:rPr>
          <w:rFonts w:hint="eastAsia"/>
          <w:color w:val="auto"/>
          <w:sz w:val="28"/>
          <w:szCs w:val="28"/>
        </w:rPr>
        <w:t>等于几度</w:t>
      </w:r>
      <w:r>
        <w:rPr>
          <w:color w:val="auto"/>
          <w:sz w:val="28"/>
          <w:szCs w:val="28"/>
        </w:rPr>
        <w:t>?</w:t>
      </w:r>
    </w:p>
    <w:p>
      <w:pPr>
        <w:ind w:left="-9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(2)</w:t>
      </w:r>
      <w:r>
        <w:rPr>
          <w:color w:val="auto"/>
          <w:sz w:val="28"/>
          <w:szCs w:val="28"/>
        </w:rPr>
        <w:object>
          <v:shape id="_x0000_i1054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54" DrawAspect="Content" ObjectID="_1468075753" r:id="rId52">
            <o:LockedField>false</o:LockedField>
          </o:OLEObject>
        </w:object>
      </w:r>
      <w:r>
        <w:rPr>
          <w:rFonts w:hint="eastAsia"/>
          <w:color w:val="auto"/>
          <w:sz w:val="28"/>
          <w:szCs w:val="28"/>
        </w:rPr>
        <w:t>是什么三角形</w:t>
      </w:r>
      <w:r>
        <w:rPr>
          <w:color w:val="auto"/>
          <w:sz w:val="28"/>
          <w:szCs w:val="28"/>
        </w:rPr>
        <w:t>?</w:t>
      </w:r>
      <w:r>
        <w:rPr>
          <w:rFonts w:hint="eastAsia"/>
          <w:color w:val="auto"/>
          <w:sz w:val="28"/>
          <w:szCs w:val="28"/>
        </w:rPr>
        <w:t>为什么</w:t>
      </w:r>
      <w:r>
        <w:rPr>
          <w:color w:val="auto"/>
          <w:sz w:val="28"/>
          <w:szCs w:val="28"/>
        </w:rPr>
        <w:t xml:space="preserve">? </w:t>
      </w:r>
    </w:p>
    <w:p>
      <w:pPr>
        <w:ind w:left="-90" w:firstLine="280" w:firstLineChars="10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(</w:t>
      </w:r>
      <w:r>
        <w:rPr>
          <w:rFonts w:hint="eastAsia"/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)</w:t>
      </w:r>
      <w:r>
        <w:rPr>
          <w:rFonts w:hint="eastAsia"/>
          <w:color w:val="auto"/>
          <w:sz w:val="28"/>
          <w:szCs w:val="28"/>
        </w:rPr>
        <w:t>过点B做BD平分</w:t>
      </w:r>
      <w:r>
        <w:rPr>
          <w:rFonts w:hint="eastAsia" w:asciiTheme="minorEastAsia" w:hAnsiTheme="minorEastAsia"/>
          <w:color w:val="auto"/>
          <w:sz w:val="28"/>
          <w:szCs w:val="28"/>
        </w:rPr>
        <w:t>∠ABC，还有几个等腰三角形？</w:t>
      </w:r>
    </w:p>
    <w:p>
      <w:pPr>
        <w:ind w:left="-90"/>
        <w:jc w:val="lef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通过这样的修改，变式训练可以更开放。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活动当天我们听课后马上进行微格教研，每个老师也都进行了评课，优点是通过题目变式，联题成片，有助于学生对问题理解的逐步深化，结合第二课时，形成题组训练，变式的设计贴合学生的实际，学生易接受。然后老师们结合自己的经验谈自己的做法，特别是王金珠老师在这次活动中做了主题发言，王老师指出通常可以利用习题变式训练学生的思维，使学生在多变的问题中受到磨练，举一反三，加深理解。如将练习中的条件或结论做等价性变换，变更练习的形式或内容，形成新的练习变式，有助于学生对问题理解的逐步深化，从而培养学生联想、转化、推理、归纳、探索的思维能力。教材中的例题富有典型性和深刻性，在中学数学教学例题变式教学中，所选用的“源题”应以课本的习题为主，要精心设计和挖掘课本的习题。最后教研员给我们指导，让我们关注1、要思考：为什么要变，怎么变2、内容上分为：概念性变式，在代数中用的比较多，形成过程的变式，正例反例。3、变式的目的是为了发展学生的思维，因此要按学生的节奏上课。教研员非常首先肯定了我们微格教研的做法，建议我们要有活动的延续性，每个老师要根据这个主题研讨后的共识相应上节课，真正发挥活动价值。可能一学期或两学期才能完成一个专题研讨。</w:t>
      </w:r>
      <w:r>
        <w:rPr>
          <w:rFonts w:hint="eastAsia"/>
          <w:color w:val="auto"/>
          <w:sz w:val="28"/>
          <w:szCs w:val="28"/>
        </w:rPr>
        <w:t>这样进行的微格教研更有针对性，在具体的某个点上进行研讨，然后改进，后期跟进。对组内老师，特别是开课教师帮助较大。</w:t>
      </w:r>
    </w:p>
    <w:p>
      <w:pPr>
        <w:ind w:firstLine="562" w:firstLineChars="200"/>
        <w:rPr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四、活动后形成共识，提升业务</w:t>
      </w:r>
    </w:p>
    <w:p>
      <w:pPr>
        <w:ind w:firstLine="560" w:firstLineChars="200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老师们在几次微格活动后，关于例题选择、分层、变式和评价方面形成共识：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例题的选择要能帮助学生初步理解概念，掌握定理；例题要有典型性，不一定追求新颖，要有一些经典的题目；选择例题要有它的应用性，能把前面的知识进行有机的结合；例题能体现数学思想与数学方法；有些静态的题目可以通过动态的形式表达出来。例题讲解时要分层，对于A班同学要注重思路分析，可以让学生多分析，教师适当的点拨；对于B班同学操作性的步骤要多给点学生，而且要具体详细，多让学生动起来，做起来。变式训练</w:t>
      </w:r>
      <w:r>
        <w:rPr>
          <w:rFonts w:hint="eastAsia"/>
          <w:color w:val="auto"/>
          <w:sz w:val="28"/>
          <w:szCs w:val="28"/>
        </w:rPr>
        <w:t>可以采用条件弱化、条件特殊化、逆向变式、情境问题变式、条件与结论开放。还</w:t>
      </w:r>
      <w:r>
        <w:rPr>
          <w:rFonts w:hint="eastAsia" w:ascii="Calibri" w:hAnsi="Calibri" w:eastAsia="宋体" w:cs="Times New Roman"/>
          <w:color w:val="auto"/>
          <w:sz w:val="28"/>
          <w:szCs w:val="28"/>
        </w:rPr>
        <w:t>要重视课堂的评价，评价练习设计时要符合教学目标，题型要和例题匹配，可以看出学生本节课的掌握程度；所选择的题目宜精不宜多，能检查课堂效果即可；要注意有梯度；从班级学生实际出发，符合学生的认识规律，面向全体学生配备好“必做”题和自选练习题，力求使好、中、差学生都有所获；讲解及时，当场分析。活动后老师们也在自己的教学过程中应用着这些原则，比如</w:t>
      </w:r>
      <w:r>
        <w:rPr>
          <w:rFonts w:hint="eastAsia"/>
          <w:color w:val="auto"/>
          <w:sz w:val="28"/>
          <w:szCs w:val="28"/>
        </w:rPr>
        <w:t>吴卓君老师就在自己的组内研讨课中继续探索着变式训练。</w:t>
      </w:r>
      <w:r>
        <w:rPr>
          <w:rFonts w:hint="eastAsia"/>
          <w:color w:val="auto"/>
          <w:sz w:val="28"/>
          <w:szCs w:val="28"/>
        </w:rPr>
        <w:t>或许常规的教研活动时我们也是有一些相应的主题研究，也会进行相关的课例研究，但通过微格的形式，可以记录下课中每一个环节，让每位老师有针对性去看某个教学行为，每次一个主题，改进我们的教学行为，效果很不错，老师们的教学水平随之提高。</w:t>
      </w:r>
    </w:p>
    <w:p>
      <w:pPr>
        <w:ind w:firstLine="560" w:firstLineChars="200"/>
        <w:jc w:val="lef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数学组老师会继续探索微格教研这个模式进行教研活动，不断研究在数学学科中如何利用微格教研这个形式，真正让组内教师提升自己的教学专业水平。</w:t>
      </w:r>
    </w:p>
    <w:p>
      <w:pPr>
        <w:ind w:firstLine="540"/>
        <w:rPr>
          <w:b/>
          <w:bCs/>
          <w:color w:val="auto"/>
          <w:sz w:val="28"/>
          <w:szCs w:val="28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3302F"/>
    <w:multiLevelType w:val="multilevel"/>
    <w:tmpl w:val="3663302F"/>
    <w:lvl w:ilvl="0" w:tentative="0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D3B6C"/>
    <w:rsid w:val="000148EB"/>
    <w:rsid w:val="000400ED"/>
    <w:rsid w:val="0004082F"/>
    <w:rsid w:val="00042411"/>
    <w:rsid w:val="00084402"/>
    <w:rsid w:val="000A3660"/>
    <w:rsid w:val="000A73D1"/>
    <w:rsid w:val="000B0673"/>
    <w:rsid w:val="000B45AA"/>
    <w:rsid w:val="000B5727"/>
    <w:rsid w:val="000C3D3C"/>
    <w:rsid w:val="00104559"/>
    <w:rsid w:val="00113DA6"/>
    <w:rsid w:val="00114765"/>
    <w:rsid w:val="001466E5"/>
    <w:rsid w:val="00153E35"/>
    <w:rsid w:val="00161017"/>
    <w:rsid w:val="00181E70"/>
    <w:rsid w:val="00183B2B"/>
    <w:rsid w:val="001849C2"/>
    <w:rsid w:val="001B1DC2"/>
    <w:rsid w:val="001D2D9F"/>
    <w:rsid w:val="001D5EE4"/>
    <w:rsid w:val="0021637B"/>
    <w:rsid w:val="0021709A"/>
    <w:rsid w:val="00217E00"/>
    <w:rsid w:val="002351B6"/>
    <w:rsid w:val="002375A8"/>
    <w:rsid w:val="0025327B"/>
    <w:rsid w:val="002602A4"/>
    <w:rsid w:val="002673BF"/>
    <w:rsid w:val="002879D2"/>
    <w:rsid w:val="002A4E2E"/>
    <w:rsid w:val="002A4E51"/>
    <w:rsid w:val="002F5874"/>
    <w:rsid w:val="002F6AA1"/>
    <w:rsid w:val="00302333"/>
    <w:rsid w:val="00304071"/>
    <w:rsid w:val="00315DE4"/>
    <w:rsid w:val="00332BA3"/>
    <w:rsid w:val="003466DA"/>
    <w:rsid w:val="00357046"/>
    <w:rsid w:val="00374D3F"/>
    <w:rsid w:val="00387454"/>
    <w:rsid w:val="003A108A"/>
    <w:rsid w:val="003A2D58"/>
    <w:rsid w:val="003C6E1D"/>
    <w:rsid w:val="003D3B6C"/>
    <w:rsid w:val="003E1246"/>
    <w:rsid w:val="003E7418"/>
    <w:rsid w:val="003F3AD9"/>
    <w:rsid w:val="004007C2"/>
    <w:rsid w:val="00403D41"/>
    <w:rsid w:val="00405A51"/>
    <w:rsid w:val="00406390"/>
    <w:rsid w:val="00406E5A"/>
    <w:rsid w:val="00411AE1"/>
    <w:rsid w:val="00421E0E"/>
    <w:rsid w:val="00462FF6"/>
    <w:rsid w:val="00463975"/>
    <w:rsid w:val="00475EA0"/>
    <w:rsid w:val="00480BCC"/>
    <w:rsid w:val="004848A7"/>
    <w:rsid w:val="004976F1"/>
    <w:rsid w:val="004A7103"/>
    <w:rsid w:val="004C24C5"/>
    <w:rsid w:val="004D4CD9"/>
    <w:rsid w:val="004E10F1"/>
    <w:rsid w:val="004F188A"/>
    <w:rsid w:val="004F7D85"/>
    <w:rsid w:val="0052195D"/>
    <w:rsid w:val="005248D8"/>
    <w:rsid w:val="00536D21"/>
    <w:rsid w:val="0054410F"/>
    <w:rsid w:val="00555BC0"/>
    <w:rsid w:val="005603AD"/>
    <w:rsid w:val="005760F5"/>
    <w:rsid w:val="0059797A"/>
    <w:rsid w:val="005A063E"/>
    <w:rsid w:val="005A217A"/>
    <w:rsid w:val="005A6C83"/>
    <w:rsid w:val="005C36F2"/>
    <w:rsid w:val="005C38C0"/>
    <w:rsid w:val="005D3C0B"/>
    <w:rsid w:val="005F47B8"/>
    <w:rsid w:val="00603F42"/>
    <w:rsid w:val="00606DB9"/>
    <w:rsid w:val="006142C1"/>
    <w:rsid w:val="00623DCA"/>
    <w:rsid w:val="0062440F"/>
    <w:rsid w:val="00634325"/>
    <w:rsid w:val="00640DAD"/>
    <w:rsid w:val="00645AB8"/>
    <w:rsid w:val="00646CBD"/>
    <w:rsid w:val="006556B2"/>
    <w:rsid w:val="00662ADB"/>
    <w:rsid w:val="00667485"/>
    <w:rsid w:val="006678E1"/>
    <w:rsid w:val="006678E4"/>
    <w:rsid w:val="00681855"/>
    <w:rsid w:val="006B22F9"/>
    <w:rsid w:val="006D0CE5"/>
    <w:rsid w:val="006D315B"/>
    <w:rsid w:val="006D7831"/>
    <w:rsid w:val="006E02C8"/>
    <w:rsid w:val="006E5382"/>
    <w:rsid w:val="006F2937"/>
    <w:rsid w:val="006F5A8E"/>
    <w:rsid w:val="006F6914"/>
    <w:rsid w:val="00717832"/>
    <w:rsid w:val="00734C66"/>
    <w:rsid w:val="007751BF"/>
    <w:rsid w:val="00776E35"/>
    <w:rsid w:val="00784DF9"/>
    <w:rsid w:val="00787DA4"/>
    <w:rsid w:val="00792EBC"/>
    <w:rsid w:val="00797AEC"/>
    <w:rsid w:val="007B51BB"/>
    <w:rsid w:val="007C7D21"/>
    <w:rsid w:val="007F69D7"/>
    <w:rsid w:val="0080787B"/>
    <w:rsid w:val="008426C9"/>
    <w:rsid w:val="00845289"/>
    <w:rsid w:val="00851630"/>
    <w:rsid w:val="00866165"/>
    <w:rsid w:val="00874955"/>
    <w:rsid w:val="00876F16"/>
    <w:rsid w:val="008841C0"/>
    <w:rsid w:val="00890CFD"/>
    <w:rsid w:val="008953C1"/>
    <w:rsid w:val="0089663A"/>
    <w:rsid w:val="008A4CF4"/>
    <w:rsid w:val="008B58C3"/>
    <w:rsid w:val="008B6FBA"/>
    <w:rsid w:val="008D382C"/>
    <w:rsid w:val="008E4345"/>
    <w:rsid w:val="008F7D34"/>
    <w:rsid w:val="0090743C"/>
    <w:rsid w:val="00911248"/>
    <w:rsid w:val="00951D52"/>
    <w:rsid w:val="00952F49"/>
    <w:rsid w:val="00960664"/>
    <w:rsid w:val="00971857"/>
    <w:rsid w:val="00974B5A"/>
    <w:rsid w:val="00975E61"/>
    <w:rsid w:val="0099068E"/>
    <w:rsid w:val="009A233C"/>
    <w:rsid w:val="009E5567"/>
    <w:rsid w:val="009E6FBE"/>
    <w:rsid w:val="009E7BAA"/>
    <w:rsid w:val="009F0FB1"/>
    <w:rsid w:val="00A226A3"/>
    <w:rsid w:val="00A2497C"/>
    <w:rsid w:val="00A25D1C"/>
    <w:rsid w:val="00A412D4"/>
    <w:rsid w:val="00A45782"/>
    <w:rsid w:val="00A470EB"/>
    <w:rsid w:val="00A4739D"/>
    <w:rsid w:val="00A5012D"/>
    <w:rsid w:val="00A512B2"/>
    <w:rsid w:val="00A567F1"/>
    <w:rsid w:val="00A57ED2"/>
    <w:rsid w:val="00A619ED"/>
    <w:rsid w:val="00A62F9D"/>
    <w:rsid w:val="00A640ED"/>
    <w:rsid w:val="00A74D8B"/>
    <w:rsid w:val="00AB4410"/>
    <w:rsid w:val="00AD1C55"/>
    <w:rsid w:val="00AD1EDA"/>
    <w:rsid w:val="00AE3294"/>
    <w:rsid w:val="00AE7A18"/>
    <w:rsid w:val="00B10F88"/>
    <w:rsid w:val="00B22B07"/>
    <w:rsid w:val="00B241B6"/>
    <w:rsid w:val="00B430E3"/>
    <w:rsid w:val="00B440A8"/>
    <w:rsid w:val="00B4483A"/>
    <w:rsid w:val="00B62E01"/>
    <w:rsid w:val="00B64EF8"/>
    <w:rsid w:val="00B65115"/>
    <w:rsid w:val="00B77762"/>
    <w:rsid w:val="00B77BEE"/>
    <w:rsid w:val="00B83340"/>
    <w:rsid w:val="00B95B60"/>
    <w:rsid w:val="00BA2D7B"/>
    <w:rsid w:val="00BB5155"/>
    <w:rsid w:val="00BC1702"/>
    <w:rsid w:val="00BC37B3"/>
    <w:rsid w:val="00BC3A60"/>
    <w:rsid w:val="00BE1D76"/>
    <w:rsid w:val="00BE3FF3"/>
    <w:rsid w:val="00BF060E"/>
    <w:rsid w:val="00BF0C9F"/>
    <w:rsid w:val="00C02978"/>
    <w:rsid w:val="00C137C1"/>
    <w:rsid w:val="00C15EF2"/>
    <w:rsid w:val="00C23C0B"/>
    <w:rsid w:val="00C3382F"/>
    <w:rsid w:val="00C42812"/>
    <w:rsid w:val="00C55712"/>
    <w:rsid w:val="00C716C6"/>
    <w:rsid w:val="00C83F6E"/>
    <w:rsid w:val="00C90730"/>
    <w:rsid w:val="00C92E32"/>
    <w:rsid w:val="00CA13CE"/>
    <w:rsid w:val="00CA5C4F"/>
    <w:rsid w:val="00CA7198"/>
    <w:rsid w:val="00CB1494"/>
    <w:rsid w:val="00CB69BF"/>
    <w:rsid w:val="00CC586A"/>
    <w:rsid w:val="00CD2E48"/>
    <w:rsid w:val="00CE008F"/>
    <w:rsid w:val="00CE4CA7"/>
    <w:rsid w:val="00CF16B9"/>
    <w:rsid w:val="00D02C42"/>
    <w:rsid w:val="00D561E5"/>
    <w:rsid w:val="00D5682D"/>
    <w:rsid w:val="00D56E1F"/>
    <w:rsid w:val="00D63039"/>
    <w:rsid w:val="00D6767A"/>
    <w:rsid w:val="00DA2D00"/>
    <w:rsid w:val="00DB158B"/>
    <w:rsid w:val="00DB74A4"/>
    <w:rsid w:val="00DE59F8"/>
    <w:rsid w:val="00E16E5A"/>
    <w:rsid w:val="00E30217"/>
    <w:rsid w:val="00E33828"/>
    <w:rsid w:val="00E34F7D"/>
    <w:rsid w:val="00E37993"/>
    <w:rsid w:val="00E44855"/>
    <w:rsid w:val="00E57724"/>
    <w:rsid w:val="00E64C01"/>
    <w:rsid w:val="00E77846"/>
    <w:rsid w:val="00E81280"/>
    <w:rsid w:val="00E843F1"/>
    <w:rsid w:val="00E97AB1"/>
    <w:rsid w:val="00EB60FC"/>
    <w:rsid w:val="00EC451E"/>
    <w:rsid w:val="00EC5513"/>
    <w:rsid w:val="00EC6AEA"/>
    <w:rsid w:val="00ED62CB"/>
    <w:rsid w:val="00EE4F47"/>
    <w:rsid w:val="00EE5DA2"/>
    <w:rsid w:val="00EF4901"/>
    <w:rsid w:val="00EF4C56"/>
    <w:rsid w:val="00F01511"/>
    <w:rsid w:val="00F32DBD"/>
    <w:rsid w:val="00F54E25"/>
    <w:rsid w:val="00F5611B"/>
    <w:rsid w:val="00F566DE"/>
    <w:rsid w:val="00F6070A"/>
    <w:rsid w:val="00F62A14"/>
    <w:rsid w:val="00F64DEC"/>
    <w:rsid w:val="00F7380F"/>
    <w:rsid w:val="00F83F05"/>
    <w:rsid w:val="00F92049"/>
    <w:rsid w:val="00FB22C5"/>
    <w:rsid w:val="00FB5382"/>
    <w:rsid w:val="00FC0370"/>
    <w:rsid w:val="00FC2693"/>
    <w:rsid w:val="00FD47FC"/>
    <w:rsid w:val="00FE193E"/>
    <w:rsid w:val="00FE4FC6"/>
    <w:rsid w:val="00FF0AA7"/>
    <w:rsid w:val="02501F2E"/>
    <w:rsid w:val="36B45C5A"/>
    <w:rsid w:val="3F02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annotation reference"/>
    <w:basedOn w:val="6"/>
    <w:semiHidden/>
    <w:unhideWhenUsed/>
    <w:qFormat/>
    <w:uiPriority w:val="99"/>
    <w:rPr>
      <w:sz w:val="21"/>
      <w:szCs w:val="21"/>
    </w:rPr>
  </w:style>
  <w:style w:type="character" w:customStyle="1" w:styleId="9">
    <w:name w:val="页眉 Char"/>
    <w:basedOn w:val="6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6"/>
    <w:link w:val="3"/>
    <w:semiHidden/>
    <w:qFormat/>
    <w:uiPriority w:val="99"/>
    <w:rPr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3.wmf"/><Relationship Id="rId7" Type="http://schemas.openxmlformats.org/officeDocument/2006/relationships/oleObject" Target="embeddings/oleObject2.bin"/><Relationship Id="rId6" Type="http://schemas.openxmlformats.org/officeDocument/2006/relationships/image" Target="media/image2.wmf"/><Relationship Id="rId56" Type="http://schemas.openxmlformats.org/officeDocument/2006/relationships/fontTable" Target="fontTable.xml"/><Relationship Id="rId55" Type="http://schemas.openxmlformats.org/officeDocument/2006/relationships/customXml" Target="../customXml/item2.xml"/><Relationship Id="rId54" Type="http://schemas.openxmlformats.org/officeDocument/2006/relationships/numbering" Target="numbering.xml"/><Relationship Id="rId53" Type="http://schemas.openxmlformats.org/officeDocument/2006/relationships/customXml" Target="../customXml/item1.xml"/><Relationship Id="rId52" Type="http://schemas.openxmlformats.org/officeDocument/2006/relationships/oleObject" Target="embeddings/oleObject29.bin"/><Relationship Id="rId51" Type="http://schemas.openxmlformats.org/officeDocument/2006/relationships/oleObject" Target="embeddings/oleObject28.bin"/><Relationship Id="rId50" Type="http://schemas.openxmlformats.org/officeDocument/2006/relationships/image" Target="media/image20.w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27.bin"/><Relationship Id="rId48" Type="http://schemas.openxmlformats.org/officeDocument/2006/relationships/image" Target="media/image19.wmf"/><Relationship Id="rId47" Type="http://schemas.openxmlformats.org/officeDocument/2006/relationships/oleObject" Target="embeddings/oleObject26.bin"/><Relationship Id="rId46" Type="http://schemas.openxmlformats.org/officeDocument/2006/relationships/oleObject" Target="embeddings/oleObject25.bin"/><Relationship Id="rId45" Type="http://schemas.openxmlformats.org/officeDocument/2006/relationships/oleObject" Target="embeddings/oleObject24.bin"/><Relationship Id="rId44" Type="http://schemas.openxmlformats.org/officeDocument/2006/relationships/image" Target="media/image18.wmf"/><Relationship Id="rId43" Type="http://schemas.openxmlformats.org/officeDocument/2006/relationships/oleObject" Target="embeddings/oleObject23.bin"/><Relationship Id="rId42" Type="http://schemas.openxmlformats.org/officeDocument/2006/relationships/image" Target="media/image17.wmf"/><Relationship Id="rId41" Type="http://schemas.openxmlformats.org/officeDocument/2006/relationships/oleObject" Target="embeddings/oleObject22.bin"/><Relationship Id="rId40" Type="http://schemas.openxmlformats.org/officeDocument/2006/relationships/image" Target="media/image16.wmf"/><Relationship Id="rId4" Type="http://schemas.openxmlformats.org/officeDocument/2006/relationships/image" Target="media/image1.png"/><Relationship Id="rId39" Type="http://schemas.openxmlformats.org/officeDocument/2006/relationships/oleObject" Target="embeddings/oleObject21.bin"/><Relationship Id="rId38" Type="http://schemas.openxmlformats.org/officeDocument/2006/relationships/image" Target="media/image15.wmf"/><Relationship Id="rId37" Type="http://schemas.openxmlformats.org/officeDocument/2006/relationships/image" Target="media/image14.wmf"/><Relationship Id="rId36" Type="http://schemas.openxmlformats.org/officeDocument/2006/relationships/oleObject" Target="embeddings/oleObject20.bin"/><Relationship Id="rId35" Type="http://schemas.openxmlformats.org/officeDocument/2006/relationships/oleObject" Target="embeddings/oleObject19.bin"/><Relationship Id="rId34" Type="http://schemas.openxmlformats.org/officeDocument/2006/relationships/oleObject" Target="embeddings/oleObject18.bin"/><Relationship Id="rId33" Type="http://schemas.openxmlformats.org/officeDocument/2006/relationships/oleObject" Target="embeddings/oleObject17.bin"/><Relationship Id="rId32" Type="http://schemas.openxmlformats.org/officeDocument/2006/relationships/oleObject" Target="embeddings/oleObject16.bin"/><Relationship Id="rId31" Type="http://schemas.openxmlformats.org/officeDocument/2006/relationships/oleObject" Target="embeddings/oleObject15.bin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wmf"/><Relationship Id="rId22" Type="http://schemas.openxmlformats.org/officeDocument/2006/relationships/oleObject" Target="embeddings/oleObject10.bin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oleObject" Target="embeddings/oleObject5.bin"/><Relationship Id="rId12" Type="http://schemas.openxmlformats.org/officeDocument/2006/relationships/oleObject" Target="embeddings/oleObject4.bin"/><Relationship Id="rId11" Type="http://schemas.openxmlformats.org/officeDocument/2006/relationships/image" Target="media/image5.e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C6B299-5D1C-436B-AFF2-2BB20B23A3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770</Words>
  <Characters>4391</Characters>
  <Lines>36</Lines>
  <Paragraphs>10</Paragraphs>
  <TotalTime>214</TotalTime>
  <ScaleCrop>false</ScaleCrop>
  <LinksUpToDate>false</LinksUpToDate>
  <CharactersWithSpaces>5151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2017-04-11T10:34:00Z</dcterms:created>
  <dc:creator>user</dc:creator>
  <cp:lastModifiedBy>Snowy </cp:lastModifiedBy>
  <dcterms:modified xsi:type="dcterms:W3CDTF">2019-01-15T05:19:31Z</dcterms:modified>
  <cp:revision>227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