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b/>
          <w:sz w:val="28"/>
          <w:szCs w:val="28"/>
          <w:lang w:val="en-US" w:eastAsia="zh-CN"/>
        </w:rPr>
      </w:pPr>
      <w:r>
        <w:rPr>
          <w:rFonts w:hint="eastAsia" w:ascii="黑体" w:hAnsi="黑体" w:eastAsia="黑体"/>
          <w:b/>
          <w:sz w:val="28"/>
          <w:szCs w:val="28"/>
        </w:rPr>
        <w:t>注重思维能力培养的</w:t>
      </w:r>
      <w:r>
        <w:rPr>
          <w:rFonts w:hint="eastAsia" w:ascii="黑体" w:hAnsi="黑体" w:eastAsia="黑体"/>
          <w:b/>
          <w:sz w:val="28"/>
          <w:szCs w:val="28"/>
          <w:lang w:val="en-US" w:eastAsia="zh-CN"/>
        </w:rPr>
        <w:t>小学英语</w:t>
      </w:r>
      <w:r>
        <w:rPr>
          <w:rFonts w:hint="eastAsia" w:ascii="黑体" w:hAnsi="黑体" w:eastAsia="黑体"/>
          <w:b/>
          <w:sz w:val="28"/>
          <w:szCs w:val="28"/>
        </w:rPr>
        <w:t>词汇教学策略</w:t>
      </w:r>
      <w:r>
        <w:rPr>
          <w:rFonts w:hint="eastAsia" w:ascii="黑体" w:hAnsi="黑体" w:eastAsia="黑体"/>
          <w:b/>
          <w:sz w:val="28"/>
          <w:szCs w:val="28"/>
          <w:lang w:val="en-US" w:eastAsia="zh-CN"/>
        </w:rPr>
        <w:t>探索</w:t>
      </w:r>
    </w:p>
    <w:p>
      <w:pPr>
        <w:jc w:val="center"/>
        <w:rPr>
          <w:rFonts w:hint="eastAsia" w:ascii="黑体" w:hAnsi="黑体" w:eastAsia="黑体"/>
          <w:b/>
          <w:sz w:val="28"/>
          <w:szCs w:val="28"/>
        </w:rPr>
      </w:pPr>
      <w:r>
        <w:rPr>
          <w:rFonts w:hint="eastAsia" w:ascii="黑体" w:hAnsi="黑体" w:eastAsia="黑体"/>
          <w:b/>
          <w:sz w:val="28"/>
          <w:szCs w:val="28"/>
        </w:rPr>
        <w:t>—以《小学英语牛津教材2B M3U3 Clothes》为例</w:t>
      </w:r>
    </w:p>
    <w:p>
      <w:pPr>
        <w:jc w:val="center"/>
        <w:rPr>
          <w:rFonts w:hint="default" w:ascii="黑体" w:hAnsi="黑体" w:eastAsia="黑体"/>
          <w:b w:val="0"/>
          <w:bCs/>
          <w:sz w:val="24"/>
          <w:szCs w:val="24"/>
          <w:lang w:val="en-US" w:eastAsia="zh-CN"/>
        </w:rPr>
      </w:pPr>
      <w:r>
        <w:rPr>
          <w:rFonts w:hint="eastAsia" w:ascii="黑体" w:hAnsi="黑体" w:eastAsia="黑体"/>
          <w:b w:val="0"/>
          <w:bCs/>
          <w:sz w:val="24"/>
          <w:szCs w:val="24"/>
          <w:lang w:val="en-US" w:eastAsia="zh-CN"/>
        </w:rPr>
        <w:t>上海市世界外国语小学  刘丽君</w:t>
      </w:r>
    </w:p>
    <w:p>
      <w:pPr>
        <w:rPr>
          <w:b/>
        </w:rPr>
      </w:pPr>
    </w:p>
    <w:p>
      <w:pPr>
        <w:rPr>
          <w:rFonts w:ascii="黑体" w:hAnsi="黑体" w:eastAsia="黑体"/>
          <w:b/>
          <w:sz w:val="24"/>
          <w:szCs w:val="24"/>
        </w:rPr>
      </w:pPr>
      <w:r>
        <w:rPr>
          <w:rFonts w:hint="eastAsia" w:ascii="黑体" w:hAnsi="黑体" w:eastAsia="黑体"/>
          <w:b/>
          <w:sz w:val="24"/>
          <w:szCs w:val="24"/>
        </w:rPr>
        <w:t>摘要</w:t>
      </w:r>
    </w:p>
    <w:p>
      <w:pPr>
        <w:ind w:firstLine="420" w:firstLineChars="200"/>
      </w:pPr>
      <w:r>
        <w:rPr>
          <w:rFonts w:hint="eastAsia"/>
        </w:rPr>
        <w:t>我校是一所民办外语类特色小学。学校英语课程包括九年义务教育课本《英语》（牛津上海版）教材、台湾地区出版的《佳音儿童英语》以及根据《英语》（牛津上海版）模块和单元主题开发的校本故事教材《Kids</w:t>
      </w:r>
      <w:r>
        <w:t>’ Stories</w:t>
      </w:r>
      <w:r>
        <w:rPr>
          <w:rFonts w:hint="eastAsia"/>
        </w:rPr>
        <w:t>》，课时时间有限，词汇容量比较大。在词汇教学中，如何通过发展和培养思维能力帮助学生提高词汇学习的效率，是我们需要思考解决的问题。本文从理论依据、教学实践和策略总结三个方面，以《小学英语牛津教材2BM3U3 Clothes》为例，在词汇教学中结合思维学习过程的六个层次，采用归纳、联想、演绎、运用等词汇教学方法，提出了“创设情境、整体设计”、“重视输入、强化应用”以及“适度挑战、发展思维”等有效的词汇教学策略。</w:t>
      </w:r>
    </w:p>
    <w:p>
      <w:pPr>
        <w:rPr>
          <w:b/>
        </w:rPr>
      </w:pPr>
    </w:p>
    <w:p>
      <w:pPr>
        <w:rPr>
          <w:rFonts w:ascii="黑体" w:hAnsi="黑体" w:eastAsia="黑体"/>
          <w:b/>
          <w:sz w:val="24"/>
          <w:szCs w:val="24"/>
        </w:rPr>
      </w:pPr>
      <w:r>
        <w:rPr>
          <w:rFonts w:hint="eastAsia" w:ascii="黑体" w:hAnsi="黑体" w:eastAsia="黑体"/>
          <w:b/>
          <w:sz w:val="24"/>
          <w:szCs w:val="24"/>
        </w:rPr>
        <w:t>关键词</w:t>
      </w:r>
    </w:p>
    <w:p>
      <w:pPr>
        <w:ind w:firstLine="420" w:firstLineChars="200"/>
      </w:pPr>
      <w:r>
        <w:rPr>
          <w:rFonts w:hint="eastAsia"/>
        </w:rPr>
        <w:t>词汇教学策略 思维能力培养 外语类特色小学</w:t>
      </w:r>
    </w:p>
    <w:p>
      <w:pPr>
        <w:ind w:firstLine="420" w:firstLineChars="200"/>
      </w:pPr>
    </w:p>
    <w:p>
      <w:pPr>
        <w:ind w:firstLine="420"/>
      </w:pPr>
      <w:r>
        <w:rPr>
          <w:rFonts w:hint="eastAsia"/>
        </w:rPr>
        <w:t>在民办外语类特色小学中，由于教材增多、词汇量增大，教师在词汇教学中会存在脱离语境直接教词汇的现象，学习效果并不理想。</w:t>
      </w:r>
      <w:r>
        <w:rPr>
          <w:rFonts w:hint="eastAsia"/>
          <w:bCs/>
        </w:rPr>
        <w:t>此外，过分关注词汇的拼写，过多停留在低阶思维的记忆阶段，用大量机械性操练的方式来学习词汇，也影响了学生主动学习的积极性。低阶思维能力</w:t>
      </w:r>
      <w:r>
        <w:rPr>
          <w:rFonts w:hint="eastAsia"/>
        </w:rPr>
        <w:t>通常是通过被动学习和独自练习所得到的，而高级思维能力需要主动学习和共同协作，能帮助学生更好地解决问题，将某一领域的技巧转移到另一领域，从一个熟悉的情景运用到一个全新的、不同的情景中，或者是不同的环境条件下，从而逐渐成为思辨的学习者。因此，在词汇教学中，如何通过发展和培养思维能力（尤其是高阶思维能力）帮助学生提高词汇学习的效率，是我们需要思考解决的问题。</w:t>
      </w:r>
    </w:p>
    <w:p>
      <w:pPr>
        <w:rPr>
          <w:b/>
        </w:rPr>
      </w:pPr>
    </w:p>
    <w:p>
      <w:pPr>
        <w:pStyle w:val="12"/>
        <w:numPr>
          <w:ilvl w:val="0"/>
          <w:numId w:val="1"/>
        </w:numPr>
        <w:ind w:firstLineChars="0"/>
        <w:rPr>
          <w:rFonts w:ascii="黑体" w:hAnsi="黑体" w:eastAsia="黑体"/>
          <w:b/>
          <w:sz w:val="24"/>
          <w:szCs w:val="24"/>
        </w:rPr>
      </w:pPr>
      <w:r>
        <w:rPr>
          <w:rFonts w:hint="eastAsia" w:ascii="黑体" w:hAnsi="黑体" w:eastAsia="黑体"/>
          <w:b/>
          <w:sz w:val="24"/>
          <w:szCs w:val="24"/>
        </w:rPr>
        <w:t>在词汇教学中培养思维能力的理论依据</w:t>
      </w:r>
    </w:p>
    <w:p>
      <w:pPr>
        <w:ind w:firstLine="420" w:firstLineChars="200"/>
      </w:pPr>
      <w:r>
        <w:rPr>
          <w:rFonts w:hint="eastAsia"/>
        </w:rPr>
        <w:t>词汇是语言学习的基础，是语言习得和输出的必备要素。</w:t>
      </w:r>
    </w:p>
    <w:p>
      <w:pPr>
        <w:ind w:firstLine="405"/>
      </w:pPr>
      <w:r>
        <w:rPr>
          <w:rFonts w:hint="eastAsia"/>
        </w:rPr>
        <w:t>词汇的语境理论对我们有两点启示：（1）基于上下文的词汇教学。吕叔湘（1979）在谈论词汇学习时说过：“词只有嵌在上下文里，才有生命，才容易记住，才知道用法。”因此，教师要尽量在语境中呈现词汇，在语境中教授词汇，学生才能在语境中习得词汇。（2）基于语篇的词汇教学。当代认知理论认为，建立在离散、孤立、无统一主题的句子之上的语言学习是不正确的。（Hadley，2003）。</w:t>
      </w:r>
    </w:p>
    <w:p>
      <w:pPr>
        <w:ind w:firstLine="405"/>
      </w:pPr>
      <w:r>
        <w:rPr>
          <w:rFonts w:hint="eastAsia"/>
        </w:rPr>
        <w:t>早在1960年，美国教育协会就在“美国教育的中心目的”一文中声明“强化并贯穿于所有各种教育目的的中心目的—教育的基本思路—就是要培养思维能力”。新一轮的《上海市中小学英语课程标准》（2016）中提出：“作为隐性素养的思维方式决定了显性素养即语言知识和语言技能的发展。如何在词汇教学中培养和发展学生思维能力是帮助学生更有效的学习和夯实词汇的手段之一。”</w:t>
      </w:r>
    </w:p>
    <w:p>
      <w:r>
        <w:rPr>
          <w:rFonts w:hint="eastAsia"/>
        </w:rPr>
        <w:t xml:space="preserve">    设计词汇教学时，参照美国教育家布卢姆提出的认知领域教育目标，可以将思维学习过程分为六个层次，由低到高依次是记忆、理解、应用、分析、评价和创新（</w:t>
      </w:r>
      <w:r>
        <w:t>Lorin W. Anderson</w:t>
      </w:r>
      <w:r>
        <w:rPr>
          <w:rFonts w:hint="eastAsia"/>
        </w:rPr>
        <w:t>，2009）。</w:t>
      </w:r>
    </w:p>
    <w:p>
      <w:r>
        <w:rPr>
          <w:rFonts w:hint="eastAsia"/>
        </w:rPr>
        <w:t>1．记忆/回忆（Remember）在长时记忆中提取相关的知识，包括具体事实、方法、过程、理论等的回忆。</w:t>
      </w:r>
    </w:p>
    <w:p>
      <w:r>
        <w:rPr>
          <w:rFonts w:hint="eastAsia"/>
        </w:rPr>
        <w:t>2．理解（Understand）从教学信息包括口头、书面和图形等交流形式中通过分类、解释、说明和阐明事实的办法来建构意义。</w:t>
      </w:r>
    </w:p>
    <w:p>
      <w:r>
        <w:rPr>
          <w:rFonts w:hint="eastAsia"/>
        </w:rPr>
        <w:t>3．应用（Apply）是指把学到的知识应用于新的情境中。即通过已知事实、规律或者技巧，运用不同的办法或者是在新环境下来解决问题。运用的能力以知道和领会为基础，是较高水平的理解。</w:t>
      </w:r>
    </w:p>
    <w:p>
      <w:r>
        <w:rPr>
          <w:rFonts w:hint="eastAsia"/>
        </w:rPr>
        <w:t>4．分析（Analyze）把事物细分成组成部分，通过微分，组织和归因，而分辨出各部分是如何彼此关联并构成一个整体或者一个目标。</w:t>
      </w:r>
    </w:p>
    <w:p>
      <w:r>
        <w:rPr>
          <w:rFonts w:hint="eastAsia"/>
        </w:rPr>
        <w:t>5．评价（Evaluate）基于准则和标准作出判断。</w:t>
      </w:r>
    </w:p>
    <w:p>
      <w:r>
        <w:rPr>
          <w:rFonts w:hint="eastAsia"/>
        </w:rPr>
        <w:t>6．创新（Create）将要素组成内在一致的整体或功能性整体。</w:t>
      </w:r>
    </w:p>
    <w:p/>
    <w:p>
      <w:pPr>
        <w:pStyle w:val="12"/>
        <w:numPr>
          <w:ilvl w:val="0"/>
          <w:numId w:val="1"/>
        </w:numPr>
        <w:ind w:firstLineChars="0"/>
        <w:rPr>
          <w:rFonts w:ascii="黑体" w:hAnsi="黑体" w:eastAsia="黑体"/>
          <w:b/>
          <w:sz w:val="24"/>
          <w:szCs w:val="24"/>
        </w:rPr>
      </w:pPr>
      <w:r>
        <w:rPr>
          <w:rFonts w:hint="eastAsia" w:ascii="黑体" w:hAnsi="黑体" w:eastAsia="黑体"/>
          <w:b/>
          <w:sz w:val="24"/>
          <w:szCs w:val="24"/>
        </w:rPr>
        <w:t>在词汇教学中培养思维能力的教学实践</w:t>
      </w:r>
    </w:p>
    <w:p>
      <w:pPr>
        <w:rPr>
          <w:rFonts w:ascii="Calibri" w:hAnsi="Calibri" w:eastAsia="宋体" w:cs="Times New Roman"/>
        </w:rPr>
      </w:pPr>
      <w:r>
        <w:rPr>
          <w:rFonts w:hint="eastAsia" w:ascii="Calibri" w:hAnsi="Calibri" w:eastAsia="宋体" w:cs="Times New Roman"/>
        </w:rPr>
        <w:t xml:space="preserve">    现以《小学英语牛津教材2B M3U3 Clothes》这节课为例，阐明如何在词汇教学中结合思维学习过程的六个层次，采用归纳、联想、演绎、运用等词汇教学方法，通过发展和培养思维能力（尤其是高阶思维能力）帮助学生提高词汇学习的效率。</w:t>
      </w:r>
    </w:p>
    <w:p>
      <w:pPr>
        <w:pStyle w:val="12"/>
        <w:numPr>
          <w:ilvl w:val="0"/>
          <w:numId w:val="2"/>
        </w:numPr>
        <w:ind w:firstLineChars="0"/>
        <w:rPr>
          <w:rFonts w:ascii="黑体" w:hAnsi="黑体" w:eastAsia="黑体"/>
        </w:rPr>
      </w:pPr>
      <w:r>
        <w:rPr>
          <w:rFonts w:hint="eastAsia" w:ascii="黑体" w:hAnsi="黑体" w:eastAsia="黑体"/>
        </w:rPr>
        <w:t xml:space="preserve">课例背景 </w:t>
      </w:r>
    </w:p>
    <w:p>
      <w:pPr>
        <w:ind w:firstLine="420" w:firstLineChars="200"/>
        <w:rPr>
          <w:rFonts w:ascii="Arial" w:hAnsi="Arial" w:eastAsia="宋体" w:cs="Arial"/>
          <w:color w:val="333333"/>
          <w:kern w:val="0"/>
          <w:szCs w:val="21"/>
        </w:rPr>
      </w:pPr>
      <w:r>
        <w:rPr>
          <w:rFonts w:hint="eastAsia" w:ascii="Calibri" w:hAnsi="Calibri" w:eastAsia="宋体" w:cs="Times New Roman"/>
        </w:rPr>
        <w:t>根据《上海市中小学英语课程标准》中课程目标的阶段要求以及</w:t>
      </w:r>
      <w:r>
        <w:rPr>
          <w:rFonts w:hint="eastAsia" w:ascii="宋体" w:hAnsi="宋体" w:eastAsia="宋体"/>
        </w:rPr>
        <w:t>《</w:t>
      </w:r>
      <w:r>
        <w:rPr>
          <w:rFonts w:hint="eastAsia"/>
        </w:rPr>
        <w:t>英语》（牛津上海版）</w:t>
      </w:r>
      <w:r>
        <w:rPr>
          <w:rFonts w:hint="eastAsia" w:ascii="Calibri" w:hAnsi="Calibri" w:eastAsia="宋体" w:cs="Times New Roman"/>
        </w:rPr>
        <w:t>教材各年段模块主题一致的编写特点，依据一、二、三年级分段目标要求，细化二年级本单元的教学目标；通过单元整体设计，定位课时目标。</w:t>
      </w:r>
      <w:r>
        <w:rPr>
          <w:rFonts w:hint="eastAsia" w:ascii="Arial" w:hAnsi="Arial" w:eastAsia="宋体" w:cs="Arial"/>
          <w:color w:val="333333"/>
          <w:kern w:val="0"/>
          <w:szCs w:val="21"/>
        </w:rPr>
        <w:t>本模块的主题是“Things around us”, 本模块学习后，要求学生制作</w:t>
      </w:r>
      <w:r>
        <w:rPr>
          <w:rFonts w:hint="eastAsia"/>
        </w:rPr>
        <w:t>一个小手册，介绍不同季节里的合适服装和活动。即:</w:t>
      </w:r>
      <w:r>
        <w:rPr>
          <w:rFonts w:ascii="Arial" w:hAnsi="Arial" w:eastAsia="宋体" w:cs="Arial"/>
          <w:color w:val="333333"/>
          <w:kern w:val="0"/>
          <w:szCs w:val="21"/>
        </w:rPr>
        <w:t xml:space="preserve">To make a booklet </w:t>
      </w:r>
      <w:r>
        <w:rPr>
          <w:rFonts w:ascii="Calibri" w:hAnsi="Calibri" w:eastAsia="宋体" w:cs="Times New Roman"/>
          <w:sz w:val="24"/>
        </w:rPr>
        <w:t>to describe clothing items</w:t>
      </w:r>
      <w:r>
        <w:rPr>
          <w:rFonts w:ascii="Calibri" w:hAnsi="Calibri"/>
          <w:sz w:val="24"/>
        </w:rPr>
        <w:t xml:space="preserve"> </w:t>
      </w:r>
      <w:r>
        <w:rPr>
          <w:rFonts w:ascii="Calibri" w:hAnsi="Calibri" w:eastAsia="宋体" w:cs="Times New Roman"/>
          <w:sz w:val="24"/>
        </w:rPr>
        <w:t>and</w:t>
      </w:r>
      <w:r>
        <w:rPr>
          <w:rFonts w:ascii="Calibri" w:hAnsi="Calibri"/>
          <w:sz w:val="24"/>
        </w:rPr>
        <w:t xml:space="preserve"> </w:t>
      </w:r>
      <w:r>
        <w:rPr>
          <w:rFonts w:ascii="Calibri" w:hAnsi="Calibri" w:eastAsia="宋体" w:cs="Times New Roman"/>
          <w:sz w:val="24"/>
        </w:rPr>
        <w:t>activities in different seasons.</w:t>
      </w:r>
      <w:r>
        <w:rPr>
          <w:rFonts w:hint="eastAsia"/>
        </w:rPr>
        <w:t>本单元共分为五个课时，学习任务是让学生使用正确的时态来讲述自己的穿着，即：</w:t>
      </w:r>
      <w:r>
        <w:rPr>
          <w:rFonts w:ascii="Calibri" w:hAnsi="Calibri" w:eastAsia="宋体" w:cs="Times New Roman"/>
        </w:rPr>
        <w:t>To talk about one’s dressing by using different tenses.</w:t>
      </w:r>
      <w:r>
        <w:rPr>
          <w:rFonts w:hint="eastAsia" w:ascii="Calibri" w:hAnsi="Calibri" w:eastAsia="宋体" w:cs="Times New Roman"/>
        </w:rPr>
        <w:t>本堂课是本单元教时中的第</w:t>
      </w:r>
      <w:r>
        <w:rPr>
          <w:rFonts w:hint="eastAsia"/>
        </w:rPr>
        <w:t>三</w:t>
      </w:r>
      <w:r>
        <w:rPr>
          <w:rFonts w:hint="eastAsia" w:ascii="Calibri" w:hAnsi="Calibri" w:eastAsia="宋体" w:cs="Times New Roman"/>
        </w:rPr>
        <w:t>课时，在第一课时里，学生</w:t>
      </w:r>
      <w:r>
        <w:rPr>
          <w:rFonts w:hint="eastAsia"/>
        </w:rPr>
        <w:t>通过校本故事教材</w:t>
      </w:r>
      <w:r>
        <w:rPr>
          <w:rFonts w:hint="eastAsia" w:ascii="宋体" w:hAnsi="宋体" w:eastAsia="宋体"/>
        </w:rPr>
        <w:t>《</w:t>
      </w:r>
      <w:r>
        <w:rPr>
          <w:rFonts w:hint="eastAsia"/>
        </w:rPr>
        <w:t>Kids</w:t>
      </w:r>
      <w:r>
        <w:t>’ Stories</w:t>
      </w:r>
      <w:r>
        <w:rPr>
          <w:rFonts w:hint="eastAsia" w:asciiTheme="minorEastAsia" w:hAnsiTheme="minorEastAsia"/>
        </w:rPr>
        <w:t>》</w:t>
      </w:r>
      <w:r>
        <w:rPr>
          <w:rFonts w:hint="eastAsia"/>
        </w:rPr>
        <w:t>里的第九个故事 New Clothes，学习了有关衣服的词汇，如hat, shirt, jeans等</w:t>
      </w:r>
      <w:r>
        <w:rPr>
          <w:rFonts w:hint="eastAsia" w:ascii="Calibri" w:hAnsi="Calibri" w:eastAsia="宋体" w:cs="Times New Roman"/>
        </w:rPr>
        <w:t>。</w:t>
      </w:r>
      <w:r>
        <w:rPr>
          <w:rFonts w:hint="eastAsia"/>
        </w:rPr>
        <w:t>结合一年级所学的相关词汇，学生能以I want</w:t>
      </w:r>
      <w:r>
        <w:t>…</w:t>
      </w:r>
      <w:r>
        <w:rPr>
          <w:rFonts w:hint="eastAsia"/>
        </w:rPr>
        <w:t>这一句型表达自己想购买的衣物并尽量给出合适的理由。第二课时是Clothes I wear, 结合了</w:t>
      </w:r>
      <w:r>
        <w:rPr>
          <w:rFonts w:hint="eastAsia" w:ascii="宋体" w:hAnsi="宋体" w:eastAsia="宋体"/>
        </w:rPr>
        <w:t>《</w:t>
      </w:r>
      <w:r>
        <w:rPr>
          <w:rFonts w:hint="eastAsia"/>
        </w:rPr>
        <w:t>佳音儿童英语3</w:t>
      </w:r>
      <w:r>
        <w:rPr>
          <w:rFonts w:hint="eastAsia" w:asciiTheme="minorEastAsia" w:hAnsiTheme="minorEastAsia"/>
        </w:rPr>
        <w:t>》</w:t>
      </w:r>
      <w:r>
        <w:rPr>
          <w:rFonts w:hint="eastAsia"/>
        </w:rPr>
        <w:t>中第九单元中的词汇，以I wear</w:t>
      </w:r>
      <w:r>
        <w:t>…</w:t>
      </w:r>
      <w:r>
        <w:rPr>
          <w:rFonts w:hint="eastAsia"/>
        </w:rPr>
        <w:t>in spring/summer/autumn/winter.这一句型来表达一年四季穿着的不同。</w:t>
      </w:r>
      <w:r>
        <w:rPr>
          <w:rFonts w:hint="eastAsia" w:ascii="Calibri" w:hAnsi="Calibri" w:eastAsia="宋体" w:cs="Times New Roman"/>
        </w:rPr>
        <w:t>本课时</w:t>
      </w:r>
      <w:r>
        <w:rPr>
          <w:rFonts w:hint="eastAsia"/>
        </w:rPr>
        <w:t>以</w:t>
      </w:r>
      <w:r>
        <w:rPr>
          <w:rFonts w:hint="eastAsia" w:ascii="宋体" w:hAnsi="宋体" w:eastAsia="宋体"/>
        </w:rPr>
        <w:t>《</w:t>
      </w:r>
      <w:r>
        <w:rPr>
          <w:rFonts w:hint="eastAsia"/>
        </w:rPr>
        <w:t>牛津教材2B</w:t>
      </w:r>
      <w:r>
        <w:rPr>
          <w:rFonts w:hint="eastAsia" w:asciiTheme="minorEastAsia" w:hAnsiTheme="minorEastAsia"/>
        </w:rPr>
        <w:t>》</w:t>
      </w:r>
      <w:r>
        <w:rPr>
          <w:rFonts w:hint="eastAsia" w:ascii="Arial" w:hAnsi="Arial" w:eastAsia="宋体" w:cs="Arial"/>
          <w:color w:val="333333"/>
          <w:kern w:val="0"/>
          <w:szCs w:val="21"/>
        </w:rPr>
        <w:t>中M3U3 My clothes的Look and learn内容作为教学内容，进行词汇教学设计。如何在前一课时复习的基础上，通过设计发展思维能力的学习活动，帮助学生对词汇部分的融会贯通，是本节课的教学重点。本节课的核心词汇是trousers, sweater, shirt 和 coat。 根据</w:t>
      </w:r>
      <w:r>
        <w:rPr>
          <w:rFonts w:hint="eastAsia" w:ascii="宋体" w:hAnsi="宋体" w:eastAsia="宋体"/>
        </w:rPr>
        <w:t>《</w:t>
      </w:r>
      <w:r>
        <w:rPr>
          <w:rFonts w:hint="eastAsia"/>
        </w:rPr>
        <w:t>英语》（牛津上海版）</w:t>
      </w:r>
      <w:r>
        <w:rPr>
          <w:rFonts w:hint="eastAsia" w:ascii="Arial" w:hAnsi="Arial" w:eastAsia="宋体" w:cs="Arial"/>
          <w:color w:val="333333"/>
          <w:kern w:val="0"/>
          <w:szCs w:val="21"/>
        </w:rPr>
        <w:t>螺旋上升的体系特色，结合一年级所学内容，我们将本节课的sub-task设定为“学生自行设计一套校服”，涵盖了衣服的颜色、功能、材质等。即：</w:t>
      </w:r>
      <w:r>
        <w:t>To talk about the uniform I design in different aspects.</w:t>
      </w:r>
      <w:r>
        <w:rPr>
          <w:rFonts w:hint="eastAsia" w:ascii="Arial" w:hAnsi="Arial" w:eastAsia="宋体" w:cs="Arial"/>
          <w:color w:val="333333"/>
          <w:kern w:val="0"/>
          <w:szCs w:val="21"/>
        </w:rPr>
        <w:t>而到了第四课时，由于</w:t>
      </w:r>
      <w:r>
        <w:rPr>
          <w:rFonts w:hint="eastAsia" w:ascii="宋体" w:hAnsi="宋体" w:eastAsia="宋体"/>
        </w:rPr>
        <w:t>《</w:t>
      </w:r>
      <w:r>
        <w:rPr>
          <w:rFonts w:hint="eastAsia" w:ascii="Arial" w:hAnsi="Arial" w:eastAsia="宋体" w:cs="Arial"/>
          <w:color w:val="333333"/>
          <w:kern w:val="0"/>
          <w:szCs w:val="21"/>
        </w:rPr>
        <w:t>佳音教材</w:t>
      </w:r>
      <w:r>
        <w:rPr>
          <w:rFonts w:hint="eastAsia" w:asciiTheme="minorEastAsia" w:hAnsiTheme="minorEastAsia"/>
        </w:rPr>
        <w:t>》</w:t>
      </w:r>
      <w:r>
        <w:rPr>
          <w:rFonts w:hint="eastAsia" w:ascii="Arial" w:hAnsi="Arial" w:eastAsia="宋体" w:cs="Arial"/>
          <w:color w:val="333333"/>
          <w:kern w:val="0"/>
          <w:szCs w:val="21"/>
        </w:rPr>
        <w:t>出现了一般进行时，继续复习巩固以这些衣服为主的词汇并新授一般进行时。第五课时是对于整个单元进行复习。</w:t>
      </w:r>
    </w:p>
    <w:p>
      <w:pPr>
        <w:ind w:firstLine="420" w:firstLineChars="200"/>
        <w:jc w:val="center"/>
        <w:rPr>
          <w:rFonts w:ascii="Arial" w:hAnsi="Arial" w:eastAsia="宋体" w:cs="Arial"/>
          <w:color w:val="333333"/>
          <w:kern w:val="0"/>
          <w:szCs w:val="21"/>
        </w:rPr>
      </w:pPr>
      <w:r>
        <w:rPr>
          <w:rFonts w:hint="eastAsia" w:ascii="Arial" w:hAnsi="Arial" w:eastAsia="宋体" w:cs="Arial"/>
          <w:color w:val="333333"/>
          <w:kern w:val="0"/>
          <w:szCs w:val="21"/>
        </w:rPr>
        <w:t>表1 我校英语学科2B M3目标任务链</w:t>
      </w:r>
    </w:p>
    <w:p>
      <w:pPr>
        <w:ind w:firstLine="420" w:firstLineChars="200"/>
        <w:rPr>
          <w:rFonts w:ascii="Arial" w:hAnsi="Arial" w:eastAsia="宋体" w:cs="Arial"/>
          <w:color w:val="333333"/>
          <w:kern w:val="0"/>
          <w:szCs w:val="21"/>
        </w:rPr>
      </w:pPr>
      <w:r>
        <w:rPr>
          <w:rFonts w:ascii="Arial" w:hAnsi="Arial" w:eastAsia="宋体" w:cs="Arial"/>
          <w:color w:val="333333"/>
          <w:kern w:val="0"/>
          <w:szCs w:val="21"/>
        </w:rPr>
        <w:pict>
          <v:roundrect id="AutoShape 3" o:spid="_x0000_s1026" o:spt="2" style="position:absolute;left:0pt;margin-left:287.9pt;margin-top:177.15pt;height:13.1pt;width:100.35pt;z-index:251667456;mso-width-relative:page;mso-height-relative:page;" filled="f" stroked="t" coordsize="21600,21600" arcsize="0.1666666666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">
            <v:path/>
            <v:fill on="f" focussize="0,0"/>
            <v:stroke weight="1.5pt" color="#FF0000" dashstyle="1 1"/>
            <v:imagedata o:title=""/>
            <o:lock v:ext="edit"/>
          </v:roundrect>
        </w:pict>
      </w:r>
      <w:r>
        <w:rPr>
          <w:rFonts w:ascii="Arial" w:hAnsi="Arial" w:eastAsia="宋体" w:cs="Arial"/>
          <w:color w:val="333333"/>
          <w:kern w:val="0"/>
          <w:szCs w:val="21"/>
        </w:rPr>
        <w:drawing>
          <wp:inline distT="0" distB="0" distL="0" distR="0">
            <wp:extent cx="5274310" cy="268160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 cstate="print"/>
                    <a:srcRect/>
                    <a:stretch>
                      <a:fillRect/>
                    </a:stretch>
                  </pic:blipFill>
                  <pic:spPr>
                    <a:xfrm>
                      <a:off x="0" y="0"/>
                      <a:ext cx="5274310" cy="2682013"/>
                    </a:xfrm>
                    <a:prstGeom prst="rect">
                      <a:avLst/>
                    </a:prstGeom>
                    <a:noFill/>
                    <a:ln w="9525">
                      <a:noFill/>
                      <a:miter lim="800000"/>
                      <a:headEnd/>
                      <a:tailEnd/>
                    </a:ln>
                  </pic:spPr>
                </pic:pic>
              </a:graphicData>
            </a:graphic>
          </wp:inline>
        </w:drawing>
      </w:r>
    </w:p>
    <w:p>
      <w:pPr>
        <w:pStyle w:val="12"/>
        <w:numPr>
          <w:ilvl w:val="0"/>
          <w:numId w:val="2"/>
        </w:numPr>
        <w:ind w:firstLineChars="0"/>
        <w:rPr>
          <w:rFonts w:ascii="黑体" w:hAnsi="黑体" w:eastAsia="黑体"/>
          <w:b/>
        </w:rPr>
      </w:pPr>
      <w:r>
        <w:rPr>
          <w:rFonts w:hint="eastAsia" w:ascii="黑体" w:hAnsi="黑体" w:eastAsia="黑体"/>
          <w:b/>
        </w:rPr>
        <w:t>课例呈现</w:t>
      </w:r>
    </w:p>
    <w:p>
      <w:pPr>
        <w:pStyle w:val="12"/>
        <w:ind w:left="360" w:firstLineChars="0"/>
      </w:pPr>
      <w:r>
        <w:rPr>
          <w:rFonts w:hint="eastAsia"/>
        </w:rPr>
        <w:t>在设计词汇教学时，通过创设语言实践的情境，重点学习单元主题词、单元核心词汇及其联想词、重要句式等，启发和鼓励学生在词汇学习过程中思考、质疑、探究、想象、合作、提出问题和观点、准确表达思想，从而培养学生的高阶思维。本节课的教学步骤以及对应的思维能力发展如图所示：</w:t>
      </w:r>
    </w:p>
    <w:p>
      <w:pPr>
        <w:pStyle w:val="12"/>
        <w:ind w:left="360" w:firstLineChars="0"/>
      </w:pPr>
    </w:p>
    <w:p>
      <w:pPr>
        <w:pStyle w:val="12"/>
        <w:ind w:left="360" w:firstLine="0" w:firstLineChars="0"/>
      </w:pPr>
      <w:r>
        <w:rPr>
          <w:rFonts w:hint="eastAsia"/>
        </w:rPr>
        <w:drawing>
          <wp:inline distT="0" distB="0" distL="0" distR="0">
            <wp:extent cx="4982210" cy="3077845"/>
            <wp:effectExtent l="38100" t="19050" r="8890" b="8255"/>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t xml:space="preserve"> </w:t>
      </w:r>
    </w:p>
    <w:p>
      <w:pPr>
        <w:pStyle w:val="12"/>
        <w:ind w:left="360" w:firstLine="0" w:firstLineChars="0"/>
      </w:pPr>
    </w:p>
    <w:p>
      <w:pPr>
        <w:rPr>
          <w:rFonts w:ascii="Arial" w:hAnsi="Arial" w:cs="Arial"/>
          <w:color w:val="333333"/>
          <w:szCs w:val="21"/>
        </w:rPr>
      </w:pPr>
      <w:r>
        <w:rPr>
          <w:rFonts w:hint="eastAsia" w:ascii="Arial" w:hAnsi="Arial" w:cs="Arial"/>
          <w:color w:val="333333"/>
          <w:szCs w:val="21"/>
        </w:rPr>
        <w:t>1)</w:t>
      </w:r>
      <w:r>
        <w:rPr>
          <w:rFonts w:ascii="Calibri" w:hAnsi="Calibri" w:eastAsia="宋体" w:cs="+mn-cs"/>
          <w:color w:val="000000"/>
          <w:kern w:val="0"/>
          <w:sz w:val="24"/>
          <w:szCs w:val="24"/>
        </w:rPr>
        <w:t xml:space="preserve"> </w:t>
      </w:r>
      <w:r>
        <w:rPr>
          <w:rFonts w:hint="eastAsia" w:ascii="Arial" w:hAnsi="Arial" w:cs="Arial"/>
          <w:color w:val="333333"/>
          <w:szCs w:val="21"/>
        </w:rPr>
        <w:t>To analyze- Recalling</w:t>
      </w:r>
      <w:r>
        <w:rPr>
          <w:rFonts w:ascii="Arial" w:hAnsi="Arial" w:cs="Arial"/>
          <w:color w:val="333333"/>
          <w:szCs w:val="21"/>
        </w:rPr>
        <w:t xml:space="preserve"> 思维导图，复习旧知</w:t>
      </w:r>
    </w:p>
    <w:p>
      <w:pPr>
        <w:rPr>
          <w:rFonts w:ascii="Arial" w:hAnsi="Arial" w:cs="Arial"/>
          <w:color w:val="333333"/>
          <w:szCs w:val="21"/>
        </w:rPr>
      </w:pPr>
      <w:r>
        <w:rPr>
          <w:rFonts w:hint="eastAsia" w:ascii="Arial" w:hAnsi="Arial" w:cs="Arial"/>
          <w:color w:val="333333"/>
          <w:szCs w:val="21"/>
        </w:rPr>
        <w:t xml:space="preserve">    在基于话题情境的基础上，联想已知词汇，以思维导图--brace map来复习一二年级学生已知的有关衣服的词汇。其中，教师以不同颜色表示不同服饰的功能。并标注上位词，如shoes, </w:t>
      </w:r>
      <w:r>
        <w:rPr>
          <w:rFonts w:ascii="Arial" w:hAnsi="Arial" w:cs="Arial"/>
          <w:color w:val="333333"/>
          <w:szCs w:val="21"/>
        </w:rPr>
        <w:t>accessories</w:t>
      </w:r>
      <w:r>
        <w:rPr>
          <w:rFonts w:hint="eastAsia" w:ascii="Arial" w:hAnsi="Arial" w:cs="Arial"/>
          <w:color w:val="333333"/>
          <w:szCs w:val="21"/>
        </w:rPr>
        <w:t>等。</w:t>
      </w:r>
      <w:r>
        <w:rPr>
          <w:rFonts w:ascii="Arial" w:hAnsi="Arial" w:cs="Arial"/>
          <w:color w:val="333333"/>
          <w:szCs w:val="21"/>
        </w:rPr>
        <w:t>Accessories</w:t>
      </w:r>
      <w:r>
        <w:rPr>
          <w:rFonts w:hint="eastAsia" w:ascii="Arial" w:hAnsi="Arial" w:cs="Arial"/>
          <w:color w:val="333333"/>
          <w:szCs w:val="21"/>
        </w:rPr>
        <w:t>对于孩子们来说比较深，而程度较好的学生则可以通过hat, belt来猜测</w:t>
      </w:r>
      <w:r>
        <w:rPr>
          <w:rFonts w:ascii="Arial" w:hAnsi="Arial" w:cs="Arial"/>
          <w:color w:val="333333"/>
          <w:szCs w:val="21"/>
        </w:rPr>
        <w:t>accessories</w:t>
      </w:r>
      <w:r>
        <w:rPr>
          <w:rFonts w:hint="eastAsia" w:ascii="Arial" w:hAnsi="Arial" w:cs="Arial"/>
          <w:color w:val="333333"/>
          <w:szCs w:val="21"/>
        </w:rPr>
        <w:t>的意思。思维导图有助于将有关服饰的词汇</w:t>
      </w:r>
      <w:r>
        <w:rPr>
          <w:rFonts w:ascii="Arial" w:hAnsi="Arial" w:cs="Arial"/>
          <w:color w:val="333333"/>
          <w:szCs w:val="21"/>
        </w:rPr>
        <w:t>条理清晰地储存在大脑中，</w:t>
      </w:r>
      <w:r>
        <w:rPr>
          <w:rFonts w:hint="eastAsia" w:ascii="Arial" w:hAnsi="Arial" w:cs="Arial"/>
          <w:color w:val="333333"/>
          <w:szCs w:val="21"/>
        </w:rPr>
        <w:t>在最后</w:t>
      </w:r>
      <w:r>
        <w:rPr>
          <w:rFonts w:ascii="Arial" w:hAnsi="Arial" w:cs="Arial"/>
          <w:color w:val="333333"/>
          <w:szCs w:val="21"/>
        </w:rPr>
        <w:t>输出的时候会迅速、系统</w:t>
      </w:r>
      <w:r>
        <w:rPr>
          <w:rFonts w:hint="eastAsia" w:ascii="Arial" w:hAnsi="Arial" w:cs="Arial"/>
          <w:color w:val="333333"/>
          <w:szCs w:val="21"/>
        </w:rPr>
        <w:t>。通过树立新旧知识间的联系，更好地理解其关系结构。在归纳的基础上，架构词汇网络，建立指示体系来记忆单词。</w:t>
      </w:r>
    </w:p>
    <w:p>
      <w:r>
        <w:rPr>
          <w:rFonts w:hint="eastAsia" w:ascii="Arial" w:hAnsi="Arial" w:eastAsia="宋体" w:cs="Arial"/>
          <w:color w:val="333333"/>
          <w:kern w:val="0"/>
          <w:szCs w:val="21"/>
        </w:rPr>
        <w:t>2）To remember- Categorizing</w:t>
      </w:r>
      <w:r>
        <w:t xml:space="preserve"> </w:t>
      </w:r>
      <w:r>
        <w:rPr>
          <w:rFonts w:hint="eastAsia"/>
        </w:rPr>
        <w:t>背记</w:t>
      </w:r>
      <w:r>
        <w:t>新词，</w:t>
      </w:r>
      <w:r>
        <w:rPr>
          <w:rFonts w:hint="eastAsia"/>
        </w:rPr>
        <w:t>以旧带新</w:t>
      </w:r>
      <w:r>
        <w:t xml:space="preserve"> </w:t>
      </w:r>
    </w:p>
    <w:p>
      <w:pPr>
        <w:pStyle w:val="12"/>
        <w:rPr>
          <w:rFonts w:ascii="Arial" w:hAnsi="Arial" w:eastAsia="宋体" w:cs="Arial"/>
          <w:color w:val="333333"/>
          <w:kern w:val="0"/>
          <w:szCs w:val="21"/>
        </w:rPr>
      </w:pPr>
      <w:r>
        <w:rPr>
          <w:rFonts w:ascii="Arial" w:hAnsi="Arial" w:eastAsia="宋体" w:cs="Arial"/>
          <w:color w:val="333333"/>
          <w:kern w:val="0"/>
          <w:szCs w:val="21"/>
        </w:rPr>
        <w:drawing>
          <wp:anchor distT="0" distB="0" distL="114300" distR="114300" simplePos="0" relativeHeight="251660288" behindDoc="0" locked="0" layoutInCell="1" allowOverlap="1">
            <wp:simplePos x="0" y="0"/>
            <wp:positionH relativeFrom="column">
              <wp:posOffset>372110</wp:posOffset>
            </wp:positionH>
            <wp:positionV relativeFrom="paragraph">
              <wp:posOffset>1833880</wp:posOffset>
            </wp:positionV>
            <wp:extent cx="1715135" cy="1457325"/>
            <wp:effectExtent l="1905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srcRect/>
                    <a:stretch>
                      <a:fillRect/>
                    </a:stretch>
                  </pic:blipFill>
                  <pic:spPr>
                    <a:xfrm>
                      <a:off x="0" y="0"/>
                      <a:ext cx="1715135" cy="1457325"/>
                    </a:xfrm>
                    <a:prstGeom prst="rect">
                      <a:avLst/>
                    </a:prstGeom>
                    <a:noFill/>
                    <a:ln w="9525">
                      <a:noFill/>
                      <a:miter lim="800000"/>
                      <a:headEnd/>
                      <a:tailEnd/>
                    </a:ln>
                  </pic:spPr>
                </pic:pic>
              </a:graphicData>
            </a:graphic>
          </wp:anchor>
        </w:drawing>
      </w:r>
      <w:r>
        <w:rPr>
          <w:rFonts w:ascii="Arial" w:hAnsi="Arial" w:eastAsia="宋体" w:cs="Arial"/>
          <w:color w:val="333333"/>
          <w:kern w:val="0"/>
          <w:szCs w:val="21"/>
        </w:rPr>
        <w:t>当学生有了一定的词汇量后，应注意新旧单词的联系，教会学生学会“比较”词汇，</w:t>
      </w:r>
      <w:r>
        <w:rPr>
          <w:rFonts w:hint="eastAsia" w:ascii="Arial" w:hAnsi="Arial" w:eastAsia="宋体" w:cs="Arial"/>
          <w:color w:val="333333"/>
          <w:kern w:val="0"/>
          <w:szCs w:val="21"/>
        </w:rPr>
        <w:t>帮助学生梳理、搭建语音知识框架</w:t>
      </w:r>
      <w:r>
        <w:rPr>
          <w:rFonts w:ascii="Arial" w:hAnsi="Arial" w:eastAsia="宋体" w:cs="Arial"/>
          <w:color w:val="333333"/>
          <w:kern w:val="0"/>
          <w:szCs w:val="21"/>
        </w:rPr>
        <w:t>并及时归纳总结，教给学生行之有效的记忆方法。例如，在教“</w:t>
      </w:r>
      <w:r>
        <w:rPr>
          <w:rFonts w:hint="eastAsia" w:ascii="Arial" w:hAnsi="Arial" w:eastAsia="宋体" w:cs="Arial"/>
          <w:color w:val="333333"/>
          <w:kern w:val="0"/>
          <w:szCs w:val="21"/>
        </w:rPr>
        <w:t>coat</w:t>
      </w:r>
      <w:r>
        <w:rPr>
          <w:rFonts w:ascii="Arial" w:hAnsi="Arial" w:eastAsia="宋体" w:cs="Arial"/>
          <w:color w:val="333333"/>
          <w:kern w:val="0"/>
          <w:szCs w:val="21"/>
        </w:rPr>
        <w:t>”这个单词时，</w:t>
      </w:r>
      <w:r>
        <w:rPr>
          <w:rFonts w:hint="eastAsia" w:ascii="Arial" w:hAnsi="Arial" w:eastAsia="宋体" w:cs="Arial"/>
          <w:color w:val="333333"/>
          <w:kern w:val="0"/>
          <w:szCs w:val="21"/>
        </w:rPr>
        <w:t>通过寻找规律来积累词块，根据音形组合，强化记忆。</w:t>
      </w:r>
      <w:r>
        <w:rPr>
          <w:rFonts w:ascii="Arial" w:hAnsi="Arial" w:eastAsia="宋体" w:cs="Arial"/>
          <w:color w:val="333333"/>
          <w:kern w:val="0"/>
          <w:szCs w:val="21"/>
        </w:rPr>
        <w:t>由于之前学过另</w:t>
      </w:r>
      <w:r>
        <w:rPr>
          <w:rFonts w:hint="eastAsia" w:ascii="Arial" w:hAnsi="Arial" w:eastAsia="宋体" w:cs="Arial"/>
          <w:color w:val="333333"/>
          <w:kern w:val="0"/>
          <w:szCs w:val="21"/>
        </w:rPr>
        <w:t>两个</w:t>
      </w:r>
      <w:r>
        <w:rPr>
          <w:rFonts w:ascii="Arial" w:hAnsi="Arial" w:eastAsia="宋体" w:cs="Arial"/>
          <w:color w:val="333333"/>
          <w:kern w:val="0"/>
          <w:szCs w:val="21"/>
        </w:rPr>
        <w:t>单词“</w:t>
      </w:r>
      <w:r>
        <w:rPr>
          <w:rFonts w:hint="eastAsia" w:ascii="Arial" w:hAnsi="Arial" w:eastAsia="宋体" w:cs="Arial"/>
          <w:color w:val="333333"/>
          <w:kern w:val="0"/>
          <w:szCs w:val="21"/>
        </w:rPr>
        <w:t>goat</w:t>
      </w:r>
      <w:r>
        <w:rPr>
          <w:rFonts w:ascii="Arial" w:hAnsi="Arial" w:eastAsia="宋体" w:cs="Arial"/>
          <w:color w:val="333333"/>
          <w:kern w:val="0"/>
          <w:szCs w:val="21"/>
        </w:rPr>
        <w:t>”</w:t>
      </w:r>
      <w:r>
        <w:rPr>
          <w:rFonts w:hint="eastAsia" w:ascii="Arial" w:hAnsi="Arial" w:eastAsia="宋体" w:cs="Arial"/>
          <w:color w:val="333333"/>
          <w:kern w:val="0"/>
          <w:szCs w:val="21"/>
        </w:rPr>
        <w:t>和</w:t>
      </w:r>
      <w:r>
        <w:rPr>
          <w:rFonts w:ascii="Arial" w:hAnsi="Arial" w:eastAsia="宋体" w:cs="Arial"/>
          <w:color w:val="333333"/>
          <w:kern w:val="0"/>
          <w:szCs w:val="21"/>
        </w:rPr>
        <w:t>”</w:t>
      </w:r>
      <w:r>
        <w:rPr>
          <w:rFonts w:hint="eastAsia" w:ascii="Arial" w:hAnsi="Arial" w:eastAsia="宋体" w:cs="Arial"/>
          <w:color w:val="333333"/>
          <w:kern w:val="0"/>
          <w:szCs w:val="21"/>
        </w:rPr>
        <w:t>boat</w:t>
      </w:r>
      <w:r>
        <w:rPr>
          <w:rFonts w:ascii="Arial" w:hAnsi="Arial" w:eastAsia="宋体" w:cs="Arial"/>
          <w:color w:val="333333"/>
          <w:kern w:val="0"/>
          <w:szCs w:val="21"/>
        </w:rPr>
        <w:t xml:space="preserve">”, </w:t>
      </w:r>
      <w:r>
        <w:rPr>
          <w:rFonts w:hint="eastAsia" w:ascii="Arial" w:hAnsi="Arial" w:eastAsia="宋体" w:cs="Arial"/>
          <w:color w:val="333333"/>
          <w:kern w:val="0"/>
          <w:szCs w:val="21"/>
        </w:rPr>
        <w:t>通过问题What</w:t>
      </w:r>
      <w:r>
        <w:rPr>
          <w:rFonts w:ascii="Arial" w:hAnsi="Arial" w:eastAsia="宋体" w:cs="Arial"/>
          <w:color w:val="333333"/>
          <w:kern w:val="0"/>
          <w:szCs w:val="21"/>
        </w:rPr>
        <w:t>’</w:t>
      </w:r>
      <w:r>
        <w:rPr>
          <w:rFonts w:hint="eastAsia" w:ascii="Arial" w:hAnsi="Arial" w:eastAsia="宋体" w:cs="Arial"/>
          <w:color w:val="333333"/>
          <w:kern w:val="0"/>
          <w:szCs w:val="21"/>
        </w:rPr>
        <w:t xml:space="preserve">s on the coat? </w:t>
      </w:r>
      <w:r>
        <w:rPr>
          <w:rFonts w:ascii="Arial" w:hAnsi="Arial" w:eastAsia="宋体" w:cs="Arial"/>
          <w:color w:val="333333"/>
          <w:kern w:val="0"/>
          <w:szCs w:val="21"/>
        </w:rPr>
        <w:t>先把 “</w:t>
      </w:r>
      <w:r>
        <w:rPr>
          <w:rFonts w:hint="eastAsia" w:ascii="Arial" w:hAnsi="Arial" w:eastAsia="宋体" w:cs="Arial"/>
          <w:color w:val="333333"/>
          <w:kern w:val="0"/>
          <w:szCs w:val="21"/>
        </w:rPr>
        <w:t>goat</w:t>
      </w:r>
      <w:r>
        <w:rPr>
          <w:rFonts w:ascii="Arial" w:hAnsi="Arial" w:eastAsia="宋体" w:cs="Arial"/>
          <w:color w:val="333333"/>
          <w:kern w:val="0"/>
          <w:szCs w:val="21"/>
        </w:rPr>
        <w:t>”和 “b</w:t>
      </w:r>
      <w:r>
        <w:rPr>
          <w:rFonts w:hint="eastAsia" w:ascii="Arial" w:hAnsi="Arial" w:eastAsia="宋体" w:cs="Arial"/>
          <w:color w:val="333333"/>
          <w:kern w:val="0"/>
          <w:szCs w:val="21"/>
        </w:rPr>
        <w:t>oat</w:t>
      </w:r>
      <w:r>
        <w:rPr>
          <w:rFonts w:ascii="Arial" w:hAnsi="Arial" w:eastAsia="宋体" w:cs="Arial"/>
          <w:color w:val="333333"/>
          <w:kern w:val="0"/>
          <w:szCs w:val="21"/>
        </w:rPr>
        <w:t>”这两个单词</w:t>
      </w:r>
      <w:r>
        <w:rPr>
          <w:rFonts w:hint="eastAsia" w:ascii="Arial" w:hAnsi="Arial" w:eastAsia="宋体" w:cs="Arial"/>
          <w:color w:val="333333"/>
          <w:kern w:val="0"/>
          <w:szCs w:val="21"/>
        </w:rPr>
        <w:t>的图案设计在coat上，</w:t>
      </w:r>
      <w:r>
        <w:rPr>
          <w:rFonts w:ascii="Arial" w:hAnsi="Arial" w:eastAsia="宋体" w:cs="Arial"/>
          <w:color w:val="333333"/>
          <w:kern w:val="0"/>
          <w:szCs w:val="21"/>
        </w:rPr>
        <w:t>让学生</w:t>
      </w:r>
      <w:r>
        <w:rPr>
          <w:rFonts w:hint="eastAsia" w:ascii="Arial" w:hAnsi="Arial" w:eastAsia="宋体" w:cs="Arial"/>
          <w:color w:val="333333"/>
          <w:kern w:val="0"/>
          <w:szCs w:val="21"/>
        </w:rPr>
        <w:t xml:space="preserve">在回答There is a goat/boat on the boat. </w:t>
      </w:r>
      <w:r>
        <w:rPr>
          <w:rFonts w:ascii="Arial" w:hAnsi="Arial" w:eastAsia="宋体" w:cs="Arial"/>
          <w:color w:val="333333"/>
          <w:kern w:val="0"/>
          <w:szCs w:val="21"/>
        </w:rPr>
        <w:t>观察</w:t>
      </w:r>
      <w:r>
        <w:rPr>
          <w:rFonts w:hint="eastAsia" w:ascii="Arial" w:hAnsi="Arial" w:eastAsia="宋体" w:cs="Arial"/>
          <w:color w:val="333333"/>
          <w:kern w:val="0"/>
          <w:szCs w:val="21"/>
        </w:rPr>
        <w:t>这三个单词</w:t>
      </w:r>
      <w:r>
        <w:rPr>
          <w:rFonts w:ascii="Arial" w:hAnsi="Arial" w:eastAsia="宋体" w:cs="Arial"/>
          <w:color w:val="333333"/>
          <w:kern w:val="0"/>
          <w:szCs w:val="21"/>
        </w:rPr>
        <w:t>有什么相同之处和不同之处。本来“</w:t>
      </w:r>
      <w:r>
        <w:rPr>
          <w:rFonts w:hint="eastAsia" w:ascii="Arial" w:hAnsi="Arial" w:eastAsia="宋体" w:cs="Arial"/>
          <w:color w:val="333333"/>
          <w:kern w:val="0"/>
          <w:szCs w:val="21"/>
        </w:rPr>
        <w:t>coat</w:t>
      </w:r>
      <w:r>
        <w:rPr>
          <w:rFonts w:ascii="Arial" w:hAnsi="Arial" w:eastAsia="宋体" w:cs="Arial"/>
          <w:color w:val="333333"/>
          <w:kern w:val="0"/>
          <w:szCs w:val="21"/>
        </w:rPr>
        <w:t>”对于学生来说是个陌生的单词，和已学过的 “</w:t>
      </w:r>
      <w:r>
        <w:rPr>
          <w:rFonts w:hint="eastAsia" w:ascii="Arial" w:hAnsi="Arial" w:eastAsia="宋体" w:cs="Arial"/>
          <w:color w:val="333333"/>
          <w:kern w:val="0"/>
          <w:szCs w:val="21"/>
        </w:rPr>
        <w:t>boat, goat</w:t>
      </w:r>
      <w:r>
        <w:rPr>
          <w:rFonts w:ascii="Arial" w:hAnsi="Arial" w:eastAsia="宋体" w:cs="Arial"/>
          <w:color w:val="333333"/>
          <w:kern w:val="0"/>
          <w:szCs w:val="21"/>
        </w:rPr>
        <w:t>”这样一比较起来，学生印象深刻，一下子就记住</w:t>
      </w:r>
      <w:r>
        <w:rPr>
          <w:rFonts w:hint="eastAsia" w:ascii="Arial" w:hAnsi="Arial" w:eastAsia="宋体" w:cs="Arial"/>
          <w:color w:val="333333"/>
          <w:kern w:val="0"/>
          <w:szCs w:val="21"/>
        </w:rPr>
        <w:t xml:space="preserve"> coat</w:t>
      </w:r>
      <w:r>
        <w:rPr>
          <w:rFonts w:ascii="Arial" w:hAnsi="Arial" w:eastAsia="宋体" w:cs="Arial"/>
          <w:color w:val="333333"/>
          <w:kern w:val="0"/>
          <w:szCs w:val="21"/>
        </w:rPr>
        <w:t>这个单词了。</w:t>
      </w:r>
    </w:p>
    <w:p>
      <w:pPr>
        <w:ind w:firstLine="420" w:firstLineChars="200"/>
        <w:rPr>
          <w:rFonts w:ascii="Arial" w:hAnsi="Arial" w:eastAsia="宋体" w:cs="Arial"/>
          <w:color w:val="333333"/>
          <w:kern w:val="0"/>
          <w:szCs w:val="21"/>
        </w:rPr>
      </w:pPr>
      <w:r>
        <w:rPr>
          <w:rFonts w:hint="eastAsia" w:ascii="Arial" w:hAnsi="Arial" w:eastAsia="宋体" w:cs="Arial"/>
          <w:color w:val="333333"/>
          <w:kern w:val="0"/>
          <w:szCs w:val="21"/>
        </w:rPr>
        <w:drawing>
          <wp:anchor distT="0" distB="0" distL="114300" distR="114300" simplePos="0" relativeHeight="251662336" behindDoc="0" locked="0" layoutInCell="1" allowOverlap="1">
            <wp:simplePos x="0" y="0"/>
            <wp:positionH relativeFrom="column">
              <wp:posOffset>504825</wp:posOffset>
            </wp:positionH>
            <wp:positionV relativeFrom="paragraph">
              <wp:posOffset>1192530</wp:posOffset>
            </wp:positionV>
            <wp:extent cx="2114550" cy="1647825"/>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cstate="print"/>
                    <a:srcRect l="16226"/>
                    <a:stretch>
                      <a:fillRect/>
                    </a:stretch>
                  </pic:blipFill>
                  <pic:spPr>
                    <a:xfrm>
                      <a:off x="0" y="0"/>
                      <a:ext cx="2114550" cy="1647825"/>
                    </a:xfrm>
                    <a:prstGeom prst="rect">
                      <a:avLst/>
                    </a:prstGeom>
                    <a:noFill/>
                    <a:ln w="9525">
                      <a:noFill/>
                      <a:miter lim="800000"/>
                      <a:headEnd/>
                      <a:tailEnd/>
                    </a:ln>
                  </pic:spPr>
                </pic:pic>
              </a:graphicData>
            </a:graphic>
          </wp:anchor>
        </w:drawing>
      </w:r>
      <w:r>
        <w:rPr>
          <w:rFonts w:hint="eastAsia" w:ascii="Arial" w:hAnsi="Arial" w:eastAsia="宋体" w:cs="Arial"/>
          <w:color w:val="333333"/>
          <w:kern w:val="0"/>
          <w:szCs w:val="21"/>
        </w:rPr>
        <w:t>合成词（compound word）一般是指由两个单词组合而成的一个新词。小学英语里的单词有很多是合成词，把它们进行拆分再记忆会容易许多。把coat和rain, wind等结合，出示图片，猜测词义，让学生体会音、义、形的关联。根据图示，让学生们通过Match game来习得新词汇，如raincoat, windcoat等。一个合成词能让学生学会两个不同的单词，学习过程高效，而且学生也非常感兴趣，促进学习能力的发展，提高学生见词能读、听音能写的能力。</w:t>
      </w:r>
    </w:p>
    <w:p>
      <w:pPr>
        <w:rPr>
          <w:rFonts w:ascii="Arial" w:hAnsi="Arial" w:eastAsia="宋体" w:cs="Arial"/>
          <w:color w:val="333333"/>
          <w:kern w:val="0"/>
          <w:szCs w:val="21"/>
        </w:rPr>
      </w:pPr>
    </w:p>
    <w:p>
      <w:pPr>
        <w:rPr>
          <w:rFonts w:ascii="Arial" w:hAnsi="Arial" w:eastAsia="宋体" w:cs="Arial"/>
          <w:color w:val="333333"/>
          <w:kern w:val="0"/>
          <w:szCs w:val="21"/>
        </w:rPr>
      </w:pPr>
      <w:r>
        <w:rPr>
          <w:rFonts w:hint="eastAsia" w:ascii="Arial" w:hAnsi="Arial" w:eastAsia="宋体" w:cs="Arial"/>
          <w:color w:val="333333"/>
          <w:kern w:val="0"/>
          <w:szCs w:val="21"/>
        </w:rPr>
        <w:t xml:space="preserve">3）To </w:t>
      </w:r>
      <w:r>
        <w:rPr>
          <w:rFonts w:ascii="Arial" w:hAnsi="Arial" w:eastAsia="宋体" w:cs="Arial"/>
          <w:color w:val="333333"/>
          <w:kern w:val="0"/>
          <w:szCs w:val="21"/>
        </w:rPr>
        <w:t>understand</w:t>
      </w:r>
      <w:r>
        <w:rPr>
          <w:rFonts w:hint="eastAsia" w:ascii="Arial" w:hAnsi="Arial" w:eastAsia="宋体" w:cs="Arial"/>
          <w:color w:val="333333"/>
          <w:kern w:val="0"/>
          <w:szCs w:val="21"/>
        </w:rPr>
        <w:t>- Using</w:t>
      </w:r>
      <w:r>
        <w:rPr>
          <w:rFonts w:ascii="Arial" w:hAnsi="Arial" w:eastAsia="宋体" w:cs="Arial"/>
          <w:color w:val="333333"/>
          <w:kern w:val="0"/>
          <w:szCs w:val="21"/>
        </w:rPr>
        <w:t>理解语义，加深体验</w:t>
      </w:r>
    </w:p>
    <w:p>
      <w:pPr>
        <w:ind w:firstLine="285"/>
        <w:rPr>
          <w:rFonts w:ascii="Arial" w:hAnsi="Arial" w:eastAsia="宋体" w:cs="Arial"/>
          <w:color w:val="333333"/>
          <w:kern w:val="0"/>
          <w:szCs w:val="21"/>
        </w:rPr>
      </w:pPr>
      <w:r>
        <w:rPr>
          <w:rFonts w:ascii="Arial" w:hAnsi="Arial" w:eastAsia="宋体" w:cs="Arial"/>
          <w:color w:val="333333"/>
          <w:kern w:val="0"/>
          <w:szCs w:val="21"/>
        </w:rPr>
        <w:t>词汇教学离不开跟读，</w:t>
      </w:r>
      <w:r>
        <w:rPr>
          <w:rFonts w:hint="eastAsia" w:ascii="Arial" w:hAnsi="Arial" w:eastAsia="宋体" w:cs="Arial"/>
          <w:color w:val="333333"/>
          <w:kern w:val="0"/>
          <w:szCs w:val="21"/>
        </w:rPr>
        <w:t>对于低年级学生来说机械性模仿尤为重要。</w:t>
      </w:r>
      <w:r>
        <w:rPr>
          <w:rFonts w:ascii="Arial" w:hAnsi="Arial" w:eastAsia="宋体" w:cs="Arial"/>
          <w:color w:val="333333"/>
          <w:kern w:val="0"/>
          <w:szCs w:val="21"/>
        </w:rPr>
        <w:t>它能给学生以非常清晰、明朗的印象，帮助学生准确把握单词的正确读音，但这种方法用起来比较枯燥，读多了学生会厌烦，读少了</w:t>
      </w:r>
      <w:r>
        <w:rPr>
          <w:rFonts w:hint="eastAsia" w:ascii="Arial" w:hAnsi="Arial" w:eastAsia="宋体" w:cs="Arial"/>
          <w:color w:val="333333"/>
          <w:kern w:val="0"/>
          <w:szCs w:val="21"/>
        </w:rPr>
        <w:t>不易记住</w:t>
      </w:r>
      <w:r>
        <w:rPr>
          <w:rFonts w:ascii="Arial" w:hAnsi="Arial" w:eastAsia="宋体" w:cs="Arial"/>
          <w:color w:val="333333"/>
          <w:kern w:val="0"/>
          <w:szCs w:val="21"/>
        </w:rPr>
        <w:t>。此时，朗朗上口的歌谣就可以很好地帮我们</w:t>
      </w:r>
      <w:r>
        <w:rPr>
          <w:rFonts w:hint="eastAsia" w:ascii="Arial" w:hAnsi="Arial" w:eastAsia="宋体" w:cs="Arial"/>
          <w:color w:val="333333"/>
          <w:kern w:val="0"/>
          <w:szCs w:val="21"/>
        </w:rPr>
        <w:t>解决这个问题</w:t>
      </w:r>
      <w:r>
        <w:rPr>
          <w:rFonts w:ascii="Arial" w:hAnsi="Arial" w:eastAsia="宋体" w:cs="Arial"/>
          <w:color w:val="333333"/>
          <w:kern w:val="0"/>
          <w:szCs w:val="21"/>
        </w:rPr>
        <w:t>，在教学中，我们可以选择现成的歌谣，或创作一些简单的歌谣，通过有节奏的说唱来重复、巩固所学的内容。</w:t>
      </w:r>
      <w:r>
        <w:rPr>
          <w:rFonts w:hint="eastAsia" w:ascii="Arial" w:hAnsi="Arial" w:eastAsia="宋体" w:cs="Arial"/>
          <w:color w:val="333333"/>
          <w:kern w:val="0"/>
          <w:szCs w:val="21"/>
        </w:rPr>
        <w:t>例如，在巩固coat，这个新词的时候，利用佳音教材第三册中第六单元的歌曲Every Day Song这一耳熟能详的旋律，我们编写了这首新歌The blue coat, 歌词中既复习巩固了新词coat, 又是在有关衣服的情景中，唤醒学生已知句型，如The blue coat is made of wool.学生们通过自唱、同桌互唱来巩固这个单词。之后，教师出示了一系列有关clothes的旧单词，让学生们进行替代性练习，这一练习也为输出环节打下基础。小学英语词汇学习可以与歌曲有机结合，再对一些英文歌曲的部分歌词进行替换，这样会更有效的调动起孩子们的积极性，体验到快乐学习的感觉，另外也复习了以前所学的单词，加深了印象。</w:t>
      </w:r>
    </w:p>
    <w:p>
      <w:pPr>
        <w:ind w:firstLine="285"/>
        <w:rPr>
          <w:rFonts w:ascii="Arial" w:hAnsi="Arial" w:eastAsia="宋体" w:cs="Arial"/>
          <w:color w:val="333333"/>
          <w:kern w:val="0"/>
          <w:szCs w:val="21"/>
        </w:rPr>
      </w:pPr>
    </w:p>
    <w:p>
      <w:pPr>
        <w:ind w:firstLine="285"/>
        <w:rPr>
          <w:rFonts w:ascii="Arial" w:hAnsi="Arial" w:eastAsia="宋体" w:cs="Arial"/>
          <w:color w:val="333333"/>
          <w:kern w:val="0"/>
          <w:szCs w:val="21"/>
        </w:rPr>
      </w:pPr>
      <w:r>
        <w:rPr>
          <w:rFonts w:ascii="Arial" w:hAnsi="Arial" w:eastAsia="宋体" w:cs="Arial"/>
          <w:color w:val="333333"/>
          <w:kern w:val="0"/>
          <w:szCs w:val="21"/>
        </w:rPr>
        <w:drawing>
          <wp:anchor distT="0" distB="0" distL="114300" distR="114300" simplePos="0" relativeHeight="251661312" behindDoc="0" locked="0" layoutInCell="1" allowOverlap="1">
            <wp:simplePos x="0" y="0"/>
            <wp:positionH relativeFrom="column">
              <wp:posOffset>3209925</wp:posOffset>
            </wp:positionH>
            <wp:positionV relativeFrom="paragraph">
              <wp:posOffset>318135</wp:posOffset>
            </wp:positionV>
            <wp:extent cx="2438400" cy="2009775"/>
            <wp:effectExtent l="19050" t="0" r="0" b="0"/>
            <wp:wrapNone/>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2" cstate="print"/>
                    <a:srcRect/>
                    <a:stretch>
                      <a:fillRect/>
                    </a:stretch>
                  </pic:blipFill>
                  <pic:spPr>
                    <a:xfrm>
                      <a:off x="0" y="0"/>
                      <a:ext cx="2438400" cy="2009775"/>
                    </a:xfrm>
                    <a:prstGeom prst="rect">
                      <a:avLst/>
                    </a:prstGeom>
                    <a:noFill/>
                    <a:ln w="9525">
                      <a:noFill/>
                      <a:miter lim="800000"/>
                      <a:headEnd/>
                      <a:tailEnd/>
                    </a:ln>
                  </pic:spPr>
                </pic:pic>
              </a:graphicData>
            </a:graphic>
          </wp:anchor>
        </w:drawing>
      </w:r>
      <w:r>
        <w:rPr>
          <w:rFonts w:ascii="Arial" w:hAnsi="Arial" w:eastAsia="宋体" w:cs="Arial"/>
          <w:color w:val="333333"/>
          <w:kern w:val="0"/>
          <w:szCs w:val="21"/>
        </w:rPr>
        <w:drawing>
          <wp:inline distT="0" distB="0" distL="0" distR="0">
            <wp:extent cx="2038350" cy="2286000"/>
            <wp:effectExtent l="19050" t="0" r="0" b="0"/>
            <wp:docPr id="2"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5143500" cy="4508500"/>
                      <a:chOff x="1042988" y="1139825"/>
                      <a:chExt cx="5143500" cy="4508500"/>
                    </a:xfrm>
                  </a:grpSpPr>
                  <a:grpSp>
                    <a:nvGrpSpPr>
                      <a:cNvPr id="30724" name="组合 7"/>
                      <a:cNvGrpSpPr/>
                    </a:nvGrpSpPr>
                    <a:grpSpPr bwMode="auto">
                      <a:xfrm>
                        <a:off x="1042988" y="1139825"/>
                        <a:ext cx="5143500" cy="4508500"/>
                        <a:chOff x="5189140" y="584858"/>
                        <a:chExt cx="5143500" cy="4509120"/>
                      </a:xfrm>
                    </a:grpSpPr>
                    <a:pic>
                      <a:nvPicPr>
                        <a:cNvPr id="9" name="图片 8"/>
                        <a:cNvPicPr>
                          <a:picLocks noChangeAspect="1"/>
                        </a:cNvPicPr>
                      </a:nvPicPr>
                      <a:blipFill rotWithShape="1">
                        <a:blip r:embed="rId13">
                          <a:biLevel thresh="50000"/>
                        </a:blip>
                        <a:srcRect b="34250"/>
                        <a:stretch>
                          <a:fillRect/>
                        </a:stretch>
                      </a:blipFill>
                      <a:spPr>
                        <a:xfrm>
                          <a:off x="5189140" y="584858"/>
                          <a:ext cx="5143500" cy="450912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spPr>
                    </a:pic>
                    <a:sp>
                      <a:nvSpPr>
                        <a:cNvPr id="30731" name="文本框 9"/>
                        <a:cNvSpPr txBox="1">
                          <a:spLocks noChangeArrowheads="1"/>
                        </a:cNvSpPr>
                      </a:nvSpPr>
                      <a:spPr bwMode="auto">
                        <a:xfrm>
                          <a:off x="5761260" y="1763524"/>
                          <a:ext cx="4067324" cy="400110"/>
                        </a:xfrm>
                        <a:prstGeom prst="rect">
                          <a:avLst/>
                        </a:prstGeom>
                        <a:solidFill>
                          <a:srgbClr val="FFFFFF"/>
                        </a:solidFill>
                        <a:ln w="9525">
                          <a:noFill/>
                          <a:miter lim="800000"/>
                        </a:ln>
                      </a:spPr>
                      <a:txSp>
                        <a:txBody>
                          <a:bodyPr>
                            <a:spAutoFit/>
                          </a:bodyPr>
                          <a:lstStyle>
                            <a:defPPr>
                              <a:defRPr lang="zh-CN"/>
                            </a:defPPr>
                            <a:lvl1pPr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r>
                              <a:rPr lang="en-US" altLang="zh-CN" sz="2000" b="1"/>
                              <a:t>The     </a:t>
                            </a:r>
                            <a:r>
                              <a:rPr lang="en-US" altLang="zh-CN" sz="2000" b="1" u="sng"/>
                              <a:t>blue</a:t>
                            </a:r>
                            <a:r>
                              <a:rPr lang="en-US" altLang="zh-CN" sz="2000" b="1"/>
                              <a:t>     </a:t>
                            </a:r>
                            <a:r>
                              <a:rPr lang="en-US" altLang="zh-CN" sz="2000" b="1" u="sng"/>
                              <a:t>coat</a:t>
                            </a:r>
                            <a:r>
                              <a:rPr lang="en-US" altLang="zh-CN" sz="2000" b="1"/>
                              <a:t>,   the    </a:t>
                            </a:r>
                            <a:r>
                              <a:rPr lang="en-US" altLang="zh-CN" sz="2000" b="1" u="sng"/>
                              <a:t>blue</a:t>
                            </a:r>
                            <a:r>
                              <a:rPr lang="en-US" altLang="zh-CN" sz="2000" b="1"/>
                              <a:t>   </a:t>
                            </a:r>
                            <a:r>
                              <a:rPr lang="en-US" altLang="zh-CN" sz="2000" b="1" u="sng"/>
                              <a:t>coat</a:t>
                            </a:r>
                            <a:r>
                              <a:rPr lang="en-US" altLang="zh-CN" sz="2000" b="1"/>
                              <a:t>,</a:t>
                            </a:r>
                            <a:endParaRPr lang="zh-CN" altLang="en-US" sz="2000" b="1"/>
                          </a:p>
                        </a:txBody>
                        <a:useSpRect/>
                      </a:txSp>
                    </a:sp>
                    <a:sp>
                      <a:nvSpPr>
                        <a:cNvPr id="30732" name="文本框 11"/>
                        <a:cNvSpPr txBox="1">
                          <a:spLocks noChangeArrowheads="1"/>
                        </a:cNvSpPr>
                      </a:nvSpPr>
                      <a:spPr bwMode="auto">
                        <a:xfrm>
                          <a:off x="5615382" y="2740858"/>
                          <a:ext cx="4571606" cy="400110"/>
                        </a:xfrm>
                        <a:prstGeom prst="rect">
                          <a:avLst/>
                        </a:prstGeom>
                        <a:solidFill>
                          <a:srgbClr val="FFFFFF"/>
                        </a:solidFill>
                        <a:ln w="9525">
                          <a:noFill/>
                          <a:miter lim="800000"/>
                        </a:ln>
                      </a:spPr>
                      <a:txSp>
                        <a:txBody>
                          <a:bodyPr>
                            <a:spAutoFit/>
                          </a:bodyPr>
                          <a:lstStyle>
                            <a:defPPr>
                              <a:defRPr lang="zh-CN"/>
                            </a:defPPr>
                            <a:lvl1pPr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r>
                              <a:rPr lang="en-US" altLang="zh-CN" sz="2000" b="1"/>
                              <a:t>The     </a:t>
                            </a:r>
                            <a:r>
                              <a:rPr lang="en-US" altLang="zh-CN" sz="2000" b="1" u="sng"/>
                              <a:t>blue</a:t>
                            </a:r>
                            <a:r>
                              <a:rPr lang="en-US" altLang="zh-CN" sz="2000" b="1"/>
                              <a:t>     </a:t>
                            </a:r>
                            <a:r>
                              <a:rPr lang="en-US" altLang="zh-CN" sz="2000" b="1" u="sng"/>
                              <a:t>coat</a:t>
                            </a:r>
                            <a:r>
                              <a:rPr lang="en-US" altLang="zh-CN" sz="2000" b="1"/>
                              <a:t>     is    made of     </a:t>
                            </a:r>
                            <a:r>
                              <a:rPr lang="en-US" altLang="zh-CN" sz="2000" b="1" u="sng"/>
                              <a:t>wool</a:t>
                            </a:r>
                            <a:r>
                              <a:rPr lang="en-US" altLang="zh-CN" sz="2000" b="1"/>
                              <a:t>.</a:t>
                            </a:r>
                            <a:endParaRPr lang="zh-CN" altLang="en-US" sz="2000" b="1"/>
                          </a:p>
                        </a:txBody>
                        <a:useSpRect/>
                      </a:txSp>
                    </a:sp>
                    <a:sp>
                      <a:nvSpPr>
                        <a:cNvPr id="30733" name="文本框 12"/>
                        <a:cNvSpPr txBox="1">
                          <a:spLocks noChangeArrowheads="1"/>
                        </a:cNvSpPr>
                      </a:nvSpPr>
                      <a:spPr bwMode="auto">
                        <a:xfrm>
                          <a:off x="5526481" y="3691194"/>
                          <a:ext cx="4725709" cy="400110"/>
                        </a:xfrm>
                        <a:prstGeom prst="rect">
                          <a:avLst/>
                        </a:prstGeom>
                        <a:solidFill>
                          <a:srgbClr val="FFFFFF"/>
                        </a:solidFill>
                        <a:ln w="9525">
                          <a:noFill/>
                          <a:miter lim="800000"/>
                        </a:ln>
                      </a:spPr>
                      <a:txSp>
                        <a:txBody>
                          <a:bodyPr>
                            <a:spAutoFit/>
                          </a:bodyPr>
                          <a:lstStyle>
                            <a:defPPr>
                              <a:defRPr lang="zh-CN"/>
                            </a:defPPr>
                            <a:lvl1pPr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r>
                              <a:rPr lang="en-US" altLang="zh-CN" sz="2000" b="1"/>
                              <a:t>  I         put   the  </a:t>
                            </a:r>
                            <a:r>
                              <a:rPr lang="en-US" altLang="zh-CN" sz="2000" b="1" u="sng"/>
                              <a:t>blue</a:t>
                            </a:r>
                            <a:r>
                              <a:rPr lang="en-US" altLang="zh-CN" sz="2000" b="1"/>
                              <a:t> </a:t>
                            </a:r>
                            <a:r>
                              <a:rPr lang="en-US" altLang="zh-CN" sz="2000" b="1" u="sng"/>
                              <a:t>coat</a:t>
                            </a:r>
                            <a:r>
                              <a:rPr lang="en-US" altLang="zh-CN" sz="2000" b="1"/>
                              <a:t>    on    my </a:t>
                            </a:r>
                            <a:r>
                              <a:rPr lang="en-US" altLang="zh-CN" sz="2000" b="1" u="sng"/>
                              <a:t>body</a:t>
                            </a:r>
                            <a:r>
                              <a:rPr lang="en-US" altLang="zh-CN" sz="2000" b="1"/>
                              <a:t>.</a:t>
                            </a:r>
                            <a:endParaRPr lang="zh-CN" altLang="en-US" sz="2000" b="1"/>
                          </a:p>
                        </a:txBody>
                        <a:useSpRect/>
                      </a:txSp>
                    </a:sp>
                    <a:sp>
                      <a:nvSpPr>
                        <a:cNvPr id="30734" name="文本框 13"/>
                        <a:cNvSpPr txBox="1">
                          <a:spLocks noChangeArrowheads="1"/>
                        </a:cNvSpPr>
                      </a:nvSpPr>
                      <a:spPr bwMode="auto">
                        <a:xfrm>
                          <a:off x="5680585" y="4685074"/>
                          <a:ext cx="4571606" cy="400110"/>
                        </a:xfrm>
                        <a:prstGeom prst="rect">
                          <a:avLst/>
                        </a:prstGeom>
                        <a:solidFill>
                          <a:srgbClr val="FFFFFF"/>
                        </a:solidFill>
                        <a:ln w="9525">
                          <a:noFill/>
                          <a:miter lim="800000"/>
                        </a:ln>
                      </a:spPr>
                      <a:txSp>
                        <a:txBody>
                          <a:bodyPr>
                            <a:spAutoFit/>
                          </a:bodyPr>
                          <a:lstStyle>
                            <a:defPPr>
                              <a:defRPr lang="zh-CN"/>
                            </a:defPPr>
                            <a:lvl1pPr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r>
                              <a:rPr lang="en-US" altLang="zh-CN" sz="2000" b="1"/>
                              <a:t> I       think the   </a:t>
                            </a:r>
                            <a:r>
                              <a:rPr lang="en-US" altLang="zh-CN" sz="2000" b="1" u="sng"/>
                              <a:t>blue</a:t>
                            </a:r>
                            <a:r>
                              <a:rPr lang="en-US" altLang="zh-CN" sz="2000" b="1"/>
                              <a:t>  </a:t>
                            </a:r>
                            <a:r>
                              <a:rPr lang="en-US" altLang="zh-CN" sz="2000" b="1" u="sng"/>
                              <a:t>coat</a:t>
                            </a:r>
                            <a:r>
                              <a:rPr lang="en-US" altLang="zh-CN" sz="2000" b="1"/>
                              <a:t> is so    </a:t>
                            </a:r>
                            <a:r>
                              <a:rPr lang="en-US" altLang="zh-CN" sz="2000" b="1" u="sng"/>
                              <a:t>warm</a:t>
                            </a:r>
                            <a:r>
                              <a:rPr lang="en-US" altLang="zh-CN" sz="2000" b="1"/>
                              <a:t>.</a:t>
                            </a:r>
                            <a:endParaRPr lang="zh-CN" altLang="en-US" sz="2000" b="1"/>
                          </a:p>
                        </a:txBody>
                        <a:useSpRect/>
                      </a:txSp>
                    </a:sp>
                    <a:sp>
                      <a:nvSpPr>
                        <a:cNvPr id="30735" name="文本框 14"/>
                        <a:cNvSpPr txBox="1">
                          <a:spLocks noChangeArrowheads="1"/>
                        </a:cNvSpPr>
                      </a:nvSpPr>
                      <a:spPr bwMode="auto">
                        <a:xfrm>
                          <a:off x="6629400" y="620688"/>
                          <a:ext cx="2839144" cy="400110"/>
                        </a:xfrm>
                        <a:prstGeom prst="rect">
                          <a:avLst/>
                        </a:prstGeom>
                        <a:solidFill>
                          <a:srgbClr val="FFFFFF"/>
                        </a:solidFill>
                        <a:ln w="9525">
                          <a:noFill/>
                          <a:miter lim="800000"/>
                        </a:ln>
                      </a:spPr>
                      <a:txSp>
                        <a:txBody>
                          <a:bodyPr>
                            <a:spAutoFit/>
                          </a:bodyPr>
                          <a:lstStyle>
                            <a:defPPr>
                              <a:defRPr lang="zh-CN"/>
                            </a:defPPr>
                            <a:lvl1pPr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1pPr>
                            <a:lvl2pPr marL="4572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2pPr>
                            <a:lvl3pPr marL="9144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3pPr>
                            <a:lvl4pPr marL="13716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4pPr>
                            <a:lvl5pPr marL="1828800" algn="l" rtl="0" eaLnBrk="0" fontAlgn="base" hangingPunct="0">
                              <a:spcBef>
                                <a:spcPct val="0"/>
                              </a:spcBef>
                              <a:spcAft>
                                <a:spcPct val="0"/>
                              </a:spcAft>
                              <a:defRPr kern="1200">
                                <a:solidFill>
                                  <a:schemeClr val="tx1"/>
                                </a:solidFill>
                                <a:latin typeface="Calibri" panose="020F0502020204030204" pitchFamily="2" charset="0"/>
                                <a:ea typeface="宋体" panose="02010600030101010101" charset="-122"/>
                                <a:cs typeface="+mn-cs"/>
                              </a:defRPr>
                            </a:lvl5pPr>
                            <a:lvl6pPr marL="2286000" algn="l" defTabSz="914400" rtl="0" eaLnBrk="1" latinLnBrk="0" hangingPunct="1">
                              <a:defRPr kern="1200">
                                <a:solidFill>
                                  <a:schemeClr val="tx1"/>
                                </a:solidFill>
                                <a:latin typeface="Calibri" panose="020F0502020204030204" pitchFamily="2" charset="0"/>
                                <a:ea typeface="宋体" panose="02010600030101010101" charset="-122"/>
                                <a:cs typeface="+mn-cs"/>
                              </a:defRPr>
                            </a:lvl6pPr>
                            <a:lvl7pPr marL="2743200" algn="l" defTabSz="914400" rtl="0" eaLnBrk="1" latinLnBrk="0" hangingPunct="1">
                              <a:defRPr kern="1200">
                                <a:solidFill>
                                  <a:schemeClr val="tx1"/>
                                </a:solidFill>
                                <a:latin typeface="Calibri" panose="020F0502020204030204" pitchFamily="2" charset="0"/>
                                <a:ea typeface="宋体" panose="02010600030101010101" charset="-122"/>
                                <a:cs typeface="+mn-cs"/>
                              </a:defRPr>
                            </a:lvl7pPr>
                            <a:lvl8pPr marL="3200400" algn="l" defTabSz="914400" rtl="0" eaLnBrk="1" latinLnBrk="0" hangingPunct="1">
                              <a:defRPr kern="1200">
                                <a:solidFill>
                                  <a:schemeClr val="tx1"/>
                                </a:solidFill>
                                <a:latin typeface="Calibri" panose="020F0502020204030204" pitchFamily="2" charset="0"/>
                                <a:ea typeface="宋体" panose="02010600030101010101" charset="-122"/>
                                <a:cs typeface="+mn-cs"/>
                              </a:defRPr>
                            </a:lvl8pPr>
                            <a:lvl9pPr marL="3657600" algn="l" defTabSz="914400" rtl="0" eaLnBrk="1" latinLnBrk="0" hangingPunct="1">
                              <a:defRPr kern="1200">
                                <a:solidFill>
                                  <a:schemeClr val="tx1"/>
                                </a:solidFill>
                                <a:latin typeface="Calibri" panose="020F0502020204030204" pitchFamily="2" charset="0"/>
                                <a:ea typeface="宋体" panose="02010600030101010101" charset="-122"/>
                                <a:cs typeface="+mn-cs"/>
                              </a:defRPr>
                            </a:lvl9pPr>
                          </a:lstStyle>
                          <a:p>
                            <a:r>
                              <a:rPr lang="en-US" altLang="zh-CN" sz="2000" b="1"/>
                              <a:t>THE BLUE COAT</a:t>
                            </a:r>
                            <a:endParaRPr lang="zh-CN" altLang="en-US" sz="2000" b="1"/>
                          </a:p>
                        </a:txBody>
                        <a:useSpRect/>
                      </a:txSp>
                    </a:sp>
                  </a:grpSp>
                </lc:lockedCanvas>
              </a:graphicData>
            </a:graphic>
          </wp:inline>
        </w:drawing>
      </w:r>
    </w:p>
    <w:p>
      <w:pPr>
        <w:ind w:firstLine="285"/>
        <w:rPr>
          <w:rFonts w:ascii="Arial" w:hAnsi="Arial" w:eastAsia="宋体" w:cs="Arial"/>
          <w:color w:val="333333"/>
          <w:kern w:val="0"/>
          <w:szCs w:val="21"/>
        </w:rPr>
      </w:pPr>
    </w:p>
    <w:p>
      <w:pPr>
        <w:ind w:firstLine="285"/>
        <w:rPr>
          <w:rFonts w:ascii="Arial" w:hAnsi="Arial" w:eastAsia="宋体" w:cs="Arial"/>
          <w:color w:val="333333"/>
          <w:kern w:val="0"/>
          <w:szCs w:val="21"/>
        </w:rPr>
      </w:pPr>
    </w:p>
    <w:p>
      <w:pPr>
        <w:ind w:firstLine="420" w:firstLineChars="200"/>
        <w:rPr>
          <w:rFonts w:ascii="Arial" w:hAnsi="Arial" w:cs="Arial"/>
          <w:color w:val="333333"/>
          <w:szCs w:val="21"/>
        </w:rPr>
      </w:pPr>
      <w:r>
        <w:rPr>
          <w:rFonts w:ascii="Arial" w:hAnsi="Arial" w:cs="Arial"/>
          <w:color w:val="333333"/>
          <w:szCs w:val="21"/>
        </w:rPr>
        <w:t>学习词汇的目的是掌握词义，词的搭配和用法。从使用词汇的角度看，词语只有组成句子或连成话语，才能实现交际功能。词汇教学不只是单词教学，单词只有组成句子和话语之后，才能实现其交际功能。在词汇教学中应充分重视造句练习法，它是从学习语言过渡到应用语言的必要途径。造句是记忆、积累和掌握单词的最好方法。在操练新词后，教师可先给出例句，然后让学生模仿造句</w:t>
      </w:r>
      <w:r>
        <w:rPr>
          <w:rFonts w:hint="eastAsia" w:ascii="Arial" w:hAnsi="Arial" w:cs="Arial"/>
          <w:color w:val="333333"/>
          <w:szCs w:val="21"/>
        </w:rPr>
        <w:t>。如，在学生学习了trousers这个新词之后，教师罗列了有关复数形式出现的服饰。学生以儿歌的形式造句，通过韵律形成语感。这些旧句型也是之前在故事书Kids</w:t>
      </w:r>
      <w:r>
        <w:rPr>
          <w:rFonts w:ascii="Arial" w:hAnsi="Arial" w:cs="Arial"/>
          <w:color w:val="333333"/>
          <w:szCs w:val="21"/>
        </w:rPr>
        <w:t>’</w:t>
      </w:r>
      <w:r>
        <w:rPr>
          <w:rFonts w:hint="eastAsia" w:ascii="Arial" w:hAnsi="Arial" w:cs="Arial"/>
          <w:color w:val="333333"/>
          <w:szCs w:val="21"/>
        </w:rPr>
        <w:t xml:space="preserve"> Stories 第四册Story 9上出现的。这样的教学环节设计，充分调动学生学习语音的积极性，使他们养成乐于模仿、善于运用的良好习惯，逐步形成积累词汇的学习策略，提高词汇学习的效率。</w:t>
      </w:r>
    </w:p>
    <w:p>
      <w:pPr>
        <w:rPr>
          <w:rFonts w:ascii="Arial" w:hAnsi="Arial" w:cs="Arial"/>
          <w:color w:val="333333"/>
          <w:szCs w:val="21"/>
        </w:rPr>
      </w:pPr>
      <w:r>
        <w:rPr>
          <w:rFonts w:hint="eastAsia" w:ascii="Arial" w:hAnsi="Arial" w:cs="Arial"/>
          <w:color w:val="333333"/>
          <w:szCs w:val="21"/>
        </w:rPr>
        <w:drawing>
          <wp:anchor distT="0" distB="0" distL="114300" distR="114300" simplePos="0" relativeHeight="251663360" behindDoc="0" locked="0" layoutInCell="1" allowOverlap="1">
            <wp:simplePos x="0" y="0"/>
            <wp:positionH relativeFrom="column">
              <wp:posOffset>200025</wp:posOffset>
            </wp:positionH>
            <wp:positionV relativeFrom="paragraph">
              <wp:posOffset>123190</wp:posOffset>
            </wp:positionV>
            <wp:extent cx="2501900" cy="1750695"/>
            <wp:effectExtent l="1905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srcRect/>
                    <a:stretch>
                      <a:fillRect/>
                    </a:stretch>
                  </pic:blipFill>
                  <pic:spPr>
                    <a:xfrm>
                      <a:off x="0" y="0"/>
                      <a:ext cx="2501900" cy="1750695"/>
                    </a:xfrm>
                    <a:prstGeom prst="rect">
                      <a:avLst/>
                    </a:prstGeom>
                    <a:noFill/>
                    <a:ln w="9525">
                      <a:noFill/>
                      <a:miter lim="800000"/>
                      <a:headEnd/>
                      <a:tailEnd/>
                    </a:ln>
                  </pic:spPr>
                </pic:pic>
              </a:graphicData>
            </a:graphic>
          </wp:anchor>
        </w:drawing>
      </w:r>
      <w:r>
        <w:rPr>
          <w:rFonts w:hint="eastAsia" w:ascii="Arial" w:hAnsi="Arial" w:cs="Arial"/>
          <w:color w:val="333333"/>
          <w:szCs w:val="21"/>
        </w:rPr>
        <w:t xml:space="preserve">4) </w:t>
      </w:r>
      <w:r>
        <w:rPr>
          <w:rFonts w:ascii="Arial" w:hAnsi="Arial" w:cs="Arial"/>
          <w:color w:val="333333"/>
          <w:szCs w:val="21"/>
        </w:rPr>
        <w:t xml:space="preserve"> </w:t>
      </w:r>
      <w:r>
        <w:rPr>
          <w:rFonts w:hint="eastAsia" w:ascii="Arial" w:hAnsi="Arial" w:cs="Arial"/>
          <w:color w:val="333333"/>
          <w:szCs w:val="21"/>
        </w:rPr>
        <w:t>To apply- Integrating</w:t>
      </w:r>
      <w:r>
        <w:rPr>
          <w:rFonts w:ascii="Arial" w:hAnsi="Arial" w:cs="Arial"/>
          <w:color w:val="333333"/>
          <w:szCs w:val="21"/>
        </w:rPr>
        <w:t xml:space="preserve"> 运用新词，逻辑表述</w:t>
      </w:r>
    </w:p>
    <w:p>
      <w:pPr>
        <w:ind w:firstLine="420" w:firstLineChars="200"/>
        <w:rPr>
          <w:rFonts w:ascii="Arial" w:hAnsi="Arial" w:eastAsia="宋体" w:cs="Arial"/>
          <w:color w:val="333333"/>
          <w:kern w:val="0"/>
          <w:szCs w:val="21"/>
        </w:rPr>
      </w:pPr>
      <w:r>
        <w:rPr>
          <w:rFonts w:hint="eastAsia" w:ascii="Arial" w:hAnsi="Arial" w:eastAsia="宋体" w:cs="Arial"/>
          <w:color w:val="333333"/>
          <w:kern w:val="0"/>
          <w:szCs w:val="21"/>
        </w:rPr>
        <w:t>在词汇教学的过程中，教师的任务不只停留在向学生不断输入新词汇和巩固已有词汇上，教师还要为学习者创造机会应用记忆库里的词汇，也就是让学生有语言输出的机会，即听、说、读、写中的说和写，语言输出是词汇学习的重要步骤。对于学生输出的语言材料，教师可以用恰当的方式为学生纠错，以加深理解，巩固记忆，达到扩大词汇量的目的。我们提倡使用多种方法，充分利用学习技巧和策略，提高英语词汇教学的效果。情景化教学就是一种避免词汇教学的单调、枯燥，行之有效的教学手段。教师可结合教学内容设置一定的语言情境、图片情境，仿佛置身于实际情景之中，从而密切单词与实物的联系，调动学生学习主动性，使他们全身心地投入学习，强化记忆。因此，在输出环节中，教师巧妙结合校本服装设计课程，以设计校服为post-task activity，通过word bank帮助学生完成post-task。教师设计的话语练习，需要学生选用单数复数各一件衣服，整个话语包括了衣服的颜色、质地、性别区别、四季区别以及衣服的功能等，把这些有关衣服的词汇有机的融入语言的输出，更促进了学生思维和表达能力的发展，为今后学习能力的提高奠定基础。</w:t>
      </w:r>
    </w:p>
    <w:p>
      <w:pPr>
        <w:ind w:firstLine="420" w:firstLineChars="200"/>
        <w:rPr>
          <w:rFonts w:ascii="Arial" w:hAnsi="Arial" w:eastAsia="宋体" w:cs="Arial"/>
          <w:color w:val="333333"/>
          <w:kern w:val="0"/>
          <w:szCs w:val="21"/>
        </w:rPr>
      </w:pPr>
      <w:r>
        <w:rPr>
          <w:rFonts w:hint="eastAsia" w:ascii="Arial" w:hAnsi="Arial" w:eastAsia="宋体" w:cs="Arial"/>
          <w:color w:val="333333"/>
          <w:kern w:val="0"/>
          <w:szCs w:val="21"/>
        </w:rPr>
        <w:drawing>
          <wp:anchor distT="0" distB="0" distL="114300" distR="114300" simplePos="0" relativeHeight="251664384" behindDoc="0" locked="0" layoutInCell="1" allowOverlap="1">
            <wp:simplePos x="0" y="0"/>
            <wp:positionH relativeFrom="column">
              <wp:posOffset>228600</wp:posOffset>
            </wp:positionH>
            <wp:positionV relativeFrom="paragraph">
              <wp:posOffset>208915</wp:posOffset>
            </wp:positionV>
            <wp:extent cx="3174365" cy="2276475"/>
            <wp:effectExtent l="19050" t="0" r="6985"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lum bright="-10000" contrast="20000"/>
                    </a:blip>
                    <a:srcRect/>
                    <a:stretch>
                      <a:fillRect/>
                    </a:stretch>
                  </pic:blipFill>
                  <pic:spPr>
                    <a:xfrm>
                      <a:off x="0" y="0"/>
                      <a:ext cx="3174365" cy="2276475"/>
                    </a:xfrm>
                    <a:prstGeom prst="rect">
                      <a:avLst/>
                    </a:prstGeom>
                    <a:noFill/>
                    <a:ln w="9525">
                      <a:noFill/>
                      <a:miter lim="800000"/>
                      <a:headEnd/>
                      <a:tailEnd/>
                    </a:ln>
                  </pic:spPr>
                </pic:pic>
              </a:graphicData>
            </a:graphic>
          </wp:anchor>
        </w:drawing>
      </w:r>
    </w:p>
    <w:p>
      <w:pPr>
        <w:rPr>
          <w:rFonts w:ascii="Arial" w:hAnsi="Arial" w:eastAsia="宋体" w:cs="Arial"/>
          <w:kern w:val="0"/>
          <w:szCs w:val="21"/>
        </w:rPr>
      </w:pPr>
      <w:r>
        <w:rPr>
          <w:rFonts w:hint="eastAsia" w:ascii="Arial" w:hAnsi="Arial" w:eastAsia="宋体" w:cs="Arial"/>
          <w:kern w:val="0"/>
          <w:szCs w:val="21"/>
        </w:rPr>
        <w:t>5)</w:t>
      </w:r>
      <w:r>
        <w:rPr>
          <w:rFonts w:ascii="Arial" w:hAnsi="Arial" w:eastAsia="宋体" w:cs="Arial"/>
          <w:kern w:val="0"/>
          <w:szCs w:val="21"/>
        </w:rPr>
        <w:t xml:space="preserve"> </w:t>
      </w:r>
      <w:r>
        <w:rPr>
          <w:rFonts w:hint="eastAsia" w:ascii="Arial" w:hAnsi="Arial" w:eastAsia="宋体" w:cs="Arial"/>
          <w:kern w:val="0"/>
          <w:szCs w:val="21"/>
        </w:rPr>
        <w:t>To evaluate- Critiquing 阅读思辨，评价伴随</w:t>
      </w:r>
    </w:p>
    <w:p>
      <w:pPr>
        <w:pStyle w:val="12"/>
        <w:rPr>
          <w:rFonts w:ascii="Arial" w:hAnsi="Arial" w:eastAsia="宋体" w:cs="Arial"/>
          <w:kern w:val="0"/>
          <w:szCs w:val="21"/>
        </w:rPr>
      </w:pPr>
      <w:r>
        <w:rPr>
          <w:rFonts w:hint="eastAsia" w:ascii="Arial" w:hAnsi="Arial" w:eastAsia="宋体" w:cs="Arial"/>
          <w:kern w:val="0"/>
          <w:szCs w:val="21"/>
        </w:rPr>
        <w:t>在这个教学环节中，教师始终让学生坚持以词汇为主线索，体会阅读，并要求学生用所找出的关键词汇表达男女不同的衣物搭配。此外，根据四季变化是否合适的穿着以及衣服中出现的单复数概念，来检测学生是否使用合适的衣服词汇以及正确拼写。阅读过程中出现的生词，老师鼓励学生利用上下文、已知词汇和掌握的文章大意来猜测新的词汇意思，并学习这些新单词。这样的学习，使学生发现阅读不再难懂，阅读能力有所提高，学生从词汇学习能力的提升已经转向了阅读能力的提升。</w:t>
      </w:r>
    </w:p>
    <w:p>
      <w:pPr>
        <w:pStyle w:val="12"/>
      </w:pPr>
      <w:r>
        <w:rPr>
          <w:rFonts w:hint="eastAsia"/>
        </w:rPr>
        <w:t>在词汇教学中，教师提倡在丰富的语境中实现词汇的积累和运用。语境可以是场景、图画、话语、语篇等。就同音异义词（H</w:t>
      </w:r>
      <w:r>
        <w:t>omophone</w:t>
      </w:r>
      <w:r>
        <w:rPr>
          <w:rFonts w:hint="eastAsia"/>
        </w:rPr>
        <w:t>）来说，教师可以帮助学生专门梳理类似词语。如shirt-shorts</w:t>
      </w:r>
      <w:r>
        <w:t xml:space="preserve">. </w:t>
      </w:r>
      <w:r>
        <w:rPr>
          <w:rFonts w:hint="eastAsia"/>
        </w:rPr>
        <w:t>这些单词只有在一定的语境中才能区分，让学生在语境中进行判断，猜测词义，加深感受。这正是教师运用了认知过程维度中高阶思维的判断层面。</w:t>
      </w:r>
    </w:p>
    <w:p>
      <w:pPr>
        <w:ind w:firstLine="420" w:firstLineChars="200"/>
        <w:rPr>
          <w:rFonts w:ascii="Arial" w:hAnsi="Arial" w:eastAsia="宋体" w:cs="Arial"/>
          <w:kern w:val="0"/>
          <w:szCs w:val="21"/>
        </w:rPr>
      </w:pPr>
    </w:p>
    <w:p>
      <w:pPr>
        <w:rPr>
          <w:rFonts w:ascii="Arial" w:hAnsi="Arial" w:eastAsia="宋体" w:cs="Arial"/>
          <w:color w:val="333333"/>
          <w:kern w:val="0"/>
          <w:szCs w:val="21"/>
        </w:rPr>
      </w:pPr>
    </w:p>
    <w:p>
      <w:pPr>
        <w:rPr>
          <w:rFonts w:ascii="Arial" w:hAnsi="Arial" w:eastAsia="宋体" w:cs="Arial"/>
          <w:color w:val="333333"/>
          <w:kern w:val="0"/>
          <w:szCs w:val="21"/>
        </w:rPr>
      </w:pPr>
      <w:r>
        <w:rPr>
          <w:rFonts w:hint="eastAsia" w:ascii="Arial" w:hAnsi="Arial" w:eastAsia="宋体" w:cs="Arial"/>
          <w:color w:val="333333"/>
          <w:kern w:val="0"/>
          <w:szCs w:val="21"/>
        </w:rPr>
        <w:drawing>
          <wp:anchor distT="0" distB="0" distL="114300" distR="114300" simplePos="0" relativeHeight="251671552" behindDoc="0" locked="0" layoutInCell="1" allowOverlap="1">
            <wp:simplePos x="0" y="0"/>
            <wp:positionH relativeFrom="column">
              <wp:posOffset>2433320</wp:posOffset>
            </wp:positionH>
            <wp:positionV relativeFrom="paragraph">
              <wp:posOffset>0</wp:posOffset>
            </wp:positionV>
            <wp:extent cx="1898650" cy="1428115"/>
            <wp:effectExtent l="19050" t="0" r="6581"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srcRect/>
                    <a:stretch>
                      <a:fillRect/>
                    </a:stretch>
                  </pic:blipFill>
                  <pic:spPr>
                    <a:xfrm>
                      <a:off x="0" y="0"/>
                      <a:ext cx="1898419" cy="1428003"/>
                    </a:xfrm>
                    <a:prstGeom prst="rect">
                      <a:avLst/>
                    </a:prstGeom>
                    <a:noFill/>
                    <a:ln w="9525">
                      <a:noFill/>
                      <a:miter lim="800000"/>
                      <a:headEnd/>
                      <a:tailEnd/>
                    </a:ln>
                  </pic:spPr>
                </pic:pic>
              </a:graphicData>
            </a:graphic>
          </wp:anchor>
        </w:drawing>
      </w:r>
      <w:r>
        <w:rPr>
          <w:rFonts w:hint="eastAsia" w:ascii="Arial" w:hAnsi="Arial" w:eastAsia="宋体" w:cs="Arial"/>
          <w:color w:val="333333"/>
          <w:kern w:val="0"/>
          <w:szCs w:val="21"/>
        </w:rPr>
        <w:drawing>
          <wp:anchor distT="0" distB="0" distL="114300" distR="114300" simplePos="0" relativeHeight="251670528" behindDoc="0" locked="0" layoutInCell="1" allowOverlap="1">
            <wp:simplePos x="0" y="0"/>
            <wp:positionH relativeFrom="column">
              <wp:posOffset>50800</wp:posOffset>
            </wp:positionH>
            <wp:positionV relativeFrom="paragraph">
              <wp:posOffset>3810</wp:posOffset>
            </wp:positionV>
            <wp:extent cx="1936750" cy="1423670"/>
            <wp:effectExtent l="19050" t="0" r="6350" b="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7" cstate="print"/>
                    <a:srcRect/>
                    <a:stretch>
                      <a:fillRect/>
                    </a:stretch>
                  </pic:blipFill>
                  <pic:spPr>
                    <a:xfrm>
                      <a:off x="0" y="0"/>
                      <a:ext cx="1936750" cy="1423670"/>
                    </a:xfrm>
                    <a:prstGeom prst="rect">
                      <a:avLst/>
                    </a:prstGeom>
                    <a:noFill/>
                    <a:ln w="9525">
                      <a:noFill/>
                      <a:miter lim="800000"/>
                      <a:headEnd/>
                      <a:tailEnd/>
                    </a:ln>
                  </pic:spPr>
                </pic:pic>
              </a:graphicData>
            </a:graphic>
          </wp:anchor>
        </w:drawing>
      </w:r>
    </w:p>
    <w:p>
      <w:pPr>
        <w:rPr>
          <w:rFonts w:ascii="Arial" w:hAnsi="Arial" w:eastAsia="宋体" w:cs="Arial"/>
          <w:color w:val="333333"/>
          <w:kern w:val="0"/>
          <w:szCs w:val="21"/>
        </w:rPr>
      </w:pPr>
    </w:p>
    <w:p>
      <w:pPr>
        <w:rPr>
          <w:rFonts w:ascii="Arial" w:hAnsi="Arial" w:eastAsia="宋体" w:cs="Arial"/>
          <w:color w:val="333333"/>
          <w:kern w:val="0"/>
          <w:szCs w:val="21"/>
        </w:rPr>
      </w:pPr>
    </w:p>
    <w:p>
      <w:pPr>
        <w:rPr>
          <w:rFonts w:ascii="Arial" w:hAnsi="Arial" w:eastAsia="宋体" w:cs="Arial"/>
          <w:color w:val="333333"/>
          <w:kern w:val="0"/>
          <w:szCs w:val="21"/>
        </w:rPr>
      </w:pPr>
    </w:p>
    <w:p>
      <w:pPr>
        <w:rPr>
          <w:rFonts w:ascii="Arial" w:hAnsi="Arial" w:eastAsia="宋体" w:cs="Arial"/>
          <w:color w:val="333333"/>
          <w:kern w:val="0"/>
          <w:szCs w:val="21"/>
        </w:rPr>
      </w:pPr>
    </w:p>
    <w:p>
      <w:pPr>
        <w:rPr>
          <w:rFonts w:ascii="Arial" w:hAnsi="Arial" w:eastAsia="宋体" w:cs="Arial"/>
          <w:color w:val="333333"/>
          <w:kern w:val="0"/>
          <w:szCs w:val="21"/>
        </w:rPr>
      </w:pPr>
    </w:p>
    <w:p>
      <w:pPr>
        <w:ind w:left="420" w:hanging="420"/>
        <w:rPr>
          <w:rFonts w:ascii="Arial" w:hAnsi="Arial" w:eastAsia="宋体" w:cs="Arial"/>
          <w:color w:val="333333"/>
          <w:kern w:val="0"/>
          <w:szCs w:val="21"/>
        </w:rPr>
      </w:pPr>
    </w:p>
    <w:p>
      <w:pPr>
        <w:ind w:left="420" w:hanging="420"/>
        <w:rPr>
          <w:rFonts w:ascii="Arial" w:hAnsi="Arial" w:eastAsia="宋体" w:cs="Arial"/>
          <w:color w:val="333333"/>
          <w:kern w:val="0"/>
          <w:szCs w:val="21"/>
        </w:rPr>
      </w:pPr>
    </w:p>
    <w:p>
      <w:pPr>
        <w:ind w:left="420" w:hanging="420"/>
        <w:rPr>
          <w:rFonts w:ascii="Arial" w:hAnsi="Arial" w:eastAsia="宋体" w:cs="Arial"/>
          <w:color w:val="333333"/>
          <w:kern w:val="0"/>
          <w:szCs w:val="21"/>
        </w:rPr>
      </w:pPr>
      <w:r>
        <w:rPr>
          <w:rFonts w:hint="eastAsia" w:ascii="Arial" w:hAnsi="Arial" w:eastAsia="宋体" w:cs="Arial"/>
          <w:color w:val="333333"/>
          <w:kern w:val="0"/>
          <w:szCs w:val="21"/>
        </w:rPr>
        <w:t>6) To create- Designing</w:t>
      </w:r>
      <w:r>
        <w:rPr>
          <w:rFonts w:ascii="Arial" w:hAnsi="Arial" w:eastAsia="宋体" w:cs="Arial"/>
          <w:color w:val="333333"/>
          <w:kern w:val="0"/>
          <w:szCs w:val="21"/>
        </w:rPr>
        <w:t xml:space="preserve"> 巩固新词，分享学习</w:t>
      </w:r>
    </w:p>
    <w:p>
      <w:pPr>
        <w:ind w:firstLine="420" w:firstLineChars="200"/>
        <w:rPr>
          <w:rFonts w:ascii="Arial" w:hAnsi="Arial" w:eastAsia="宋体" w:cs="Arial"/>
          <w:color w:val="333333"/>
          <w:kern w:val="0"/>
          <w:szCs w:val="21"/>
        </w:rPr>
      </w:pPr>
      <w:r>
        <w:rPr>
          <w:rFonts w:ascii="Arial" w:hAnsi="Arial" w:eastAsia="宋体" w:cs="Arial"/>
          <w:color w:val="333333"/>
          <w:kern w:val="0"/>
          <w:szCs w:val="21"/>
        </w:rPr>
        <w:drawing>
          <wp:anchor distT="0" distB="0" distL="114300" distR="114300" simplePos="0" relativeHeight="251665408" behindDoc="0" locked="0" layoutInCell="1" allowOverlap="1">
            <wp:simplePos x="0" y="0"/>
            <wp:positionH relativeFrom="column">
              <wp:posOffset>-121285</wp:posOffset>
            </wp:positionH>
            <wp:positionV relativeFrom="paragraph">
              <wp:posOffset>640080</wp:posOffset>
            </wp:positionV>
            <wp:extent cx="2105025" cy="1673225"/>
            <wp:effectExtent l="19050" t="0" r="9525"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srcRect/>
                    <a:stretch>
                      <a:fillRect/>
                    </a:stretch>
                  </pic:blipFill>
                  <pic:spPr>
                    <a:xfrm>
                      <a:off x="0" y="0"/>
                      <a:ext cx="2105025" cy="1673225"/>
                    </a:xfrm>
                    <a:prstGeom prst="rect">
                      <a:avLst/>
                    </a:prstGeom>
                    <a:noFill/>
                    <a:ln w="9525">
                      <a:noFill/>
                      <a:miter lim="800000"/>
                      <a:headEnd/>
                      <a:tailEnd/>
                    </a:ln>
                  </pic:spPr>
                </pic:pic>
              </a:graphicData>
            </a:graphic>
          </wp:anchor>
        </w:drawing>
      </w:r>
      <w:r>
        <w:rPr>
          <w:rFonts w:ascii="Arial" w:hAnsi="Arial" w:eastAsia="宋体" w:cs="Arial"/>
          <w:color w:val="333333"/>
          <w:kern w:val="0"/>
          <w:szCs w:val="21"/>
        </w:rPr>
        <w:drawing>
          <wp:anchor distT="0" distB="0" distL="114300" distR="114300" simplePos="0" relativeHeight="251666432" behindDoc="0" locked="0" layoutInCell="1" allowOverlap="1">
            <wp:simplePos x="0" y="0"/>
            <wp:positionH relativeFrom="column">
              <wp:posOffset>3347720</wp:posOffset>
            </wp:positionH>
            <wp:positionV relativeFrom="paragraph">
              <wp:posOffset>595630</wp:posOffset>
            </wp:positionV>
            <wp:extent cx="873760" cy="1667510"/>
            <wp:effectExtent l="19050" t="0" r="2540" b="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9" cstate="print"/>
                    <a:srcRect/>
                    <a:stretch>
                      <a:fillRect/>
                    </a:stretch>
                  </pic:blipFill>
                  <pic:spPr>
                    <a:xfrm>
                      <a:off x="0" y="0"/>
                      <a:ext cx="873760" cy="1667510"/>
                    </a:xfrm>
                    <a:prstGeom prst="rect">
                      <a:avLst/>
                    </a:prstGeom>
                    <a:noFill/>
                    <a:ln w="9525">
                      <a:noFill/>
                      <a:miter lim="800000"/>
                      <a:headEnd/>
                      <a:tailEnd/>
                    </a:ln>
                  </pic:spPr>
                </pic:pic>
              </a:graphicData>
            </a:graphic>
          </wp:anchor>
        </w:drawing>
      </w:r>
      <w:r>
        <w:rPr>
          <w:rFonts w:ascii="Arial" w:hAnsi="Arial" w:eastAsia="宋体" w:cs="Arial"/>
          <w:color w:val="333333"/>
          <w:kern w:val="0"/>
          <w:szCs w:val="21"/>
        </w:rPr>
        <w:t xml:space="preserve">语言学习的目的是为了交流，而合作是交流的前提，也是交流的目的。合作学习既可以促进学生互相交流、共同发展，又可以培养学生合作解决问题的能力和习惯。为了培养学生自主学习的能力和合作精神，小组之间的合作学习在小学英语词汇教学中起着重要的作用。 </w:t>
      </w:r>
      <w:r>
        <w:rPr>
          <w:rFonts w:hint="eastAsia" w:ascii="Arial" w:hAnsi="Arial" w:eastAsia="宋体" w:cs="Arial"/>
          <w:color w:val="333333"/>
          <w:kern w:val="0"/>
          <w:szCs w:val="21"/>
        </w:rPr>
        <w:t xml:space="preserve">     </w:t>
      </w:r>
      <w:r>
        <w:rPr>
          <w:rFonts w:ascii="Arial" w:hAnsi="Arial" w:eastAsia="宋体" w:cs="Arial"/>
          <w:color w:val="333333"/>
          <w:kern w:val="0"/>
          <w:szCs w:val="21"/>
        </w:rPr>
        <w:t>例如，在</w:t>
      </w:r>
      <w:r>
        <w:rPr>
          <w:rFonts w:hint="eastAsia" w:ascii="Arial" w:hAnsi="Arial" w:eastAsia="宋体" w:cs="Arial"/>
          <w:color w:val="333333"/>
          <w:kern w:val="0"/>
          <w:szCs w:val="21"/>
        </w:rPr>
        <w:t>学生完成这个Let</w:t>
      </w:r>
      <w:r>
        <w:rPr>
          <w:rFonts w:ascii="Arial" w:hAnsi="Arial" w:eastAsia="宋体" w:cs="Arial"/>
          <w:color w:val="333333"/>
          <w:kern w:val="0"/>
          <w:szCs w:val="21"/>
        </w:rPr>
        <w:t>’</w:t>
      </w:r>
      <w:r>
        <w:rPr>
          <w:rFonts w:hint="eastAsia" w:ascii="Arial" w:hAnsi="Arial" w:eastAsia="宋体" w:cs="Arial"/>
          <w:color w:val="333333"/>
          <w:kern w:val="0"/>
          <w:szCs w:val="21"/>
        </w:rPr>
        <w:t>s design的post-task后，</w:t>
      </w:r>
      <w:r>
        <w:rPr>
          <w:rFonts w:ascii="Arial" w:hAnsi="Arial" w:eastAsia="宋体" w:cs="Arial"/>
          <w:color w:val="333333"/>
          <w:kern w:val="0"/>
          <w:szCs w:val="21"/>
        </w:rPr>
        <w:t>让学生</w:t>
      </w:r>
      <w:r>
        <w:rPr>
          <w:rFonts w:hint="eastAsia" w:ascii="Arial" w:hAnsi="Arial" w:eastAsia="宋体" w:cs="Arial"/>
          <w:color w:val="333333"/>
          <w:kern w:val="0"/>
          <w:szCs w:val="21"/>
        </w:rPr>
        <w:t>两人一组</w:t>
      </w:r>
      <w:r>
        <w:rPr>
          <w:rFonts w:ascii="Arial" w:hAnsi="Arial" w:eastAsia="宋体" w:cs="Arial"/>
          <w:color w:val="333333"/>
          <w:kern w:val="0"/>
          <w:szCs w:val="21"/>
        </w:rPr>
        <w:t>运用本课所学的词汇、句型进行</w:t>
      </w:r>
      <w:r>
        <w:rPr>
          <w:rFonts w:hint="eastAsia" w:ascii="Arial" w:hAnsi="Arial" w:eastAsia="宋体" w:cs="Arial"/>
          <w:color w:val="333333"/>
          <w:kern w:val="0"/>
          <w:szCs w:val="21"/>
        </w:rPr>
        <w:t>合作分享</w:t>
      </w:r>
      <w:r>
        <w:rPr>
          <w:rFonts w:ascii="Arial" w:hAnsi="Arial" w:eastAsia="宋体" w:cs="Arial"/>
          <w:color w:val="333333"/>
          <w:kern w:val="0"/>
          <w:szCs w:val="21"/>
        </w:rPr>
        <w:t>。除了课堂上的小组合作学习外，我</w:t>
      </w:r>
      <w:r>
        <w:rPr>
          <w:rFonts w:hint="eastAsia" w:ascii="Arial" w:hAnsi="Arial" w:eastAsia="宋体" w:cs="Arial"/>
          <w:color w:val="333333"/>
          <w:kern w:val="0"/>
          <w:szCs w:val="21"/>
        </w:rPr>
        <w:t>们</w:t>
      </w:r>
      <w:r>
        <w:rPr>
          <w:rFonts w:ascii="Arial" w:hAnsi="Arial" w:eastAsia="宋体" w:cs="Arial"/>
          <w:color w:val="333333"/>
          <w:kern w:val="0"/>
          <w:szCs w:val="21"/>
        </w:rPr>
        <w:t>还可以让学生课外合作完成老师布置的任务，比如</w:t>
      </w:r>
      <w:r>
        <w:rPr>
          <w:rFonts w:hint="eastAsia" w:ascii="Arial" w:hAnsi="Arial" w:eastAsia="宋体" w:cs="Arial"/>
          <w:color w:val="333333"/>
          <w:kern w:val="0"/>
          <w:szCs w:val="21"/>
        </w:rPr>
        <w:t>在课后通过Pad下载Paper Doll 这一APP和微信朋友圈，介绍设计的校服</w:t>
      </w:r>
      <w:r>
        <w:rPr>
          <w:rFonts w:ascii="Arial" w:hAnsi="Arial" w:eastAsia="宋体" w:cs="Arial"/>
          <w:color w:val="333333"/>
          <w:kern w:val="0"/>
          <w:szCs w:val="21"/>
        </w:rPr>
        <w:t>，给学生以词汇</w:t>
      </w:r>
      <w:r>
        <w:rPr>
          <w:rFonts w:hint="eastAsia" w:ascii="Arial" w:hAnsi="Arial" w:eastAsia="宋体" w:cs="Arial"/>
          <w:color w:val="333333"/>
          <w:kern w:val="0"/>
          <w:szCs w:val="21"/>
        </w:rPr>
        <w:t>输出应用</w:t>
      </w:r>
      <w:r>
        <w:rPr>
          <w:rFonts w:ascii="Arial" w:hAnsi="Arial" w:eastAsia="宋体" w:cs="Arial"/>
          <w:color w:val="333333"/>
          <w:kern w:val="0"/>
          <w:szCs w:val="21"/>
        </w:rPr>
        <w:t>的舞台。通过</w:t>
      </w:r>
      <w:r>
        <w:rPr>
          <w:rFonts w:hint="eastAsia" w:ascii="Arial" w:hAnsi="Arial" w:eastAsia="宋体" w:cs="Arial"/>
          <w:color w:val="333333"/>
          <w:kern w:val="0"/>
          <w:szCs w:val="21"/>
        </w:rPr>
        <w:t>班级学生的点赞和评价</w:t>
      </w:r>
      <w:r>
        <w:rPr>
          <w:rFonts w:ascii="Arial" w:hAnsi="Arial" w:eastAsia="宋体" w:cs="Arial"/>
          <w:color w:val="333333"/>
          <w:kern w:val="0"/>
          <w:szCs w:val="21"/>
        </w:rPr>
        <w:t>，既能充分调动学生学习英语的积极性，激励学生的参与意识和协作能力，实现课堂教学交际化，又能巩固和运用所学的词汇、句型。在练习的过程中学生培养了合作意识和团队精神，感受到集体智慧的力量，分享了成功的喜悦，真正体验到学习的快乐和乐趣。</w:t>
      </w:r>
    </w:p>
    <w:p>
      <w:pPr>
        <w:rPr>
          <w:rFonts w:ascii="Arial" w:hAnsi="Arial" w:eastAsia="宋体" w:cs="Arial"/>
          <w:color w:val="333333"/>
          <w:kern w:val="0"/>
          <w:szCs w:val="21"/>
        </w:rPr>
      </w:pPr>
    </w:p>
    <w:p>
      <w:pPr>
        <w:pStyle w:val="12"/>
        <w:numPr>
          <w:ilvl w:val="0"/>
          <w:numId w:val="1"/>
        </w:numPr>
        <w:ind w:firstLineChars="0"/>
        <w:rPr>
          <w:rFonts w:ascii="黑体" w:hAnsi="黑体" w:eastAsia="黑体"/>
          <w:b/>
          <w:sz w:val="24"/>
          <w:szCs w:val="24"/>
        </w:rPr>
      </w:pPr>
      <w:r>
        <w:rPr>
          <w:rFonts w:hint="eastAsia" w:ascii="黑体" w:hAnsi="黑体" w:eastAsia="黑体"/>
          <w:b/>
          <w:sz w:val="24"/>
          <w:szCs w:val="24"/>
        </w:rPr>
        <w:t>在词汇教学中培养思维能力的</w:t>
      </w:r>
      <w:r>
        <w:rPr>
          <w:rFonts w:hint="eastAsia" w:ascii="黑体" w:hAnsi="黑体" w:eastAsia="黑体" w:cs="Arial"/>
          <w:b/>
          <w:color w:val="333333"/>
          <w:kern w:val="0"/>
          <w:sz w:val="24"/>
          <w:szCs w:val="24"/>
        </w:rPr>
        <w:t>策略总结</w:t>
      </w:r>
    </w:p>
    <w:p>
      <w:pPr>
        <w:pStyle w:val="12"/>
        <w:numPr>
          <w:ilvl w:val="0"/>
          <w:numId w:val="3"/>
        </w:numPr>
        <w:ind w:firstLineChars="0"/>
        <w:rPr>
          <w:rFonts w:ascii="黑体" w:hAnsi="黑体" w:eastAsia="黑体"/>
          <w:b/>
          <w:bCs/>
        </w:rPr>
      </w:pPr>
      <w:r>
        <w:rPr>
          <w:rFonts w:hint="eastAsia" w:ascii="黑体" w:hAnsi="黑体" w:eastAsia="黑体"/>
          <w:b/>
          <w:bCs/>
        </w:rPr>
        <w:t>创设情境、整体设计</w:t>
      </w:r>
    </w:p>
    <w:p>
      <w:pPr>
        <w:ind w:firstLine="420"/>
      </w:pPr>
      <w:r>
        <w:rPr>
          <w:rFonts w:hint="eastAsia"/>
        </w:rPr>
        <w:t>结合模块单元的主题创设情境，对词汇的复习、新授、操练、创生等进行整体设计。单元教学目标的制定从课程、教材、学生三个维度去思考。教师认真研读</w:t>
      </w:r>
      <w:r>
        <w:rPr>
          <w:rFonts w:hint="eastAsia" w:ascii="宋体" w:hAnsi="宋体" w:eastAsia="宋体"/>
        </w:rPr>
        <w:t>《</w:t>
      </w:r>
      <w:r>
        <w:rPr>
          <w:rFonts w:hint="eastAsia"/>
        </w:rPr>
        <w:t>教学基本要求</w:t>
      </w:r>
      <w:r>
        <w:rPr>
          <w:rFonts w:hint="eastAsia" w:asciiTheme="minorEastAsia" w:hAnsiTheme="minorEastAsia"/>
        </w:rPr>
        <w:t>》</w:t>
      </w:r>
      <w:r>
        <w:rPr>
          <w:rFonts w:hint="eastAsia"/>
        </w:rPr>
        <w:t>，梳理教材内容，按“Theme（主题）</w:t>
      </w:r>
      <w:r>
        <w:t>—</w:t>
      </w:r>
      <w:r>
        <w:rPr>
          <w:rFonts w:hint="eastAsia"/>
        </w:rPr>
        <w:t>Topic（话题）</w:t>
      </w:r>
      <w:r>
        <w:t>—</w:t>
      </w:r>
      <w:r>
        <w:rPr>
          <w:rFonts w:hint="eastAsia"/>
        </w:rPr>
        <w:t>Subtopic（子话题）</w:t>
      </w:r>
      <w:r>
        <w:t>—</w:t>
      </w:r>
      <w:r>
        <w:rPr>
          <w:rFonts w:hint="eastAsia"/>
        </w:rPr>
        <w:t>Unit（单元）</w:t>
      </w:r>
      <w:r>
        <w:t>—</w:t>
      </w:r>
      <w:r>
        <w:rPr>
          <w:rFonts w:hint="eastAsia"/>
        </w:rPr>
        <w:t>Activity（活动）”设计体系，选取交际活动中的真实语言材料，也重视结构形式。同时，根据布鲁姆思维学习过程的6个层次，尤其是记忆、理解和应用层面，使词汇的学习和使用反复循环，且螺旋上升。牛津教材2BM3U3 Clothes的设计实现了本单元学习内容有浅表到深入，层层递进，也符合了思维过程的递进。在三本教材的整合上需把握</w:t>
      </w:r>
      <w:r>
        <w:rPr>
          <w:rFonts w:hint="eastAsia" w:ascii="宋体" w:hAnsi="宋体" w:eastAsia="宋体"/>
        </w:rPr>
        <w:t>《</w:t>
      </w:r>
      <w:r>
        <w:rPr>
          <w:rFonts w:hint="eastAsia"/>
        </w:rPr>
        <w:t>小学阶段英语课程基本理念</w:t>
      </w:r>
      <w:r>
        <w:rPr>
          <w:rFonts w:hint="eastAsia" w:asciiTheme="minorEastAsia" w:hAnsiTheme="minorEastAsia"/>
        </w:rPr>
        <w:t>》，</w:t>
      </w:r>
      <w:r>
        <w:rPr>
          <w:rFonts w:hint="eastAsia"/>
        </w:rPr>
        <w:t>就我校英语课程设置来说，与时俱进的引入了三本教材的电子版本--Pad或者手机i-school口语通平台的开发和使用，这也是一种很好的媒介，让教师尝试翻转课堂。要求学生在学习新词之前，可以用i-school口语通平台做好充分预习，针对词汇学习，有类似Match，</w:t>
      </w:r>
      <w:r>
        <w:t>Picture reading</w:t>
      </w:r>
      <w:r>
        <w:rPr>
          <w:rFonts w:hint="eastAsia"/>
        </w:rPr>
        <w:t>等环节, 课前充分的预习，有利于提高学生课上词汇学习的效率。</w:t>
      </w:r>
    </w:p>
    <w:p>
      <w:pPr>
        <w:pStyle w:val="12"/>
        <w:numPr>
          <w:ilvl w:val="0"/>
          <w:numId w:val="3"/>
        </w:numPr>
        <w:ind w:firstLineChars="0"/>
        <w:rPr>
          <w:rFonts w:ascii="黑体" w:hAnsi="黑体" w:eastAsia="黑体"/>
          <w:b/>
        </w:rPr>
      </w:pPr>
      <w:r>
        <w:rPr>
          <w:rFonts w:hint="eastAsia" w:ascii="黑体" w:hAnsi="黑体" w:eastAsia="黑体"/>
          <w:b/>
        </w:rPr>
        <w:t>重视输入、强化应用</w:t>
      </w:r>
    </w:p>
    <w:p>
      <w:pPr>
        <w:ind w:firstLine="420" w:firstLineChars="200"/>
      </w:pPr>
      <w:r>
        <w:rPr>
          <w:rFonts w:hint="eastAsia"/>
        </w:rPr>
        <w:t>针对外国语特色学校的学情，结合自选语篇或再构文本的输入强化词汇学习的理解和应用。我们把单词的学习蕴于话题与情境之中，通过听说读写的活动形式，赋予单词学习以活力，从而积累知识，提高交际能力。如本课例中，主题情境的创设上，除了</w:t>
      </w:r>
      <w:r>
        <w:rPr>
          <w:rFonts w:hint="eastAsia" w:ascii="宋体" w:hAnsi="宋体" w:eastAsia="宋体"/>
        </w:rPr>
        <w:t>《</w:t>
      </w:r>
      <w:r>
        <w:rPr>
          <w:rFonts w:hint="eastAsia"/>
        </w:rPr>
        <w:t>牛津教材</w:t>
      </w:r>
      <w:r>
        <w:rPr>
          <w:rFonts w:hint="eastAsia" w:asciiTheme="minorEastAsia" w:hAnsiTheme="minorEastAsia"/>
        </w:rPr>
        <w:t>》</w:t>
      </w:r>
      <w:r>
        <w:rPr>
          <w:rFonts w:hint="eastAsia"/>
        </w:rPr>
        <w:t>上提供的购买衣物的情境，还可以创设校服设计、时装表演等一系列围绕Clothes的情境。此外，我校从二年级开始推出Reading first 网络学习阅读平台，是一个泛读的原版书平台。结合Clothes这一主题，教师可以鼓励学生阅读相关主题的课外书籍。在原版语篇中学习词、词组和习惯用语，在语境中积累，加深对词汇的认知度，才能让学生更好的进行词汇的正确输出。</w:t>
      </w:r>
    </w:p>
    <w:p>
      <w:r>
        <w:rPr>
          <w:rFonts w:hint="eastAsia"/>
        </w:rPr>
        <w:t xml:space="preserve">    在听读活动中理解词汇，“听”和“读”是吸收语言知识的主要途径。在语篇中提高单词的复现率，以旧词带新句型，或者以旧句型带新词汇，这也是帮助学生反复接触新词，大量积累词汇的策略。校开展的二至五年级Literature circle这一阅读策略，其中Word master角色，正是通过小组合作的学习方式，分工合作，相互帮助，引导学生借助词典、Word bank、画图或者是用已有知识来解释新词等方式来解决词汇在语篇中理解和运用。</w:t>
      </w:r>
    </w:p>
    <w:p>
      <w:pPr>
        <w:pStyle w:val="12"/>
        <w:numPr>
          <w:ilvl w:val="0"/>
          <w:numId w:val="2"/>
        </w:numPr>
        <w:ind w:firstLineChars="0"/>
        <w:rPr>
          <w:rFonts w:ascii="黑体" w:hAnsi="黑体" w:eastAsia="黑体"/>
          <w:b/>
        </w:rPr>
      </w:pPr>
      <w:r>
        <w:rPr>
          <w:rFonts w:hint="eastAsia" w:ascii="黑体" w:hAnsi="黑体" w:eastAsia="黑体"/>
          <w:b/>
        </w:rPr>
        <w:t>适度挑战、发展思维</w:t>
      </w:r>
    </w:p>
    <w:p>
      <w:pPr>
        <w:pStyle w:val="12"/>
        <w:ind w:left="360" w:firstLine="0" w:firstLineChars="0"/>
      </w:pPr>
      <w:r>
        <w:rPr>
          <w:rFonts w:hint="eastAsia"/>
        </w:rPr>
        <w:t xml:space="preserve">参照思维学习的不同层次，设计具有适度挑战性的学习任务，促进高阶思维的发展。 </w:t>
      </w:r>
    </w:p>
    <w:p>
      <w:pPr>
        <w:ind w:firstLine="420" w:firstLineChars="200"/>
      </w:pPr>
      <w:r>
        <w:rPr>
          <w:rFonts w:hint="eastAsia"/>
        </w:rPr>
        <w:t>归纳是学习者在学习的过程中，根据一系列的事实概括出一般原理，即由个别到一般的推理过程。教师在词汇教学中，可以让学生归纳派生词，如加前、后缀，常见的前缀如：un-,re-,mis-,常见后缀有，-er,-or,-ist,-ly</w:t>
      </w:r>
      <w:r>
        <w:t>…</w:t>
      </w:r>
      <w:r>
        <w:rPr>
          <w:rFonts w:hint="eastAsia"/>
        </w:rPr>
        <w:t>利用构词知识扩展词汇，这样学起新词来就省时省力。教师可以引导学生通过推理思考，使有限的词汇化为无限的生成词汇的能力。此外，教师利用同根词、合成词，经过构词分析，如beauty, beautiful，class，room和classroom等，提高学生学习词汇的兴趣，扩大词汇量。</w:t>
      </w:r>
    </w:p>
    <w:p>
      <w:pPr>
        <w:ind w:firstLine="420" w:firstLineChars="200"/>
      </w:pPr>
      <w:r>
        <w:rPr>
          <w:rFonts w:hint="eastAsia"/>
        </w:rPr>
        <w:t>培养学生联想的能力。例如教vegetable一词，不应直接出示中文，而是应该利用学生学过的词进行建构和讲解。启发学生运用思维导图或者</w:t>
      </w:r>
      <w:r>
        <w:t>W</w:t>
      </w:r>
      <w:r>
        <w:rPr>
          <w:rFonts w:hint="eastAsia"/>
        </w:rPr>
        <w:t xml:space="preserve">ord networks等工具，来表达如: </w:t>
      </w:r>
      <w:r>
        <w:t>A</w:t>
      </w:r>
      <w:r>
        <w:rPr>
          <w:rFonts w:hint="eastAsia"/>
        </w:rPr>
        <w:t xml:space="preserve"> carrot is a vegetable. A pumpkin is a vegetable. 在目的词与关键词之间建立想象链，使用关键词法策略能够使英语学习者对生词进行深加工和记忆，以此提高新词的复现率，形成长时记忆。此外，教师可以引导学生由某一个词联想到与其词义相近或相反的旧词，还可由核心词tree联想到branch, leaf, root等。</w:t>
      </w:r>
    </w:p>
    <w:p>
      <w:pPr>
        <w:ind w:firstLine="420"/>
      </w:pPr>
      <w:r>
        <w:rPr>
          <w:rFonts w:hint="eastAsia"/>
        </w:rPr>
        <w:t>词汇学习与思维发展的关系是相互依存的，思维有效助推了词汇学习，而学习和使用词汇又能促进思维的发展。我校在词汇教学研讨过程中，集思广益，结合专家的指导和讨论，基于布卢姆提出的思维发展过程，初步完成了本校的词汇教学课型流程图，为教学设计提供了实用性工具。教师在进行词汇教学设计时，勾选DOS中的教学行为，避免DONTS中的行为，关注词汇教学的策略与语用功能，帮助学生在从词汇学习到词汇应用的过程中，通过体验和感悟，逐步形成英语思维意识、思维习惯、认知策略和交际策略，提高词汇教学实施的有效性。</w:t>
      </w:r>
    </w:p>
    <w:p>
      <w:pPr>
        <w:spacing w:line="380" w:lineRule="exact"/>
        <w:ind w:firstLine="315" w:firstLineChars="150"/>
      </w:pPr>
      <w:r>
        <w:drawing>
          <wp:anchor distT="0" distB="0" distL="114300" distR="114300" simplePos="0" relativeHeight="251669504" behindDoc="0" locked="0" layoutInCell="1" allowOverlap="1">
            <wp:simplePos x="0" y="0"/>
            <wp:positionH relativeFrom="column">
              <wp:posOffset>476250</wp:posOffset>
            </wp:positionH>
            <wp:positionV relativeFrom="paragraph">
              <wp:posOffset>72390</wp:posOffset>
            </wp:positionV>
            <wp:extent cx="4152900" cy="2600325"/>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a:xfrm>
                      <a:off x="0" y="0"/>
                      <a:ext cx="4152900" cy="2600325"/>
                    </a:xfrm>
                    <a:prstGeom prst="rect">
                      <a:avLst/>
                    </a:prstGeom>
                    <a:noFill/>
                    <a:ln w="9525">
                      <a:noFill/>
                      <a:miter lim="800000"/>
                      <a:headEnd/>
                      <a:tailEnd/>
                    </a:ln>
                  </pic:spPr>
                </pic:pic>
              </a:graphicData>
            </a:graphic>
          </wp:anchor>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r>
        <w:rPr>
          <w:rFonts w:hint="eastAsia"/>
        </w:rPr>
        <w:drawing>
          <wp:anchor distT="0" distB="0" distL="114300" distR="114300" simplePos="0" relativeHeight="251673600" behindDoc="0" locked="0" layoutInCell="1" allowOverlap="1">
            <wp:simplePos x="0" y="0"/>
            <wp:positionH relativeFrom="column">
              <wp:posOffset>443865</wp:posOffset>
            </wp:positionH>
            <wp:positionV relativeFrom="paragraph">
              <wp:posOffset>115570</wp:posOffset>
            </wp:positionV>
            <wp:extent cx="4098925" cy="2606675"/>
            <wp:effectExtent l="0" t="0" r="0"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a:xfrm>
                      <a:off x="0" y="0"/>
                      <a:ext cx="4099035" cy="2606566"/>
                    </a:xfrm>
                    <a:prstGeom prst="rect">
                      <a:avLst/>
                    </a:prstGeom>
                    <a:noFill/>
                    <a:ln w="9525">
                      <a:noFill/>
                      <a:miter lim="800000"/>
                      <a:headEnd/>
                      <a:tailEnd/>
                    </a:ln>
                  </pic:spPr>
                </pic:pic>
              </a:graphicData>
            </a:graphic>
          </wp:anchor>
        </w:drawing>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
      <w:pPr>
        <w:rPr>
          <w:b/>
        </w:rPr>
      </w:pPr>
    </w:p>
    <w:p>
      <w:pPr>
        <w:rPr>
          <w:b/>
        </w:rPr>
      </w:pPr>
    </w:p>
    <w:p>
      <w:pPr>
        <w:rPr>
          <w:b/>
        </w:rPr>
      </w:pPr>
    </w:p>
    <w:p>
      <w:pPr>
        <w:rPr>
          <w:b/>
        </w:rPr>
      </w:pPr>
    </w:p>
    <w:p>
      <w:pPr>
        <w:rPr>
          <w:b/>
        </w:rPr>
      </w:pPr>
    </w:p>
    <w:p>
      <w:pPr>
        <w:ind w:firstLine="420" w:firstLineChars="200"/>
      </w:pPr>
      <w:r>
        <w:rPr>
          <w:rFonts w:hint="eastAsia"/>
        </w:rPr>
        <w:t>综上所述，小学英语教师应加强意识，从日常教学着手，将循序渐进发展思维能力贯穿于词汇教学的设计和实施中，体现在复习、新授、操练、创生等各个环节，优化课堂教学，提高学习词汇的成效。</w:t>
      </w:r>
    </w:p>
    <w:p>
      <w:pPr>
        <w:rPr>
          <w:b/>
        </w:rPr>
      </w:pPr>
    </w:p>
    <w:p>
      <w:pPr>
        <w:rPr>
          <w:b/>
        </w:rPr>
      </w:pPr>
    </w:p>
    <w:p>
      <w:pPr>
        <w:rPr>
          <w:b/>
        </w:rPr>
      </w:pPr>
      <w:r>
        <w:rPr>
          <w:rFonts w:hint="eastAsia"/>
          <w:b/>
        </w:rPr>
        <w:t>参考文献：</w:t>
      </w:r>
    </w:p>
    <w:p>
      <w:pPr>
        <w:pStyle w:val="12"/>
        <w:numPr>
          <w:ilvl w:val="0"/>
          <w:numId w:val="4"/>
        </w:numPr>
        <w:ind w:firstLineChars="0"/>
        <w:rPr>
          <w:rFonts w:ascii="宋体" w:hAnsi="宋体" w:eastAsia="宋体"/>
        </w:rPr>
      </w:pPr>
      <w:r>
        <w:rPr>
          <w:rFonts w:hint="eastAsia"/>
        </w:rPr>
        <w:t>吕叔湘.吕叔湘全集（第14卷）[M].</w:t>
      </w:r>
      <w:r>
        <w:rPr>
          <w:rFonts w:hint="eastAsia" w:ascii="宋体" w:hAnsi="宋体" w:eastAsia="宋体"/>
        </w:rPr>
        <w:t>沈阳：辽宁教育出版社.1979</w:t>
      </w:r>
    </w:p>
    <w:p>
      <w:pPr>
        <w:pStyle w:val="12"/>
        <w:numPr>
          <w:ilvl w:val="0"/>
          <w:numId w:val="4"/>
        </w:numPr>
        <w:ind w:firstLineChars="0"/>
      </w:pPr>
      <w:r>
        <w:rPr>
          <w:rFonts w:hint="eastAsia"/>
        </w:rPr>
        <w:t xml:space="preserve">Hadley, A.O. Teaching Language in context. </w:t>
      </w:r>
      <w:r>
        <w:t>[M].</w:t>
      </w:r>
      <w:r>
        <w:rPr>
          <w:rFonts w:hint="eastAsia"/>
        </w:rPr>
        <w:t>Beijing: Foreign Languages Teaching and Research Press, 2003</w:t>
      </w:r>
      <w:bookmarkStart w:id="0" w:name="_GoBack"/>
      <w:bookmarkEnd w:id="0"/>
    </w:p>
    <w:p>
      <w:pPr>
        <w:pStyle w:val="12"/>
        <w:numPr>
          <w:ilvl w:val="0"/>
          <w:numId w:val="4"/>
        </w:numPr>
        <w:ind w:firstLineChars="0"/>
      </w:pPr>
      <w:r>
        <w:rPr>
          <w:rFonts w:hint="eastAsia"/>
        </w:rPr>
        <w:t>上海市小学英语学科教学基本要求（试验本）上海：上海教育出版社.2016</w:t>
      </w:r>
    </w:p>
    <w:p>
      <w:pPr>
        <w:ind w:left="315" w:hanging="315" w:hangingChars="150"/>
      </w:pPr>
      <w:r>
        <w:rPr>
          <w:rFonts w:hint="eastAsia"/>
        </w:rPr>
        <w:t>4.  洛林.W.安德森（Lorin W. Anderson）等 布卢姆教育目标分类学:分类学视野下的学与教及其测评：完整版 北京：外语教学与研究出版社. 2009</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n-cs">
    <w:altName w:val="HelveticaNeue LT 43 LightEx"/>
    <w:panose1 w:val="00000000000000000000"/>
    <w:charset w:val="00"/>
    <w:family w:val="roman"/>
    <w:pitch w:val="default"/>
    <w:sig w:usb0="00000000" w:usb1="00000000" w:usb2="00000000" w:usb3="00000000" w:csb0="00000000" w:csb1="00000000"/>
  </w:font>
  <w:font w:name="HelveticaNeue LT 43 LightEx">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6168100"/>
      <w:docPartObj>
        <w:docPartGallery w:val="AutoText"/>
      </w:docPartObj>
    </w:sdtPr>
    <w:sdtContent>
      <w:p>
        <w:pPr>
          <w:pStyle w:val="4"/>
          <w:jc w:val="right"/>
        </w:pPr>
        <w:r>
          <w:fldChar w:fldCharType="begin"/>
        </w:r>
        <w:r>
          <w:instrText xml:space="preserve">PAGE   \* MERGEFORMAT</w:instrText>
        </w:r>
        <w:r>
          <w:fldChar w:fldCharType="separate"/>
        </w:r>
        <w:r>
          <w:rPr>
            <w:lang w:val="zh-CN"/>
          </w:rPr>
          <w:t>4</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10427"/>
    <w:multiLevelType w:val="multilevel"/>
    <w:tmpl w:val="1C51042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9A50E36"/>
    <w:multiLevelType w:val="multilevel"/>
    <w:tmpl w:val="49A50E36"/>
    <w:lvl w:ilvl="0" w:tentative="0">
      <w:start w:val="1"/>
      <w:numFmt w:val="decimal"/>
      <w:lvlText w:val="%1．"/>
      <w:lvlJc w:val="left"/>
      <w:pPr>
        <w:ind w:left="360" w:hanging="360"/>
      </w:pPr>
      <w:rPr>
        <w:rFonts w:hint="default" w:asciiTheme="minorHAnsi" w:hAnsiTheme="minorHAnsi"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6C706A"/>
    <w:multiLevelType w:val="multilevel"/>
    <w:tmpl w:val="756C706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69C07C0"/>
    <w:multiLevelType w:val="multilevel"/>
    <w:tmpl w:val="769C07C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4DDA"/>
    <w:rsid w:val="00003F7D"/>
    <w:rsid w:val="00031908"/>
    <w:rsid w:val="000335E4"/>
    <w:rsid w:val="0003705A"/>
    <w:rsid w:val="00053807"/>
    <w:rsid w:val="000566F2"/>
    <w:rsid w:val="00061FAD"/>
    <w:rsid w:val="00063D5D"/>
    <w:rsid w:val="000717FD"/>
    <w:rsid w:val="00076628"/>
    <w:rsid w:val="00093ED3"/>
    <w:rsid w:val="000A209D"/>
    <w:rsid w:val="000A244C"/>
    <w:rsid w:val="000B0FAB"/>
    <w:rsid w:val="000C0596"/>
    <w:rsid w:val="000C0BE2"/>
    <w:rsid w:val="000C2E5C"/>
    <w:rsid w:val="000C2E88"/>
    <w:rsid w:val="000C5605"/>
    <w:rsid w:val="000D3F3B"/>
    <w:rsid w:val="000D7DD6"/>
    <w:rsid w:val="000F191D"/>
    <w:rsid w:val="001050D5"/>
    <w:rsid w:val="001177AA"/>
    <w:rsid w:val="001329CC"/>
    <w:rsid w:val="00132BF3"/>
    <w:rsid w:val="00136D97"/>
    <w:rsid w:val="00143509"/>
    <w:rsid w:val="0014381F"/>
    <w:rsid w:val="00171514"/>
    <w:rsid w:val="00195484"/>
    <w:rsid w:val="001A2316"/>
    <w:rsid w:val="001A3C0C"/>
    <w:rsid w:val="001B016A"/>
    <w:rsid w:val="001B1FFE"/>
    <w:rsid w:val="001B57F2"/>
    <w:rsid w:val="001B79D1"/>
    <w:rsid w:val="001C3639"/>
    <w:rsid w:val="001D6C87"/>
    <w:rsid w:val="001D7953"/>
    <w:rsid w:val="002004C0"/>
    <w:rsid w:val="002005DB"/>
    <w:rsid w:val="00214A99"/>
    <w:rsid w:val="00235A33"/>
    <w:rsid w:val="00240493"/>
    <w:rsid w:val="00261690"/>
    <w:rsid w:val="00276310"/>
    <w:rsid w:val="00282157"/>
    <w:rsid w:val="00291E71"/>
    <w:rsid w:val="002A3B65"/>
    <w:rsid w:val="002B049A"/>
    <w:rsid w:val="002B6627"/>
    <w:rsid w:val="002D0809"/>
    <w:rsid w:val="002D0A1F"/>
    <w:rsid w:val="002E107A"/>
    <w:rsid w:val="002E5D49"/>
    <w:rsid w:val="00301AD2"/>
    <w:rsid w:val="00302DF9"/>
    <w:rsid w:val="003048C0"/>
    <w:rsid w:val="00304CD5"/>
    <w:rsid w:val="0032706B"/>
    <w:rsid w:val="003278F5"/>
    <w:rsid w:val="0033368A"/>
    <w:rsid w:val="0034596F"/>
    <w:rsid w:val="00345CE9"/>
    <w:rsid w:val="00346D4C"/>
    <w:rsid w:val="00353691"/>
    <w:rsid w:val="00356BEB"/>
    <w:rsid w:val="00362A47"/>
    <w:rsid w:val="003651C2"/>
    <w:rsid w:val="00372FFA"/>
    <w:rsid w:val="003A74BE"/>
    <w:rsid w:val="003B2956"/>
    <w:rsid w:val="003B71A0"/>
    <w:rsid w:val="003B77E9"/>
    <w:rsid w:val="003C1BFF"/>
    <w:rsid w:val="003C6A82"/>
    <w:rsid w:val="003D7FEE"/>
    <w:rsid w:val="003E3223"/>
    <w:rsid w:val="003E351D"/>
    <w:rsid w:val="003E3ABC"/>
    <w:rsid w:val="003F77BB"/>
    <w:rsid w:val="00401088"/>
    <w:rsid w:val="00404FFD"/>
    <w:rsid w:val="00410BAB"/>
    <w:rsid w:val="00412BC6"/>
    <w:rsid w:val="00416575"/>
    <w:rsid w:val="004530E9"/>
    <w:rsid w:val="0045538E"/>
    <w:rsid w:val="00455E91"/>
    <w:rsid w:val="00465EEF"/>
    <w:rsid w:val="00466DA0"/>
    <w:rsid w:val="0046754E"/>
    <w:rsid w:val="004739C0"/>
    <w:rsid w:val="00480503"/>
    <w:rsid w:val="00492BEE"/>
    <w:rsid w:val="004B57F9"/>
    <w:rsid w:val="004C1C1C"/>
    <w:rsid w:val="004C40A4"/>
    <w:rsid w:val="004D594E"/>
    <w:rsid w:val="004E4FD7"/>
    <w:rsid w:val="004E72BA"/>
    <w:rsid w:val="004F17C2"/>
    <w:rsid w:val="004F19EE"/>
    <w:rsid w:val="004F3FA6"/>
    <w:rsid w:val="004F432C"/>
    <w:rsid w:val="00511CD5"/>
    <w:rsid w:val="00517D9E"/>
    <w:rsid w:val="00536C0F"/>
    <w:rsid w:val="00543696"/>
    <w:rsid w:val="00547946"/>
    <w:rsid w:val="00554768"/>
    <w:rsid w:val="00554CE4"/>
    <w:rsid w:val="00576978"/>
    <w:rsid w:val="00582502"/>
    <w:rsid w:val="00582E27"/>
    <w:rsid w:val="005946ED"/>
    <w:rsid w:val="005B098C"/>
    <w:rsid w:val="005B7587"/>
    <w:rsid w:val="005C2332"/>
    <w:rsid w:val="005C2EF8"/>
    <w:rsid w:val="005C4A7F"/>
    <w:rsid w:val="005D7765"/>
    <w:rsid w:val="005E231D"/>
    <w:rsid w:val="005E572F"/>
    <w:rsid w:val="00606266"/>
    <w:rsid w:val="00612DF2"/>
    <w:rsid w:val="00616ECA"/>
    <w:rsid w:val="0062126D"/>
    <w:rsid w:val="00632939"/>
    <w:rsid w:val="00634F1C"/>
    <w:rsid w:val="00641DE1"/>
    <w:rsid w:val="00644268"/>
    <w:rsid w:val="00666FF4"/>
    <w:rsid w:val="0067222A"/>
    <w:rsid w:val="006833F0"/>
    <w:rsid w:val="006840CE"/>
    <w:rsid w:val="00684FD2"/>
    <w:rsid w:val="00691D21"/>
    <w:rsid w:val="00696B51"/>
    <w:rsid w:val="006A227F"/>
    <w:rsid w:val="006A5C9E"/>
    <w:rsid w:val="006C0DC1"/>
    <w:rsid w:val="006D46B7"/>
    <w:rsid w:val="006D4AA5"/>
    <w:rsid w:val="006F022C"/>
    <w:rsid w:val="006F0595"/>
    <w:rsid w:val="006F3943"/>
    <w:rsid w:val="006F3946"/>
    <w:rsid w:val="007074C6"/>
    <w:rsid w:val="0071273F"/>
    <w:rsid w:val="007533BA"/>
    <w:rsid w:val="00754DDA"/>
    <w:rsid w:val="00757692"/>
    <w:rsid w:val="007628C8"/>
    <w:rsid w:val="007749B2"/>
    <w:rsid w:val="00784F02"/>
    <w:rsid w:val="007A0E62"/>
    <w:rsid w:val="007A1155"/>
    <w:rsid w:val="007A317D"/>
    <w:rsid w:val="007A71CC"/>
    <w:rsid w:val="007B5A48"/>
    <w:rsid w:val="007B5C51"/>
    <w:rsid w:val="007B5D17"/>
    <w:rsid w:val="007C5721"/>
    <w:rsid w:val="007D0458"/>
    <w:rsid w:val="007D0F2A"/>
    <w:rsid w:val="007D3874"/>
    <w:rsid w:val="007D5471"/>
    <w:rsid w:val="007D5573"/>
    <w:rsid w:val="007E5641"/>
    <w:rsid w:val="007F3E54"/>
    <w:rsid w:val="008143F1"/>
    <w:rsid w:val="0081588A"/>
    <w:rsid w:val="008165A8"/>
    <w:rsid w:val="00843034"/>
    <w:rsid w:val="008430F5"/>
    <w:rsid w:val="00853A68"/>
    <w:rsid w:val="00855186"/>
    <w:rsid w:val="0086308B"/>
    <w:rsid w:val="0086415D"/>
    <w:rsid w:val="00864E62"/>
    <w:rsid w:val="0087168D"/>
    <w:rsid w:val="00873801"/>
    <w:rsid w:val="0088108F"/>
    <w:rsid w:val="008910BA"/>
    <w:rsid w:val="0089530F"/>
    <w:rsid w:val="008A45FF"/>
    <w:rsid w:val="008B0B53"/>
    <w:rsid w:val="008B1D6B"/>
    <w:rsid w:val="008C7778"/>
    <w:rsid w:val="008D24C9"/>
    <w:rsid w:val="008D3DA3"/>
    <w:rsid w:val="00907684"/>
    <w:rsid w:val="00922AE6"/>
    <w:rsid w:val="009232F0"/>
    <w:rsid w:val="009255EE"/>
    <w:rsid w:val="00931C04"/>
    <w:rsid w:val="00941A3D"/>
    <w:rsid w:val="0094285D"/>
    <w:rsid w:val="00950366"/>
    <w:rsid w:val="009521D0"/>
    <w:rsid w:val="00957608"/>
    <w:rsid w:val="00962C46"/>
    <w:rsid w:val="00976B97"/>
    <w:rsid w:val="00980B7D"/>
    <w:rsid w:val="00985D6E"/>
    <w:rsid w:val="009A5479"/>
    <w:rsid w:val="009A6E99"/>
    <w:rsid w:val="009B2EB3"/>
    <w:rsid w:val="009C4F74"/>
    <w:rsid w:val="009C7D3B"/>
    <w:rsid w:val="009D0418"/>
    <w:rsid w:val="009D4739"/>
    <w:rsid w:val="009E1715"/>
    <w:rsid w:val="009F38E0"/>
    <w:rsid w:val="009F734C"/>
    <w:rsid w:val="00A02BD8"/>
    <w:rsid w:val="00A062AE"/>
    <w:rsid w:val="00A07CD5"/>
    <w:rsid w:val="00A201A9"/>
    <w:rsid w:val="00A207CA"/>
    <w:rsid w:val="00A276F5"/>
    <w:rsid w:val="00A4399C"/>
    <w:rsid w:val="00A4765C"/>
    <w:rsid w:val="00A5116A"/>
    <w:rsid w:val="00A5463A"/>
    <w:rsid w:val="00A93EEF"/>
    <w:rsid w:val="00A9460D"/>
    <w:rsid w:val="00AA3FB8"/>
    <w:rsid w:val="00AC367A"/>
    <w:rsid w:val="00AC70B8"/>
    <w:rsid w:val="00AD4A2B"/>
    <w:rsid w:val="00AE3998"/>
    <w:rsid w:val="00AE56DA"/>
    <w:rsid w:val="00B1679F"/>
    <w:rsid w:val="00B2174A"/>
    <w:rsid w:val="00B25664"/>
    <w:rsid w:val="00B54192"/>
    <w:rsid w:val="00B605B8"/>
    <w:rsid w:val="00B63B76"/>
    <w:rsid w:val="00B647C2"/>
    <w:rsid w:val="00BB0037"/>
    <w:rsid w:val="00BB4A7F"/>
    <w:rsid w:val="00BC0E53"/>
    <w:rsid w:val="00BC1161"/>
    <w:rsid w:val="00BD2C05"/>
    <w:rsid w:val="00BE0CB1"/>
    <w:rsid w:val="00BE36E5"/>
    <w:rsid w:val="00BE7983"/>
    <w:rsid w:val="00BF174D"/>
    <w:rsid w:val="00BF735C"/>
    <w:rsid w:val="00C04E11"/>
    <w:rsid w:val="00C06920"/>
    <w:rsid w:val="00C1196A"/>
    <w:rsid w:val="00C25DE6"/>
    <w:rsid w:val="00C45059"/>
    <w:rsid w:val="00C45194"/>
    <w:rsid w:val="00C519F5"/>
    <w:rsid w:val="00C710E4"/>
    <w:rsid w:val="00C74E4D"/>
    <w:rsid w:val="00C74EDD"/>
    <w:rsid w:val="00C83756"/>
    <w:rsid w:val="00C83E93"/>
    <w:rsid w:val="00CA6671"/>
    <w:rsid w:val="00CA690D"/>
    <w:rsid w:val="00CB2ED9"/>
    <w:rsid w:val="00CB4722"/>
    <w:rsid w:val="00CB5D8E"/>
    <w:rsid w:val="00CD0AEA"/>
    <w:rsid w:val="00CD1F99"/>
    <w:rsid w:val="00CD671B"/>
    <w:rsid w:val="00CD7005"/>
    <w:rsid w:val="00CE3BD5"/>
    <w:rsid w:val="00CF1924"/>
    <w:rsid w:val="00D033B2"/>
    <w:rsid w:val="00D0537F"/>
    <w:rsid w:val="00D21907"/>
    <w:rsid w:val="00D46910"/>
    <w:rsid w:val="00D46E52"/>
    <w:rsid w:val="00D5166C"/>
    <w:rsid w:val="00D53FD3"/>
    <w:rsid w:val="00D63B5F"/>
    <w:rsid w:val="00D642B4"/>
    <w:rsid w:val="00D76E9B"/>
    <w:rsid w:val="00D778B0"/>
    <w:rsid w:val="00D85EA3"/>
    <w:rsid w:val="00D948CE"/>
    <w:rsid w:val="00DB00F1"/>
    <w:rsid w:val="00DB0F63"/>
    <w:rsid w:val="00DB3086"/>
    <w:rsid w:val="00DB3E12"/>
    <w:rsid w:val="00DB5DE8"/>
    <w:rsid w:val="00DC5377"/>
    <w:rsid w:val="00DD001B"/>
    <w:rsid w:val="00DD18E5"/>
    <w:rsid w:val="00DD3E7E"/>
    <w:rsid w:val="00DE2CBD"/>
    <w:rsid w:val="00DF2270"/>
    <w:rsid w:val="00E0354E"/>
    <w:rsid w:val="00E14871"/>
    <w:rsid w:val="00E2426A"/>
    <w:rsid w:val="00E77E07"/>
    <w:rsid w:val="00E82866"/>
    <w:rsid w:val="00E9423B"/>
    <w:rsid w:val="00E96B1E"/>
    <w:rsid w:val="00EA49AA"/>
    <w:rsid w:val="00ED2CBD"/>
    <w:rsid w:val="00ED777B"/>
    <w:rsid w:val="00ED7B7C"/>
    <w:rsid w:val="00EE41F3"/>
    <w:rsid w:val="00F04F89"/>
    <w:rsid w:val="00F151E9"/>
    <w:rsid w:val="00F3227D"/>
    <w:rsid w:val="00F40943"/>
    <w:rsid w:val="00F50D53"/>
    <w:rsid w:val="00F632D0"/>
    <w:rsid w:val="00F63CB3"/>
    <w:rsid w:val="00F64D71"/>
    <w:rsid w:val="00F76F12"/>
    <w:rsid w:val="00F85796"/>
    <w:rsid w:val="00F86C58"/>
    <w:rsid w:val="00FA4808"/>
    <w:rsid w:val="00FA5768"/>
    <w:rsid w:val="00FC0151"/>
    <w:rsid w:val="00FC2D55"/>
    <w:rsid w:val="00FC412A"/>
    <w:rsid w:val="00FC7AA2"/>
    <w:rsid w:val="00FD47DC"/>
    <w:rsid w:val="00FE3362"/>
    <w:rsid w:val="00FE4AD2"/>
    <w:rsid w:val="00FF5B79"/>
    <w:rsid w:val="07EB2BEF"/>
    <w:rsid w:val="10CB54B6"/>
    <w:rsid w:val="141F0AF4"/>
    <w:rsid w:val="1C402BDF"/>
    <w:rsid w:val="2FF9545B"/>
    <w:rsid w:val="73371A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4"/>
    <w:semiHidden/>
    <w:unhideWhenUsed/>
    <w:qFormat/>
    <w:uiPriority w:val="99"/>
    <w:rPr>
      <w:b/>
      <w:bCs/>
    </w:rPr>
  </w:style>
  <w:style w:type="table" w:styleId="9">
    <w:name w:val="Table Grid"/>
    <w:basedOn w:val="8"/>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1">
    <w:name w:val="annotation reference"/>
    <w:basedOn w:val="10"/>
    <w:semiHidden/>
    <w:unhideWhenUsed/>
    <w:qFormat/>
    <w:uiPriority w:val="99"/>
    <w:rPr>
      <w:sz w:val="21"/>
      <w:szCs w:val="21"/>
    </w:rPr>
  </w:style>
  <w:style w:type="paragraph" w:styleId="12">
    <w:name w:val="List Paragraph"/>
    <w:basedOn w:val="1"/>
    <w:qFormat/>
    <w:uiPriority w:val="34"/>
    <w:pPr>
      <w:ind w:firstLine="420" w:firstLineChars="200"/>
    </w:pPr>
  </w:style>
  <w:style w:type="character" w:customStyle="1" w:styleId="13">
    <w:name w:val="批注文字 Char"/>
    <w:basedOn w:val="10"/>
    <w:link w:val="2"/>
    <w:semiHidden/>
    <w:qFormat/>
    <w:uiPriority w:val="99"/>
  </w:style>
  <w:style w:type="character" w:customStyle="1" w:styleId="14">
    <w:name w:val="批注主题 Char"/>
    <w:basedOn w:val="13"/>
    <w:link w:val="7"/>
    <w:semiHidden/>
    <w:qFormat/>
    <w:uiPriority w:val="99"/>
    <w:rPr>
      <w:b/>
      <w:bCs/>
    </w:rPr>
  </w:style>
  <w:style w:type="character" w:customStyle="1" w:styleId="15">
    <w:name w:val="批注框文本 Char"/>
    <w:basedOn w:val="10"/>
    <w:link w:val="3"/>
    <w:semiHidden/>
    <w:qFormat/>
    <w:uiPriority w:val="99"/>
    <w:rPr>
      <w:sz w:val="18"/>
      <w:szCs w:val="18"/>
    </w:rPr>
  </w:style>
  <w:style w:type="character" w:customStyle="1" w:styleId="16">
    <w:name w:val="页眉 Char"/>
    <w:basedOn w:val="10"/>
    <w:link w:val="5"/>
    <w:qFormat/>
    <w:uiPriority w:val="99"/>
    <w:rPr>
      <w:sz w:val="18"/>
      <w:szCs w:val="18"/>
    </w:rPr>
  </w:style>
  <w:style w:type="character" w:customStyle="1" w:styleId="17">
    <w:name w:val="页脚 Char"/>
    <w:basedOn w:val="10"/>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135ED3E-DA67-44D3-A512-2D3B11F9389D}" type="doc">
      <dgm:prSet loTypeId="urn:microsoft.com/office/officeart/2005/8/layout/chevron2" loCatId="list" qsTypeId="urn:microsoft.com/office/officeart/2005/8/quickstyle/simple1" qsCatId="simple" csTypeId="urn:microsoft.com/office/officeart/2005/8/colors/accent1_2" csCatId="accent1" phldr="1"/>
      <dgm:spPr/>
      <dgm:t>
        <a:bodyPr/>
        <a:p>
          <a:endParaRPr lang="zh-CN" altLang="en-US"/>
        </a:p>
      </dgm:t>
    </dgm:pt>
    <dgm:pt modelId="{E1CF0B7E-A222-4B10-8AF9-8FE265AE6F21}">
      <dgm:prSet phldrT="[文本]"/>
      <dgm:spPr/>
      <dgm:t>
        <a:bodyPr/>
        <a:p>
          <a:r>
            <a:rPr lang="en-US" altLang="zh-CN"/>
            <a:t>I. Pre-task preparations</a:t>
          </a:r>
          <a:endParaRPr lang="zh-CN" altLang="en-US"/>
        </a:p>
      </dgm:t>
    </dgm:pt>
    <dgm:pt modelId="{16B659D0-379A-4567-9664-4AC7F1605584}" cxnId="{EC54EE35-5C38-4452-A2A2-4C279A1E27F5}" type="parTrans">
      <dgm:prSet/>
      <dgm:spPr/>
      <dgm:t>
        <a:bodyPr/>
        <a:p>
          <a:endParaRPr lang="zh-CN" altLang="en-US"/>
        </a:p>
      </dgm:t>
    </dgm:pt>
    <dgm:pt modelId="{03E9B757-77EC-481B-BE92-B5FB2880B59A}" cxnId="{EC54EE35-5C38-4452-A2A2-4C279A1E27F5}" type="sibTrans">
      <dgm:prSet/>
      <dgm:spPr/>
      <dgm:t>
        <a:bodyPr/>
        <a:p>
          <a:endParaRPr lang="zh-CN" altLang="en-US"/>
        </a:p>
      </dgm:t>
    </dgm:pt>
    <dgm:pt modelId="{DF37AA2C-CFB5-40DD-B496-528B6BD5D813}">
      <dgm:prSet phldrT="[文本]" custT="1"/>
      <dgm:spPr/>
      <dgm:t>
        <a:bodyPr/>
        <a:p>
          <a:r>
            <a:rPr lang="en-US" altLang="zh-CN" sz="1000">
              <a:solidFill>
                <a:sysClr val="windowText" lastClr="000000"/>
              </a:solidFill>
            </a:rPr>
            <a:t>1</a:t>
          </a:r>
          <a:r>
            <a:rPr lang="zh-CN" altLang="en-US" sz="1000">
              <a:solidFill>
                <a:sysClr val="windowText" lastClr="000000"/>
              </a:solidFill>
            </a:rPr>
            <a:t> </a:t>
          </a:r>
          <a:r>
            <a:rPr lang="en-US" altLang="zh-CN" sz="1000">
              <a:solidFill>
                <a:sysClr val="windowText" lastClr="000000"/>
              </a:solidFill>
            </a:rPr>
            <a:t>Recalling</a:t>
          </a:r>
          <a:r>
            <a:rPr lang="zh-CN" altLang="en-US" sz="1000">
              <a:solidFill>
                <a:sysClr val="windowText" lastClr="000000"/>
              </a:solidFill>
            </a:rPr>
            <a:t> 思维导图，复习旧知                                     </a:t>
          </a:r>
          <a:r>
            <a:rPr lang="en-US" altLang="zh-CN" sz="1000" b="0">
              <a:solidFill>
                <a:sysClr val="windowText" lastClr="000000"/>
              </a:solidFill>
            </a:rPr>
            <a:t>To analyze</a:t>
          </a:r>
          <a:r>
            <a:rPr lang="zh-CN" altLang="en-US" sz="1000">
              <a:solidFill>
                <a:srgbClr val="7030A0"/>
              </a:solidFill>
            </a:rPr>
            <a:t>      </a:t>
          </a:r>
          <a:r>
            <a:rPr lang="zh-CN" altLang="en-US" sz="1000" b="1">
              <a:solidFill>
                <a:srgbClr val="7030A0"/>
              </a:solidFill>
            </a:rPr>
            <a:t> </a:t>
          </a:r>
          <a:endParaRPr lang="zh-CN" altLang="en-US" sz="1000">
            <a:solidFill>
              <a:sysClr val="windowText" lastClr="000000"/>
            </a:solidFill>
          </a:endParaRPr>
        </a:p>
      </dgm:t>
    </dgm:pt>
    <dgm:pt modelId="{DD963B39-DA3A-43D4-AA09-04E00936C89F}" cxnId="{513C4D39-AD9D-43D0-A34E-A0F2BF8584C6}" type="parTrans">
      <dgm:prSet/>
      <dgm:spPr/>
      <dgm:t>
        <a:bodyPr/>
        <a:p>
          <a:endParaRPr lang="zh-CN" altLang="en-US"/>
        </a:p>
      </dgm:t>
    </dgm:pt>
    <dgm:pt modelId="{CE0BA719-30BB-48FD-A610-1AB4C29D1A61}" cxnId="{513C4D39-AD9D-43D0-A34E-A0F2BF8584C6}" type="sibTrans">
      <dgm:prSet/>
      <dgm:spPr/>
      <dgm:t>
        <a:bodyPr/>
        <a:p>
          <a:endParaRPr lang="zh-CN" altLang="en-US"/>
        </a:p>
      </dgm:t>
    </dgm:pt>
    <dgm:pt modelId="{1F281E6D-421D-4919-8C28-CE0A489318A9}">
      <dgm:prSet phldrT="[文本]"/>
      <dgm:spPr/>
      <dgm:t>
        <a:bodyPr/>
        <a:p>
          <a:r>
            <a:rPr lang="en-US" altLang="zh-CN"/>
            <a:t>II. While-task procedures</a:t>
          </a:r>
          <a:endParaRPr lang="zh-CN" altLang="en-US"/>
        </a:p>
      </dgm:t>
    </dgm:pt>
    <dgm:pt modelId="{AB9C3162-0A56-4DB1-A993-E06A72F7E42C}" cxnId="{45C42344-5F8D-448E-8617-71308AA3AD5D}" type="parTrans">
      <dgm:prSet/>
      <dgm:spPr/>
      <dgm:t>
        <a:bodyPr/>
        <a:p>
          <a:endParaRPr lang="zh-CN" altLang="en-US"/>
        </a:p>
      </dgm:t>
    </dgm:pt>
    <dgm:pt modelId="{174284BD-14E7-4BC1-8AC8-04ADCB8925D6}" cxnId="{45C42344-5F8D-448E-8617-71308AA3AD5D}" type="sibTrans">
      <dgm:prSet/>
      <dgm:spPr/>
      <dgm:t>
        <a:bodyPr/>
        <a:p>
          <a:endParaRPr lang="zh-CN" altLang="en-US"/>
        </a:p>
      </dgm:t>
    </dgm:pt>
    <dgm:pt modelId="{4CBA74C1-3246-4E86-87D3-177853A72AFD}">
      <dgm:prSet phldrT="[文本]" custT="1"/>
      <dgm:spPr/>
      <dgm:t>
        <a:bodyPr/>
        <a:p>
          <a:r>
            <a:rPr lang="en-US" altLang="zh-CN" sz="1000"/>
            <a:t>2. Categorizing</a:t>
          </a:r>
          <a:r>
            <a:rPr lang="zh-CN" altLang="en-US" sz="1000"/>
            <a:t>背记新词，</a:t>
          </a:r>
          <a:r>
            <a:rPr lang="zh-CN" sz="1000"/>
            <a:t>以旧带新</a:t>
          </a:r>
          <a:r>
            <a:rPr lang="en-US" altLang="zh-CN" sz="1000"/>
            <a:t>                              To remember</a:t>
          </a:r>
          <a:endParaRPr lang="zh-CN" altLang="en-US" sz="1000"/>
        </a:p>
      </dgm:t>
    </dgm:pt>
    <dgm:pt modelId="{FF978B2D-DC8A-49F7-A5BE-98120C339E02}" cxnId="{7BAF7D94-68B6-4512-B54F-DF1099B26A09}" type="parTrans">
      <dgm:prSet/>
      <dgm:spPr/>
      <dgm:t>
        <a:bodyPr/>
        <a:p>
          <a:endParaRPr lang="zh-CN" altLang="en-US"/>
        </a:p>
      </dgm:t>
    </dgm:pt>
    <dgm:pt modelId="{5A40C075-BA37-4966-8CE1-BB6093E50560}" cxnId="{7BAF7D94-68B6-4512-B54F-DF1099B26A09}" type="sibTrans">
      <dgm:prSet/>
      <dgm:spPr/>
      <dgm:t>
        <a:bodyPr/>
        <a:p>
          <a:endParaRPr lang="zh-CN" altLang="en-US"/>
        </a:p>
      </dgm:t>
    </dgm:pt>
    <dgm:pt modelId="{FAA6F33A-89F2-404E-AA4E-6A0749A81B9E}">
      <dgm:prSet phldrT="[文本]" custT="1"/>
      <dgm:spPr/>
      <dgm:t>
        <a:bodyPr/>
        <a:p>
          <a:r>
            <a:rPr lang="en-US" altLang="zh-CN" sz="1000"/>
            <a:t>3. Using</a:t>
          </a:r>
          <a:r>
            <a:rPr lang="zh-CN" altLang="en-US" sz="1000"/>
            <a:t> 理解语义，加深体验                                         </a:t>
          </a:r>
          <a:r>
            <a:rPr lang="en-US" altLang="zh-CN" sz="1000"/>
            <a:t>To understand</a:t>
          </a:r>
          <a:endParaRPr lang="zh-CN" altLang="en-US" sz="1000"/>
        </a:p>
      </dgm:t>
    </dgm:pt>
    <dgm:pt modelId="{33A3BF92-BA44-4CCC-A49A-7F39C64DDA6A}" cxnId="{D2697E69-5940-44FF-BE33-46EFA5020B5C}" type="parTrans">
      <dgm:prSet/>
      <dgm:spPr/>
      <dgm:t>
        <a:bodyPr/>
        <a:p>
          <a:endParaRPr lang="zh-CN" altLang="en-US"/>
        </a:p>
      </dgm:t>
    </dgm:pt>
    <dgm:pt modelId="{AA50596C-2A93-42DE-A95A-C83850E17172}" cxnId="{D2697E69-5940-44FF-BE33-46EFA5020B5C}" type="sibTrans">
      <dgm:prSet/>
      <dgm:spPr/>
      <dgm:t>
        <a:bodyPr/>
        <a:p>
          <a:endParaRPr lang="zh-CN" altLang="en-US"/>
        </a:p>
      </dgm:t>
    </dgm:pt>
    <dgm:pt modelId="{9AFDF412-E6CC-4314-89DC-B12960F34763}">
      <dgm:prSet phldrT="[文本]"/>
      <dgm:spPr/>
      <dgm:t>
        <a:bodyPr/>
        <a:p>
          <a:r>
            <a:rPr lang="en-US" altLang="zh-CN"/>
            <a:t>III. Post-task activities</a:t>
          </a:r>
          <a:endParaRPr lang="zh-CN" altLang="en-US"/>
        </a:p>
      </dgm:t>
    </dgm:pt>
    <dgm:pt modelId="{F43489DD-118C-410D-909D-445D1DFBC721}" cxnId="{7D6C1C13-675F-4449-A271-D906278A5763}" type="parTrans">
      <dgm:prSet/>
      <dgm:spPr/>
      <dgm:t>
        <a:bodyPr/>
        <a:p>
          <a:endParaRPr lang="zh-CN" altLang="en-US"/>
        </a:p>
      </dgm:t>
    </dgm:pt>
    <dgm:pt modelId="{C6FD8A1A-BAF9-44DE-AA1C-2D5174BA29B8}" cxnId="{7D6C1C13-675F-4449-A271-D906278A5763}" type="sibTrans">
      <dgm:prSet/>
      <dgm:spPr/>
      <dgm:t>
        <a:bodyPr/>
        <a:p>
          <a:endParaRPr lang="zh-CN" altLang="en-US"/>
        </a:p>
      </dgm:t>
    </dgm:pt>
    <dgm:pt modelId="{8359E61B-08F5-4E54-80CB-79511749BE14}">
      <dgm:prSet phldrT="[文本]" custT="1"/>
      <dgm:spPr/>
      <dgm:t>
        <a:bodyPr/>
        <a:p>
          <a:endParaRPr lang="zh-CN" altLang="en-US" sz="1000"/>
        </a:p>
      </dgm:t>
    </dgm:pt>
    <dgm:pt modelId="{9A3F8F49-6F14-4D07-8169-44D4BBD8B680}" cxnId="{78807992-B554-41DB-8067-20F66BDF401F}" type="parTrans">
      <dgm:prSet/>
      <dgm:spPr/>
      <dgm:t>
        <a:bodyPr/>
        <a:p>
          <a:endParaRPr lang="zh-CN" altLang="en-US"/>
        </a:p>
      </dgm:t>
    </dgm:pt>
    <dgm:pt modelId="{700A3F49-159B-4029-B3D0-76133A0E4A74}" cxnId="{78807992-B554-41DB-8067-20F66BDF401F}" type="sibTrans">
      <dgm:prSet/>
      <dgm:spPr/>
      <dgm:t>
        <a:bodyPr/>
        <a:p>
          <a:endParaRPr lang="zh-CN" altLang="en-US"/>
        </a:p>
      </dgm:t>
    </dgm:pt>
    <dgm:pt modelId="{23AE98CC-2556-458C-A826-14A5468531A0}">
      <dgm:prSet phldrT="[文本]" custT="1"/>
      <dgm:spPr/>
      <dgm:t>
        <a:bodyPr/>
        <a:p>
          <a:r>
            <a:rPr lang="en-US" altLang="zh-CN" sz="1000"/>
            <a:t>6. Designing </a:t>
          </a:r>
          <a:r>
            <a:rPr lang="zh-CN" altLang="en-US" sz="1000"/>
            <a:t>巩固新词，分享学习                                    </a:t>
          </a:r>
          <a:r>
            <a:rPr lang="en-US" altLang="zh-CN" sz="1000"/>
            <a:t>To create</a:t>
          </a:r>
          <a:endParaRPr lang="zh-CN" altLang="en-US" sz="1000"/>
        </a:p>
      </dgm:t>
    </dgm:pt>
    <dgm:pt modelId="{8BEF105D-C075-4D38-A755-616BEB0D0A94}" cxnId="{DAE01211-40E0-4C16-9270-92CE13F96F85}" type="parTrans">
      <dgm:prSet/>
      <dgm:spPr/>
      <dgm:t>
        <a:bodyPr/>
        <a:p>
          <a:endParaRPr lang="zh-CN" altLang="en-US"/>
        </a:p>
      </dgm:t>
    </dgm:pt>
    <dgm:pt modelId="{97187E47-7F82-4D33-8027-3D9451EC0228}" cxnId="{DAE01211-40E0-4C16-9270-92CE13F96F85}" type="sibTrans">
      <dgm:prSet/>
      <dgm:spPr/>
      <dgm:t>
        <a:bodyPr/>
        <a:p>
          <a:endParaRPr lang="zh-CN" altLang="en-US"/>
        </a:p>
      </dgm:t>
    </dgm:pt>
    <dgm:pt modelId="{FC7A4ACB-866C-4094-8BC4-7EE4FEB05562}">
      <dgm:prSet phldrT="[文本]" custT="1"/>
      <dgm:spPr/>
      <dgm:t>
        <a:bodyPr/>
        <a:p>
          <a:r>
            <a:rPr lang="en-US" altLang="zh-CN" sz="1000"/>
            <a:t>4. Integrating </a:t>
          </a:r>
          <a:r>
            <a:rPr lang="zh-CN" altLang="zh-CN" sz="1000"/>
            <a:t>运用新词，逻辑表述</a:t>
          </a:r>
          <a:r>
            <a:rPr lang="en-US" altLang="zh-CN" sz="1000"/>
            <a:t>                                To apply</a:t>
          </a:r>
          <a:endParaRPr lang="zh-CN" altLang="en-US" sz="1000"/>
        </a:p>
      </dgm:t>
    </dgm:pt>
    <dgm:pt modelId="{0290B09F-E192-4327-9011-43C801D0E67B}" cxnId="{D113C08F-35A3-4D32-B577-F8C75FEF1F94}" type="parTrans">
      <dgm:prSet/>
      <dgm:spPr/>
      <dgm:t>
        <a:bodyPr/>
        <a:p>
          <a:endParaRPr lang="zh-CN" altLang="en-US"/>
        </a:p>
      </dgm:t>
    </dgm:pt>
    <dgm:pt modelId="{47BF60BC-4E7F-49D5-88AB-C762E7E471E5}" cxnId="{D113C08F-35A3-4D32-B577-F8C75FEF1F94}" type="sibTrans">
      <dgm:prSet/>
      <dgm:spPr/>
      <dgm:t>
        <a:bodyPr/>
        <a:p>
          <a:endParaRPr lang="zh-CN" altLang="en-US"/>
        </a:p>
      </dgm:t>
    </dgm:pt>
    <dgm:pt modelId="{0569A0A9-4FAE-480B-AD15-98DAAEAAF5D2}">
      <dgm:prSet/>
      <dgm:spPr/>
      <dgm:t>
        <a:bodyPr/>
        <a:p>
          <a:endParaRPr lang="zh-CN" altLang="zh-CN" sz="800"/>
        </a:p>
      </dgm:t>
    </dgm:pt>
    <dgm:pt modelId="{82B6F0D0-49C3-4C6D-AF3E-B48E927C3F27}" cxnId="{B63E72C0-4DBF-4734-9B30-265F59E6800E}" type="parTrans">
      <dgm:prSet/>
      <dgm:spPr/>
      <dgm:t>
        <a:bodyPr/>
        <a:p>
          <a:endParaRPr lang="zh-CN" altLang="en-US"/>
        </a:p>
      </dgm:t>
    </dgm:pt>
    <dgm:pt modelId="{D24692E5-0270-48A2-A74C-21870F7F673B}" cxnId="{B63E72C0-4DBF-4734-9B30-265F59E6800E}" type="sibTrans">
      <dgm:prSet/>
      <dgm:spPr/>
      <dgm:t>
        <a:bodyPr/>
        <a:p>
          <a:endParaRPr lang="zh-CN" altLang="en-US"/>
        </a:p>
      </dgm:t>
    </dgm:pt>
    <dgm:pt modelId="{B432C6EA-A5B8-438B-9BEE-40FDEAA82A1C}">
      <dgm:prSet phldrT="[文本]" custT="1"/>
      <dgm:spPr/>
      <dgm:t>
        <a:bodyPr/>
        <a:p>
          <a:r>
            <a:rPr lang="zh-CN" altLang="en-US" sz="1000"/>
            <a:t> </a:t>
          </a:r>
          <a:r>
            <a:rPr lang="en-US" altLang="zh-CN" sz="1000"/>
            <a:t>5. Critiquing </a:t>
          </a:r>
          <a:r>
            <a:rPr lang="zh-CN" sz="1000"/>
            <a:t>阅读思辨，评价伴随</a:t>
          </a:r>
          <a:r>
            <a:rPr lang="en-US" altLang="zh-CN" sz="1000"/>
            <a:t>                                 To evaluate</a:t>
          </a:r>
          <a:endParaRPr lang="zh-CN" altLang="en-US" sz="1000" b="1">
            <a:solidFill>
              <a:srgbClr val="FF0000"/>
            </a:solidFill>
          </a:endParaRPr>
        </a:p>
      </dgm:t>
    </dgm:pt>
    <dgm:pt modelId="{F71EAA27-60D6-4E14-BD5D-D5E081DAB510}" cxnId="{B3AC0469-8F89-486E-97DB-E84EC703AABF}" type="parTrans">
      <dgm:prSet/>
      <dgm:spPr/>
      <dgm:t>
        <a:bodyPr/>
        <a:p>
          <a:endParaRPr lang="zh-CN" altLang="en-US"/>
        </a:p>
      </dgm:t>
    </dgm:pt>
    <dgm:pt modelId="{7968917B-33C3-44D5-9A7F-156E36A76D56}" cxnId="{B3AC0469-8F89-486E-97DB-E84EC703AABF}" type="sibTrans">
      <dgm:prSet/>
      <dgm:spPr/>
      <dgm:t>
        <a:bodyPr/>
        <a:p>
          <a:endParaRPr lang="zh-CN" altLang="en-US"/>
        </a:p>
      </dgm:t>
    </dgm:pt>
    <dgm:pt modelId="{E6A25910-A850-4E20-B201-11BE910808B5}">
      <dgm:prSet phldrT="[文本]" custT="1"/>
      <dgm:spPr/>
      <dgm:t>
        <a:bodyPr/>
        <a:p>
          <a:r>
            <a:rPr lang="zh-CN" altLang="en-US" sz="1000">
              <a:solidFill>
                <a:sysClr val="windowText" lastClr="000000"/>
              </a:solidFill>
            </a:rPr>
            <a:t>               </a:t>
          </a:r>
          <a:r>
            <a:rPr lang="zh-CN" altLang="en-US" sz="1000" b="1">
              <a:solidFill>
                <a:sysClr val="windowText" lastClr="000000"/>
              </a:solidFill>
            </a:rPr>
            <a:t>教学步骤 </a:t>
          </a:r>
          <a:r>
            <a:rPr lang="zh-CN" altLang="en-US" sz="1000">
              <a:solidFill>
                <a:sysClr val="windowText" lastClr="000000"/>
              </a:solidFill>
            </a:rPr>
            <a:t>                                                         </a:t>
          </a:r>
          <a:r>
            <a:rPr lang="zh-CN" altLang="en-US" sz="1000" b="1">
              <a:solidFill>
                <a:sysClr val="windowText" lastClr="000000"/>
              </a:solidFill>
            </a:rPr>
            <a:t>    思维能力发展</a:t>
          </a:r>
        </a:p>
      </dgm:t>
    </dgm:pt>
    <dgm:pt modelId="{09BAE817-2EE6-430F-BA68-9BFFAACD3D2D}" cxnId="{2E65E6CA-BA42-42F3-B55E-2E75E4FD44F8}" type="parTrans">
      <dgm:prSet/>
      <dgm:spPr/>
    </dgm:pt>
    <dgm:pt modelId="{B069CCBC-8F5F-4BE8-A7BC-C2F28A1A385D}" cxnId="{2E65E6CA-BA42-42F3-B55E-2E75E4FD44F8}" type="sibTrans">
      <dgm:prSet/>
      <dgm:spPr/>
    </dgm:pt>
    <dgm:pt modelId="{60DFA60A-4A7E-460A-A63B-0C7253FC1E27}" type="pres">
      <dgm:prSet presAssocID="{A135ED3E-DA67-44D3-A512-2D3B11F9389D}" presName="linearFlow" presStyleCnt="0">
        <dgm:presLayoutVars>
          <dgm:dir/>
          <dgm:animLvl val="lvl"/>
          <dgm:resizeHandles val="exact"/>
        </dgm:presLayoutVars>
      </dgm:prSet>
      <dgm:spPr/>
      <dgm:t>
        <a:bodyPr/>
        <a:p>
          <a:endParaRPr lang="zh-CN" altLang="en-US"/>
        </a:p>
      </dgm:t>
    </dgm:pt>
    <dgm:pt modelId="{F605C908-C200-4867-888B-3DB22D608368}" type="pres">
      <dgm:prSet presAssocID="{E1CF0B7E-A222-4B10-8AF9-8FE265AE6F21}" presName="composite" presStyleCnt="0"/>
      <dgm:spPr/>
    </dgm:pt>
    <dgm:pt modelId="{B9458ED5-3939-46EB-A42C-3D8B6C49D5AB}" type="pres">
      <dgm:prSet presAssocID="{E1CF0B7E-A222-4B10-8AF9-8FE265AE6F21}" presName="parentText" presStyleLbl="alignNode1" presStyleIdx="0" presStyleCnt="3">
        <dgm:presLayoutVars>
          <dgm:chMax val="1"/>
          <dgm:bulletEnabled val="1"/>
        </dgm:presLayoutVars>
      </dgm:prSet>
      <dgm:spPr/>
      <dgm:t>
        <a:bodyPr/>
        <a:p>
          <a:endParaRPr lang="zh-CN" altLang="en-US"/>
        </a:p>
      </dgm:t>
    </dgm:pt>
    <dgm:pt modelId="{FE588676-9841-4635-9DD2-F031747527BF}" type="pres">
      <dgm:prSet presAssocID="{E1CF0B7E-A222-4B10-8AF9-8FE265AE6F21}" presName="descendantText" presStyleLbl="alignAcc1" presStyleIdx="0" presStyleCnt="3">
        <dgm:presLayoutVars>
          <dgm:bulletEnabled val="1"/>
        </dgm:presLayoutVars>
      </dgm:prSet>
      <dgm:spPr/>
      <dgm:t>
        <a:bodyPr/>
        <a:p>
          <a:endParaRPr lang="zh-CN" altLang="en-US"/>
        </a:p>
      </dgm:t>
    </dgm:pt>
    <dgm:pt modelId="{7457DBF4-D7D4-43E9-9F20-7B6FFB9C93B7}" type="pres">
      <dgm:prSet presAssocID="{03E9B757-77EC-481B-BE92-B5FB2880B59A}" presName="sp" presStyleCnt="0"/>
      <dgm:spPr/>
    </dgm:pt>
    <dgm:pt modelId="{FD954B70-1949-4B1A-AEEA-ED5ACA8F33A7}" type="pres">
      <dgm:prSet presAssocID="{1F281E6D-421D-4919-8C28-CE0A489318A9}" presName="composite" presStyleCnt="0"/>
      <dgm:spPr/>
    </dgm:pt>
    <dgm:pt modelId="{7C00750C-EBCE-4E6D-9689-DB46F1ACB7C0}" type="pres">
      <dgm:prSet presAssocID="{1F281E6D-421D-4919-8C28-CE0A489318A9}" presName="parentText" presStyleLbl="alignNode1" presStyleIdx="1" presStyleCnt="3">
        <dgm:presLayoutVars>
          <dgm:chMax val="1"/>
          <dgm:bulletEnabled val="1"/>
        </dgm:presLayoutVars>
      </dgm:prSet>
      <dgm:spPr/>
      <dgm:t>
        <a:bodyPr/>
        <a:p>
          <a:endParaRPr lang="zh-CN" altLang="en-US"/>
        </a:p>
      </dgm:t>
    </dgm:pt>
    <dgm:pt modelId="{9C3A51E2-292E-4B13-BCE9-0BE964DBF030}" type="pres">
      <dgm:prSet presAssocID="{1F281E6D-421D-4919-8C28-CE0A489318A9}" presName="descendantText" presStyleLbl="alignAcc1" presStyleIdx="1" presStyleCnt="3" custScaleY="141960" custLinFactNeighborY="0">
        <dgm:presLayoutVars>
          <dgm:bulletEnabled val="1"/>
        </dgm:presLayoutVars>
      </dgm:prSet>
      <dgm:spPr/>
      <dgm:t>
        <a:bodyPr/>
        <a:p>
          <a:endParaRPr lang="zh-CN" altLang="en-US"/>
        </a:p>
      </dgm:t>
    </dgm:pt>
    <dgm:pt modelId="{87F947CF-29EF-45E8-AB3E-63E900DBC647}" type="pres">
      <dgm:prSet presAssocID="{174284BD-14E7-4BC1-8AC8-04ADCB8925D6}" presName="sp" presStyleCnt="0"/>
      <dgm:spPr/>
    </dgm:pt>
    <dgm:pt modelId="{86896F60-4D5A-4D58-B343-BC9E5D5B6FDE}" type="pres">
      <dgm:prSet presAssocID="{9AFDF412-E6CC-4314-89DC-B12960F34763}" presName="composite" presStyleCnt="0"/>
      <dgm:spPr/>
    </dgm:pt>
    <dgm:pt modelId="{71804186-78DF-48F6-9D62-D2F9D3602A06}" type="pres">
      <dgm:prSet presAssocID="{9AFDF412-E6CC-4314-89DC-B12960F34763}" presName="parentText" presStyleLbl="alignNode1" presStyleIdx="2" presStyleCnt="3">
        <dgm:presLayoutVars>
          <dgm:chMax val="1"/>
          <dgm:bulletEnabled val="1"/>
        </dgm:presLayoutVars>
      </dgm:prSet>
      <dgm:spPr/>
      <dgm:t>
        <a:bodyPr/>
        <a:p>
          <a:endParaRPr lang="zh-CN" altLang="en-US"/>
        </a:p>
      </dgm:t>
    </dgm:pt>
    <dgm:pt modelId="{52246965-B040-40A6-A13D-F1DEF55A3A9A}" type="pres">
      <dgm:prSet presAssocID="{9AFDF412-E6CC-4314-89DC-B12960F34763}" presName="descendantText" presStyleLbl="alignAcc1" presStyleIdx="2" presStyleCnt="3" custLinFactNeighborX="484" custLinFactNeighborY="-2527">
        <dgm:presLayoutVars>
          <dgm:bulletEnabled val="1"/>
        </dgm:presLayoutVars>
      </dgm:prSet>
      <dgm:spPr/>
      <dgm:t>
        <a:bodyPr/>
        <a:p>
          <a:endParaRPr lang="zh-CN" altLang="en-US"/>
        </a:p>
      </dgm:t>
    </dgm:pt>
  </dgm:ptLst>
  <dgm:cxnLst>
    <dgm:cxn modelId="{B3AC0469-8F89-486E-97DB-E84EC703AABF}" srcId="{1F281E6D-421D-4919-8C28-CE0A489318A9}" destId="{B432C6EA-A5B8-438B-9BEE-40FDEAA82A1C}" srcOrd="3" destOrd="0" parTransId="{F71EAA27-60D6-4E14-BD5D-D5E081DAB510}" sibTransId="{7968917B-33C3-44D5-9A7F-156E36A76D56}"/>
    <dgm:cxn modelId="{BD047371-D724-4F58-A8E0-F8DBBE84CB42}" type="presOf" srcId="{9AFDF412-E6CC-4314-89DC-B12960F34763}" destId="{71804186-78DF-48F6-9D62-D2F9D3602A06}" srcOrd="0" destOrd="0" presId="urn:microsoft.com/office/officeart/2005/8/layout/chevron2"/>
    <dgm:cxn modelId="{DAE01211-40E0-4C16-9270-92CE13F96F85}" srcId="{9AFDF412-E6CC-4314-89DC-B12960F34763}" destId="{23AE98CC-2556-458C-A826-14A5468531A0}" srcOrd="1" destOrd="0" parTransId="{8BEF105D-C075-4D38-A755-616BEB0D0A94}" sibTransId="{97187E47-7F82-4D33-8027-3D9451EC0228}"/>
    <dgm:cxn modelId="{9D62AD0C-1DF2-4F12-939A-A5498FE508D4}" type="presOf" srcId="{E6A25910-A850-4E20-B201-11BE910808B5}" destId="{FE588676-9841-4635-9DD2-F031747527BF}" srcOrd="0" destOrd="0" presId="urn:microsoft.com/office/officeart/2005/8/layout/chevron2"/>
    <dgm:cxn modelId="{B0D2F700-8545-4CB0-A3B9-024B1A87E3E6}" type="presOf" srcId="{8359E61B-08F5-4E54-80CB-79511749BE14}" destId="{52246965-B040-40A6-A13D-F1DEF55A3A9A}" srcOrd="0" destOrd="0" presId="urn:microsoft.com/office/officeart/2005/8/layout/chevron2"/>
    <dgm:cxn modelId="{CE7B068F-512F-4FF3-BCD4-9AEE57701A4B}" type="presOf" srcId="{E1CF0B7E-A222-4B10-8AF9-8FE265AE6F21}" destId="{B9458ED5-3939-46EB-A42C-3D8B6C49D5AB}" srcOrd="0" destOrd="0" presId="urn:microsoft.com/office/officeart/2005/8/layout/chevron2"/>
    <dgm:cxn modelId="{7BAF7D94-68B6-4512-B54F-DF1099B26A09}" srcId="{1F281E6D-421D-4919-8C28-CE0A489318A9}" destId="{4CBA74C1-3246-4E86-87D3-177853A72AFD}" srcOrd="0" destOrd="0" parTransId="{FF978B2D-DC8A-49F7-A5BE-98120C339E02}" sibTransId="{5A40C075-BA37-4966-8CE1-BB6093E50560}"/>
    <dgm:cxn modelId="{78807992-B554-41DB-8067-20F66BDF401F}" srcId="{9AFDF412-E6CC-4314-89DC-B12960F34763}" destId="{8359E61B-08F5-4E54-80CB-79511749BE14}" srcOrd="0" destOrd="0" parTransId="{9A3F8F49-6F14-4D07-8169-44D4BBD8B680}" sibTransId="{700A3F49-159B-4029-B3D0-76133A0E4A74}"/>
    <dgm:cxn modelId="{9A4053C9-6247-4532-B36F-FA5CBFE3DCE1}" type="presOf" srcId="{DF37AA2C-CFB5-40DD-B496-528B6BD5D813}" destId="{FE588676-9841-4635-9DD2-F031747527BF}" srcOrd="0" destOrd="1" presId="urn:microsoft.com/office/officeart/2005/8/layout/chevron2"/>
    <dgm:cxn modelId="{115699F8-B6C5-470B-BAE6-AFFDC75AB7C0}" type="presOf" srcId="{B432C6EA-A5B8-438B-9BEE-40FDEAA82A1C}" destId="{9C3A51E2-292E-4B13-BCE9-0BE964DBF030}" srcOrd="0" destOrd="3" presId="urn:microsoft.com/office/officeart/2005/8/layout/chevron2"/>
    <dgm:cxn modelId="{7D6C1C13-675F-4449-A271-D906278A5763}" srcId="{A135ED3E-DA67-44D3-A512-2D3B11F9389D}" destId="{9AFDF412-E6CC-4314-89DC-B12960F34763}" srcOrd="2" destOrd="0" parTransId="{F43489DD-118C-410D-909D-445D1DFBC721}" sibTransId="{C6FD8A1A-BAF9-44DE-AA1C-2D5174BA29B8}"/>
    <dgm:cxn modelId="{3271E439-0BD0-4923-93E0-D263CA43057A}" type="presOf" srcId="{1F281E6D-421D-4919-8C28-CE0A489318A9}" destId="{7C00750C-EBCE-4E6D-9689-DB46F1ACB7C0}" srcOrd="0" destOrd="0" presId="urn:microsoft.com/office/officeart/2005/8/layout/chevron2"/>
    <dgm:cxn modelId="{2E65E6CA-BA42-42F3-B55E-2E75E4FD44F8}" srcId="{E1CF0B7E-A222-4B10-8AF9-8FE265AE6F21}" destId="{E6A25910-A850-4E20-B201-11BE910808B5}" srcOrd="0" destOrd="0" parTransId="{09BAE817-2EE6-430F-BA68-9BFFAACD3D2D}" sibTransId="{B069CCBC-8F5F-4BE8-A7BC-C2F28A1A385D}"/>
    <dgm:cxn modelId="{D113C08F-35A3-4D32-B577-F8C75FEF1F94}" srcId="{1F281E6D-421D-4919-8C28-CE0A489318A9}" destId="{FC7A4ACB-866C-4094-8BC4-7EE4FEB05562}" srcOrd="2" destOrd="0" parTransId="{0290B09F-E192-4327-9011-43C801D0E67B}" sibTransId="{47BF60BC-4E7F-49D5-88AB-C762E7E471E5}"/>
    <dgm:cxn modelId="{C728A68F-9ABD-4957-A5DA-24A8DC49AB8E}" type="presOf" srcId="{0569A0A9-4FAE-480B-AD15-98DAAEAAF5D2}" destId="{9C3A51E2-292E-4B13-BCE9-0BE964DBF030}" srcOrd="0" destOrd="4" presId="urn:microsoft.com/office/officeart/2005/8/layout/chevron2"/>
    <dgm:cxn modelId="{D2697E69-5940-44FF-BE33-46EFA5020B5C}" srcId="{1F281E6D-421D-4919-8C28-CE0A489318A9}" destId="{FAA6F33A-89F2-404E-AA4E-6A0749A81B9E}" srcOrd="1" destOrd="0" parTransId="{33A3BF92-BA44-4CCC-A49A-7F39C64DDA6A}" sibTransId="{AA50596C-2A93-42DE-A95A-C83850E17172}"/>
    <dgm:cxn modelId="{513C4D39-AD9D-43D0-A34E-A0F2BF8584C6}" srcId="{E1CF0B7E-A222-4B10-8AF9-8FE265AE6F21}" destId="{DF37AA2C-CFB5-40DD-B496-528B6BD5D813}" srcOrd="1" destOrd="0" parTransId="{DD963B39-DA3A-43D4-AA09-04E00936C89F}" sibTransId="{CE0BA719-30BB-48FD-A610-1AB4C29D1A61}"/>
    <dgm:cxn modelId="{12BBD26D-222D-4740-AFA1-E372624CB4D8}" type="presOf" srcId="{FC7A4ACB-866C-4094-8BC4-7EE4FEB05562}" destId="{9C3A51E2-292E-4B13-BCE9-0BE964DBF030}" srcOrd="0" destOrd="2" presId="urn:microsoft.com/office/officeart/2005/8/layout/chevron2"/>
    <dgm:cxn modelId="{B63E72C0-4DBF-4734-9B30-265F59E6800E}" srcId="{1F281E6D-421D-4919-8C28-CE0A489318A9}" destId="{0569A0A9-4FAE-480B-AD15-98DAAEAAF5D2}" srcOrd="4" destOrd="0" parTransId="{82B6F0D0-49C3-4C6D-AF3E-B48E927C3F27}" sibTransId="{D24692E5-0270-48A2-A74C-21870F7F673B}"/>
    <dgm:cxn modelId="{6BB50AF4-7B07-4744-BB91-9F3A62915270}" type="presOf" srcId="{A135ED3E-DA67-44D3-A512-2D3B11F9389D}" destId="{60DFA60A-4A7E-460A-A63B-0C7253FC1E27}" srcOrd="0" destOrd="0" presId="urn:microsoft.com/office/officeart/2005/8/layout/chevron2"/>
    <dgm:cxn modelId="{4E6F82A4-E35E-49AA-907E-E97E13026E51}" type="presOf" srcId="{FAA6F33A-89F2-404E-AA4E-6A0749A81B9E}" destId="{9C3A51E2-292E-4B13-BCE9-0BE964DBF030}" srcOrd="0" destOrd="1" presId="urn:microsoft.com/office/officeart/2005/8/layout/chevron2"/>
    <dgm:cxn modelId="{45C42344-5F8D-448E-8617-71308AA3AD5D}" srcId="{A135ED3E-DA67-44D3-A512-2D3B11F9389D}" destId="{1F281E6D-421D-4919-8C28-CE0A489318A9}" srcOrd="1" destOrd="0" parTransId="{AB9C3162-0A56-4DB1-A993-E06A72F7E42C}" sibTransId="{174284BD-14E7-4BC1-8AC8-04ADCB8925D6}"/>
    <dgm:cxn modelId="{72FBB284-8ADF-48FE-9D68-C2BC8F607A03}" type="presOf" srcId="{23AE98CC-2556-458C-A826-14A5468531A0}" destId="{52246965-B040-40A6-A13D-F1DEF55A3A9A}" srcOrd="0" destOrd="1" presId="urn:microsoft.com/office/officeart/2005/8/layout/chevron2"/>
    <dgm:cxn modelId="{EC54EE35-5C38-4452-A2A2-4C279A1E27F5}" srcId="{A135ED3E-DA67-44D3-A512-2D3B11F9389D}" destId="{E1CF0B7E-A222-4B10-8AF9-8FE265AE6F21}" srcOrd="0" destOrd="0" parTransId="{16B659D0-379A-4567-9664-4AC7F1605584}" sibTransId="{03E9B757-77EC-481B-BE92-B5FB2880B59A}"/>
    <dgm:cxn modelId="{FD6D4250-B722-4B79-9E80-26B6024259ED}" type="presOf" srcId="{4CBA74C1-3246-4E86-87D3-177853A72AFD}" destId="{9C3A51E2-292E-4B13-BCE9-0BE964DBF030}" srcOrd="0" destOrd="0" presId="urn:microsoft.com/office/officeart/2005/8/layout/chevron2"/>
    <dgm:cxn modelId="{AD7315BA-7C81-4C4F-9D8B-1E9DC6415627}" type="presParOf" srcId="{60DFA60A-4A7E-460A-A63B-0C7253FC1E27}" destId="{F605C908-C200-4867-888B-3DB22D608368}" srcOrd="0" destOrd="0" presId="urn:microsoft.com/office/officeart/2005/8/layout/chevron2"/>
    <dgm:cxn modelId="{D4BC59AF-41E1-40DA-A4DE-2C31FF26DC6D}" type="presParOf" srcId="{F605C908-C200-4867-888B-3DB22D608368}" destId="{B9458ED5-3939-46EB-A42C-3D8B6C49D5AB}" srcOrd="0" destOrd="0" presId="urn:microsoft.com/office/officeart/2005/8/layout/chevron2"/>
    <dgm:cxn modelId="{271E658F-E77A-4C1A-AB94-007B27ED56C9}" type="presParOf" srcId="{F605C908-C200-4867-888B-3DB22D608368}" destId="{FE588676-9841-4635-9DD2-F031747527BF}" srcOrd="1" destOrd="0" presId="urn:microsoft.com/office/officeart/2005/8/layout/chevron2"/>
    <dgm:cxn modelId="{6AFB6619-D5F8-4363-87A3-3E730BC2EFB2}" type="presParOf" srcId="{60DFA60A-4A7E-460A-A63B-0C7253FC1E27}" destId="{7457DBF4-D7D4-43E9-9F20-7B6FFB9C93B7}" srcOrd="1" destOrd="0" presId="urn:microsoft.com/office/officeart/2005/8/layout/chevron2"/>
    <dgm:cxn modelId="{9141661A-3961-47A5-B206-D5B1A38EFCF0}" type="presParOf" srcId="{60DFA60A-4A7E-460A-A63B-0C7253FC1E27}" destId="{FD954B70-1949-4B1A-AEEA-ED5ACA8F33A7}" srcOrd="2" destOrd="0" presId="urn:microsoft.com/office/officeart/2005/8/layout/chevron2"/>
    <dgm:cxn modelId="{31ABB1E6-688D-4DA6-8841-1CEE1857E4A2}" type="presParOf" srcId="{FD954B70-1949-4B1A-AEEA-ED5ACA8F33A7}" destId="{7C00750C-EBCE-4E6D-9689-DB46F1ACB7C0}" srcOrd="0" destOrd="0" presId="urn:microsoft.com/office/officeart/2005/8/layout/chevron2"/>
    <dgm:cxn modelId="{B4998747-ECE6-44AB-8C6D-8EBDDE65E930}" type="presParOf" srcId="{FD954B70-1949-4B1A-AEEA-ED5ACA8F33A7}" destId="{9C3A51E2-292E-4B13-BCE9-0BE964DBF030}" srcOrd="1" destOrd="0" presId="urn:microsoft.com/office/officeart/2005/8/layout/chevron2"/>
    <dgm:cxn modelId="{E28F9AC8-DC69-40D2-9F04-821B909D530E}" type="presParOf" srcId="{60DFA60A-4A7E-460A-A63B-0C7253FC1E27}" destId="{87F947CF-29EF-45E8-AB3E-63E900DBC647}" srcOrd="3" destOrd="0" presId="urn:microsoft.com/office/officeart/2005/8/layout/chevron2"/>
    <dgm:cxn modelId="{5BFB1B7F-1F80-40F5-A61D-338CB88C6792}" type="presParOf" srcId="{60DFA60A-4A7E-460A-A63B-0C7253FC1E27}" destId="{86896F60-4D5A-4D58-B343-BC9E5D5B6FDE}" srcOrd="4" destOrd="0" presId="urn:microsoft.com/office/officeart/2005/8/layout/chevron2"/>
    <dgm:cxn modelId="{D6212ABB-9CAE-491A-B059-015C56336268}" type="presParOf" srcId="{86896F60-4D5A-4D58-B343-BC9E5D5B6FDE}" destId="{71804186-78DF-48F6-9D62-D2F9D3602A06}" srcOrd="0" destOrd="0" presId="urn:microsoft.com/office/officeart/2005/8/layout/chevron2"/>
    <dgm:cxn modelId="{1C30D2F6-574B-4F0C-BACD-B86307845941}" type="presParOf" srcId="{86896F60-4D5A-4D58-B343-BC9E5D5B6FDE}" destId="{52246965-B040-40A6-A13D-F1DEF55A3A9A}"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458ED5-3939-46EB-A42C-3D8B6C49D5AB}">
      <dsp:nvSpPr>
        <dsp:cNvPr id="0" name=""/>
        <dsp:cNvSpPr/>
      </dsp:nvSpPr>
      <dsp:spPr>
        <a:xfrm rot="5400000">
          <a:off x="-165077" y="169724"/>
          <a:ext cx="1100516" cy="7703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I. Pre-task preparations</a:t>
          </a:r>
          <a:endParaRPr lang="zh-CN" altLang="en-US" sz="1100" kern="1200"/>
        </a:p>
      </dsp:txBody>
      <dsp:txXfrm rot="-5400000">
        <a:off x="1" y="389828"/>
        <a:ext cx="770361" cy="330155"/>
      </dsp:txXfrm>
    </dsp:sp>
    <dsp:sp modelId="{FE588676-9841-4635-9DD2-F031747527BF}">
      <dsp:nvSpPr>
        <dsp:cNvPr id="0" name=""/>
        <dsp:cNvSpPr/>
      </dsp:nvSpPr>
      <dsp:spPr>
        <a:xfrm rot="5400000">
          <a:off x="2518666" y="-1743657"/>
          <a:ext cx="715335" cy="421194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solidFill>
                <a:sysClr val="windowText" lastClr="000000"/>
              </a:solidFill>
            </a:rPr>
            <a:t>               </a:t>
          </a:r>
          <a:r>
            <a:rPr lang="zh-CN" altLang="en-US" sz="1000" b="1" kern="1200">
              <a:solidFill>
                <a:sysClr val="windowText" lastClr="000000"/>
              </a:solidFill>
            </a:rPr>
            <a:t>教学步骤 </a:t>
          </a:r>
          <a:r>
            <a:rPr lang="zh-CN" altLang="en-US" sz="1000" kern="1200">
              <a:solidFill>
                <a:sysClr val="windowText" lastClr="000000"/>
              </a:solidFill>
            </a:rPr>
            <a:t>                                                         </a:t>
          </a:r>
          <a:r>
            <a:rPr lang="zh-CN" altLang="en-US" sz="1000" b="1" kern="1200">
              <a:solidFill>
                <a:sysClr val="windowText" lastClr="000000"/>
              </a:solidFill>
            </a:rPr>
            <a:t>    思维能力发展</a:t>
          </a:r>
        </a:p>
        <a:p>
          <a:pPr marL="57150" lvl="1" indent="-57150" algn="l" defTabSz="444500">
            <a:lnSpc>
              <a:spcPct val="90000"/>
            </a:lnSpc>
            <a:spcBef>
              <a:spcPct val="0"/>
            </a:spcBef>
            <a:spcAft>
              <a:spcPct val="15000"/>
            </a:spcAft>
            <a:buChar char="••"/>
          </a:pPr>
          <a:r>
            <a:rPr lang="en-US" altLang="zh-CN" sz="1000" kern="1200">
              <a:solidFill>
                <a:sysClr val="windowText" lastClr="000000"/>
              </a:solidFill>
            </a:rPr>
            <a:t>1</a:t>
          </a:r>
          <a:r>
            <a:rPr lang="zh-CN" altLang="en-US" sz="1000" kern="1200">
              <a:solidFill>
                <a:sysClr val="windowText" lastClr="000000"/>
              </a:solidFill>
            </a:rPr>
            <a:t> </a:t>
          </a:r>
          <a:r>
            <a:rPr lang="en-US" altLang="zh-CN" sz="1000" kern="1200">
              <a:solidFill>
                <a:sysClr val="windowText" lastClr="000000"/>
              </a:solidFill>
            </a:rPr>
            <a:t>Recalling</a:t>
          </a:r>
          <a:r>
            <a:rPr lang="zh-CN" altLang="en-US" sz="1000" kern="1200">
              <a:solidFill>
                <a:sysClr val="windowText" lastClr="000000"/>
              </a:solidFill>
            </a:rPr>
            <a:t> 思维导图，复习旧知                                     </a:t>
          </a:r>
          <a:r>
            <a:rPr lang="en-US" altLang="zh-CN" sz="1000" b="0" kern="1200">
              <a:solidFill>
                <a:sysClr val="windowText" lastClr="000000"/>
              </a:solidFill>
            </a:rPr>
            <a:t>To analyze</a:t>
          </a:r>
          <a:r>
            <a:rPr lang="zh-CN" altLang="en-US" sz="1000" kern="1200">
              <a:solidFill>
                <a:srgbClr val="7030A0"/>
              </a:solidFill>
            </a:rPr>
            <a:t>      </a:t>
          </a:r>
          <a:r>
            <a:rPr lang="zh-CN" altLang="en-US" sz="1000" b="1" kern="1200">
              <a:solidFill>
                <a:srgbClr val="7030A0"/>
              </a:solidFill>
            </a:rPr>
            <a:t> </a:t>
          </a:r>
          <a:endParaRPr lang="zh-CN" altLang="en-US" sz="1000" kern="1200">
            <a:solidFill>
              <a:sysClr val="windowText" lastClr="000000"/>
            </a:solidFill>
          </a:endParaRPr>
        </a:p>
      </dsp:txBody>
      <dsp:txXfrm rot="-5400000">
        <a:off x="770361" y="39568"/>
        <a:ext cx="4177026" cy="645495"/>
      </dsp:txXfrm>
    </dsp:sp>
    <dsp:sp modelId="{7C00750C-EBCE-4E6D-9689-DB46F1ACB7C0}">
      <dsp:nvSpPr>
        <dsp:cNvPr id="0" name=""/>
        <dsp:cNvSpPr/>
      </dsp:nvSpPr>
      <dsp:spPr>
        <a:xfrm rot="5400000">
          <a:off x="-165077" y="1228780"/>
          <a:ext cx="1100516" cy="7703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II. While-task procedures</a:t>
          </a:r>
          <a:endParaRPr lang="zh-CN" altLang="en-US" sz="1100" kern="1200"/>
        </a:p>
      </dsp:txBody>
      <dsp:txXfrm rot="-5400000">
        <a:off x="1" y="1448884"/>
        <a:ext cx="770361" cy="330155"/>
      </dsp:txXfrm>
    </dsp:sp>
    <dsp:sp modelId="{9C3A51E2-292E-4B13-BCE9-0BE964DBF030}">
      <dsp:nvSpPr>
        <dsp:cNvPr id="0" name=""/>
        <dsp:cNvSpPr/>
      </dsp:nvSpPr>
      <dsp:spPr>
        <a:xfrm rot="5400000">
          <a:off x="2368589" y="-684602"/>
          <a:ext cx="1015490" cy="421194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altLang="zh-CN" sz="1000" kern="1200"/>
            <a:t>2. Categorizing</a:t>
          </a:r>
          <a:r>
            <a:rPr lang="zh-CN" altLang="en-US" sz="1000" kern="1200"/>
            <a:t>背记新词，</a:t>
          </a:r>
          <a:r>
            <a:rPr lang="zh-CN" sz="1000" kern="1200"/>
            <a:t>以旧带新</a:t>
          </a:r>
          <a:r>
            <a:rPr lang="en-US" altLang="zh-CN" sz="1000" kern="1200"/>
            <a:t>                              To remember</a:t>
          </a:r>
          <a:endParaRPr lang="zh-CN" altLang="en-US" sz="1000" kern="1200"/>
        </a:p>
        <a:p>
          <a:pPr marL="57150" lvl="1" indent="-57150" algn="l" defTabSz="444500">
            <a:lnSpc>
              <a:spcPct val="90000"/>
            </a:lnSpc>
            <a:spcBef>
              <a:spcPct val="0"/>
            </a:spcBef>
            <a:spcAft>
              <a:spcPct val="15000"/>
            </a:spcAft>
            <a:buChar char="••"/>
          </a:pPr>
          <a:r>
            <a:rPr lang="en-US" altLang="zh-CN" sz="1000" kern="1200"/>
            <a:t>3. Using</a:t>
          </a:r>
          <a:r>
            <a:rPr lang="zh-CN" altLang="en-US" sz="1000" kern="1200"/>
            <a:t> 理解语义，加深体验                                         </a:t>
          </a:r>
          <a:r>
            <a:rPr lang="en-US" altLang="zh-CN" sz="1000" kern="1200"/>
            <a:t>To understand</a:t>
          </a:r>
          <a:endParaRPr lang="zh-CN" altLang="en-US" sz="1000" kern="1200"/>
        </a:p>
        <a:p>
          <a:pPr marL="57150" lvl="1" indent="-57150" algn="l" defTabSz="444500">
            <a:lnSpc>
              <a:spcPct val="90000"/>
            </a:lnSpc>
            <a:spcBef>
              <a:spcPct val="0"/>
            </a:spcBef>
            <a:spcAft>
              <a:spcPct val="15000"/>
            </a:spcAft>
            <a:buChar char="••"/>
          </a:pPr>
          <a:r>
            <a:rPr lang="en-US" altLang="zh-CN" sz="1000" kern="1200"/>
            <a:t>4. Integrating </a:t>
          </a:r>
          <a:r>
            <a:rPr lang="zh-CN" altLang="zh-CN" sz="1000" kern="1200"/>
            <a:t>运用新词，逻辑表述</a:t>
          </a:r>
          <a:r>
            <a:rPr lang="en-US" altLang="zh-CN" sz="1000" kern="1200"/>
            <a:t>                                To apply</a:t>
          </a:r>
          <a:endParaRPr lang="zh-CN" altLang="en-US" sz="1000" kern="1200"/>
        </a:p>
        <a:p>
          <a:pPr marL="57150" lvl="1" indent="-57150" algn="l" defTabSz="444500">
            <a:lnSpc>
              <a:spcPct val="90000"/>
            </a:lnSpc>
            <a:spcBef>
              <a:spcPct val="0"/>
            </a:spcBef>
            <a:spcAft>
              <a:spcPct val="15000"/>
            </a:spcAft>
            <a:buChar char="••"/>
          </a:pPr>
          <a:r>
            <a:rPr lang="zh-CN" altLang="en-US" sz="1000" kern="1200"/>
            <a:t> </a:t>
          </a:r>
          <a:r>
            <a:rPr lang="en-US" altLang="zh-CN" sz="1000" kern="1200"/>
            <a:t>5. Critiquing </a:t>
          </a:r>
          <a:r>
            <a:rPr lang="zh-CN" sz="1000" kern="1200"/>
            <a:t>阅读思辨，评价伴随</a:t>
          </a:r>
          <a:r>
            <a:rPr lang="en-US" altLang="zh-CN" sz="1000" kern="1200"/>
            <a:t>                                 To evaluate</a:t>
          </a:r>
          <a:endParaRPr lang="zh-CN" altLang="en-US" sz="1000" b="1" kern="1200">
            <a:solidFill>
              <a:srgbClr val="FF0000"/>
            </a:solidFill>
          </a:endParaRPr>
        </a:p>
        <a:p>
          <a:pPr marL="57150" lvl="1" indent="-57150" algn="l" defTabSz="355600">
            <a:lnSpc>
              <a:spcPct val="90000"/>
            </a:lnSpc>
            <a:spcBef>
              <a:spcPct val="0"/>
            </a:spcBef>
            <a:spcAft>
              <a:spcPct val="15000"/>
            </a:spcAft>
            <a:buChar char="••"/>
          </a:pPr>
          <a:endParaRPr lang="zh-CN" altLang="zh-CN" sz="800" kern="1200"/>
        </a:p>
      </dsp:txBody>
      <dsp:txXfrm rot="-5400000">
        <a:off x="770361" y="963198"/>
        <a:ext cx="4162374" cy="916346"/>
      </dsp:txXfrm>
    </dsp:sp>
    <dsp:sp modelId="{71804186-78DF-48F6-9D62-D2F9D3602A06}">
      <dsp:nvSpPr>
        <dsp:cNvPr id="0" name=""/>
        <dsp:cNvSpPr/>
      </dsp:nvSpPr>
      <dsp:spPr>
        <a:xfrm rot="5400000">
          <a:off x="-165077" y="2137758"/>
          <a:ext cx="1100516" cy="7703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altLang="zh-CN" sz="1100" kern="1200"/>
            <a:t>III. Post-task activities</a:t>
          </a:r>
          <a:endParaRPr lang="zh-CN" altLang="en-US" sz="1100" kern="1200"/>
        </a:p>
      </dsp:txBody>
      <dsp:txXfrm rot="-5400000">
        <a:off x="1" y="2357862"/>
        <a:ext cx="770361" cy="330155"/>
      </dsp:txXfrm>
    </dsp:sp>
    <dsp:sp modelId="{52246965-B040-40A6-A13D-F1DEF55A3A9A}">
      <dsp:nvSpPr>
        <dsp:cNvPr id="0" name=""/>
        <dsp:cNvSpPr/>
      </dsp:nvSpPr>
      <dsp:spPr>
        <a:xfrm rot="5400000">
          <a:off x="2518666" y="206299"/>
          <a:ext cx="715335" cy="421194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zh-CN" altLang="en-US" sz="1000" kern="1200"/>
        </a:p>
        <a:p>
          <a:pPr marL="57150" lvl="1" indent="-57150" algn="l" defTabSz="444500">
            <a:lnSpc>
              <a:spcPct val="90000"/>
            </a:lnSpc>
            <a:spcBef>
              <a:spcPct val="0"/>
            </a:spcBef>
            <a:spcAft>
              <a:spcPct val="15000"/>
            </a:spcAft>
            <a:buChar char="••"/>
          </a:pPr>
          <a:r>
            <a:rPr lang="en-US" altLang="zh-CN" sz="1000" kern="1200"/>
            <a:t>6. Designing </a:t>
          </a:r>
          <a:r>
            <a:rPr lang="zh-CN" altLang="en-US" sz="1000" kern="1200"/>
            <a:t>巩固新词，分享学习                                    </a:t>
          </a:r>
          <a:r>
            <a:rPr lang="en-US" altLang="zh-CN" sz="1000" kern="1200"/>
            <a:t>To create</a:t>
          </a:r>
          <a:endParaRPr lang="zh-CN" altLang="en-US" sz="1000" kern="1200"/>
        </a:p>
      </dsp:txBody>
      <dsp:txXfrm rot="-5400000">
        <a:off x="770361" y="1989524"/>
        <a:ext cx="4177026" cy="64549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type="chevron" r:blip="" rot="90">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type="round2SameRect" r:blip="" rot="90">
                <dgm:adjLst/>
              </dgm:shape>
            </dgm:if>
            <dgm:else name="Name6">
              <dgm:alg type="tx">
                <dgm:param type="stBulletLvl" val="1"/>
                <dgm:param type="txAnchorVertCh" val="mid"/>
              </dgm:alg>
              <dgm:shape xmlns:r="http://schemas.openxmlformats.org/officeDocument/2006/relationships" type="round2SameRect" r:blip="" rot="-90">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AFED13-E5F3-4FEE-944F-2415DC4907D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1222</Words>
  <Characters>6966</Characters>
  <Lines>58</Lines>
  <Paragraphs>16</Paragraphs>
  <TotalTime>67</TotalTime>
  <ScaleCrop>false</ScaleCrop>
  <LinksUpToDate>false</LinksUpToDate>
  <CharactersWithSpaces>8172</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2019-05-05T04:50:00Z</dcterms:created>
  <dc:creator>Corinna liu</dc:creator>
  <cp:lastModifiedBy>杨姣平　</cp:lastModifiedBy>
  <dcterms:modified xsi:type="dcterms:W3CDTF">2019-05-20T02:36:03Z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