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运用</w:t>
      </w:r>
      <w:r>
        <w:rPr>
          <w:rFonts w:hint="eastAsia" w:ascii="黑体" w:hAnsi="黑体" w:eastAsia="黑体"/>
          <w:color w:val="000000"/>
          <w:sz w:val="32"/>
          <w:szCs w:val="32"/>
        </w:rPr>
        <w:t>性格色彩分析法</w:t>
      </w:r>
      <w:r>
        <w:rPr>
          <w:rFonts w:hint="eastAsia" w:ascii="黑体" w:hAnsi="黑体" w:eastAsia="黑体"/>
          <w:color w:val="000000"/>
          <w:sz w:val="32"/>
          <w:szCs w:val="32"/>
          <w:lang w:eastAsia="zh-CN"/>
        </w:rPr>
        <w:t>，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提高</w:t>
      </w:r>
      <w:r>
        <w:rPr>
          <w:rFonts w:hint="eastAsia" w:ascii="黑体" w:hAnsi="黑体" w:eastAsia="黑体"/>
          <w:color w:val="000000"/>
          <w:sz w:val="32"/>
          <w:szCs w:val="32"/>
        </w:rPr>
        <w:t>随迁子女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物理教学实效的</w:t>
      </w:r>
      <w:r>
        <w:rPr>
          <w:rFonts w:hint="eastAsia" w:ascii="黑体" w:hAnsi="黑体" w:eastAsia="黑体"/>
          <w:color w:val="000000"/>
          <w:sz w:val="32"/>
          <w:szCs w:val="32"/>
        </w:rPr>
        <w:t>探</w:t>
      </w:r>
      <w:r>
        <w:rPr>
          <w:rFonts w:hint="eastAsia" w:ascii="黑体" w:hAnsi="黑体" w:eastAsia="黑体"/>
          <w:color w:val="000000"/>
          <w:sz w:val="32"/>
          <w:szCs w:val="32"/>
          <w:lang w:val="en-US" w:eastAsia="zh-CN"/>
        </w:rPr>
        <w:t>索</w:t>
      </w:r>
    </w:p>
    <w:p>
      <w:pPr>
        <w:jc w:val="center"/>
        <w:rPr>
          <w:rFonts w:ascii="楷体" w:hAnsi="楷体" w:eastAsia="楷体"/>
          <w:sz w:val="24"/>
          <w:szCs w:val="24"/>
        </w:rPr>
      </w:pPr>
      <w:r>
        <w:rPr>
          <w:rFonts w:hint="eastAsia" w:ascii="楷体" w:hAnsi="楷体" w:eastAsia="楷体"/>
          <w:sz w:val="24"/>
          <w:szCs w:val="24"/>
        </w:rPr>
        <w:t>上海市龙苑中学  闫循齐</w:t>
      </w:r>
    </w:p>
    <w:p>
      <w:pPr>
        <w:jc w:val="center"/>
        <w:rPr>
          <w:rFonts w:ascii="楷体" w:hAnsi="楷体" w:eastAsia="楷体"/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【摘要</w:t>
      </w:r>
      <w:r>
        <w:rPr>
          <w:rFonts w:hint="eastAsia"/>
          <w:sz w:val="24"/>
          <w:szCs w:val="24"/>
        </w:rPr>
        <w:t>】</w:t>
      </w:r>
      <w:r>
        <w:rPr>
          <w:rFonts w:hint="eastAsia" w:ascii="宋体" w:hAnsi="宋体"/>
          <w:sz w:val="24"/>
        </w:rPr>
        <w:t>我校以随迁子女学生为主,由于他们特殊的生活和学习环境，这类学生的性格特点大都十分鲜明。作为一名基层物理教师，针对他们我从他们性格特点入手，利用性格色彩理论，改变传统的教学模式，制定符合他们的教育教学和课下辅导方式方法因材施教，激发学生学习兴趣，提高物理学科的教学</w:t>
      </w:r>
      <w:r>
        <w:rPr>
          <w:rFonts w:hint="eastAsia" w:ascii="宋体" w:hAnsi="宋体"/>
          <w:sz w:val="24"/>
          <w:lang w:val="en-US" w:eastAsia="zh-CN"/>
        </w:rPr>
        <w:t>实</w:t>
      </w:r>
      <w:r>
        <w:rPr>
          <w:rFonts w:hint="eastAsia" w:ascii="宋体" w:hAnsi="宋体"/>
          <w:sz w:val="24"/>
        </w:rPr>
        <w:t>效性。</w:t>
      </w:r>
    </w:p>
    <w:p>
      <w:pPr>
        <w:adjustRightInd w:val="0"/>
        <w:snapToGrid w:val="0"/>
        <w:spacing w:line="360" w:lineRule="auto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【</w:t>
      </w:r>
      <w:r>
        <w:rPr>
          <w:rFonts w:hint="eastAsia" w:ascii="Calibri" w:hAnsi="Calibri" w:eastAsia="宋体" w:cs="Times New Roman"/>
          <w:b/>
          <w:sz w:val="24"/>
          <w:szCs w:val="24"/>
        </w:rPr>
        <w:t>关键词</w:t>
      </w:r>
      <w:r>
        <w:rPr>
          <w:rFonts w:hint="eastAsia" w:ascii="Calibri" w:hAnsi="Calibri" w:eastAsia="宋体" w:cs="Times New Roman"/>
          <w:sz w:val="24"/>
          <w:szCs w:val="24"/>
        </w:rPr>
        <w:t>】；</w:t>
      </w:r>
      <w:r>
        <w:rPr>
          <w:rFonts w:ascii="Calibri" w:hAnsi="Calibri" w:eastAsia="宋体" w:cs="Times New Roman"/>
          <w:sz w:val="24"/>
          <w:szCs w:val="24"/>
        </w:rPr>
        <w:t xml:space="preserve"> </w:t>
      </w:r>
      <w:r>
        <w:rPr>
          <w:rFonts w:hint="eastAsia" w:ascii="Calibri" w:hAnsi="Calibri" w:eastAsia="宋体" w:cs="Times New Roman"/>
          <w:sz w:val="24"/>
          <w:szCs w:val="24"/>
        </w:rPr>
        <w:t>随迁子女；物理；性格色彩；</w:t>
      </w:r>
      <w:r>
        <w:rPr>
          <w:rFonts w:hint="eastAsia" w:ascii="Calibri" w:hAnsi="Calibri" w:eastAsia="宋体" w:cs="Times New Roman"/>
          <w:sz w:val="24"/>
          <w:szCs w:val="24"/>
          <w:lang w:val="en-US" w:eastAsia="zh-CN"/>
        </w:rPr>
        <w:t>实</w:t>
      </w:r>
      <w:r>
        <w:rPr>
          <w:rFonts w:hint="eastAsia" w:ascii="Calibri" w:hAnsi="Calibri" w:eastAsia="宋体" w:cs="Times New Roman"/>
          <w:sz w:val="24"/>
          <w:szCs w:val="24"/>
        </w:rPr>
        <w:t>效性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Calibri" w:hAnsi="Calibri" w:eastAsia="宋体" w:cs="Times New Roman"/>
          <w:b/>
          <w:kern w:val="1"/>
          <w:sz w:val="24"/>
          <w:szCs w:val="24"/>
        </w:rPr>
        <w:t>【正文】</w:t>
      </w:r>
      <w:r>
        <w:rPr>
          <w:rFonts w:hint="eastAsia" w:ascii="宋体" w:hAnsi="宋体"/>
          <w:sz w:val="24"/>
        </w:rPr>
        <w:t>随迁子女基数十分庞大，是有我国现阶段经济分布、教育资源不均衡现状决定的。国内对于随迁子女的生活、教育、心理等多方面作了较为详细的调查和研究。国外对于这一块调查研究较少，这也是由他们的基本国情决定的。国内对于随迁子女的教育问题研究大都是从随迁子女教育的公平性、入学的政策、对随迁子女政策的解读、户籍关系问题等等，大都是从宏观上阐述。我校以随迁子女学生为主,由于他们特殊的生活和学习环境，这类学生的性格特点大都十分鲜明。作为一名基层物理教师，针对他们我从他们性格特点入手，利用性格色彩理论，改变传统的教学模式，制定符合他们的教育教学和课下辅导方式方法因材施教，激发学生学习兴趣，提高物理学科的教学</w:t>
      </w:r>
      <w:r>
        <w:rPr>
          <w:rFonts w:hint="eastAsia" w:ascii="宋体" w:hAnsi="宋体"/>
          <w:sz w:val="24"/>
          <w:lang w:val="en-US" w:eastAsia="zh-CN"/>
        </w:rPr>
        <w:t>实</w:t>
      </w:r>
      <w:r>
        <w:rPr>
          <w:rFonts w:hint="eastAsia" w:ascii="宋体" w:hAnsi="宋体"/>
          <w:sz w:val="24"/>
        </w:rPr>
        <w:t>效性。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近年来，性格色彩研究一直在心理学领域占据着重要地位，国内外专家将人的性格分为四类：红色性格、黄色性格、蓝色性格、绿色性格。不同颜色代表不同的性格，但是人的性格不会是单一色，只是更侧重于哪一种颜色，不同颜色的学生，所表现出的行为特点和处事方式有明显不同。随班就读学生，性格色彩鲜明，侧重某一种性格的现象更加明显，对其性格特点着重研究、剖析，对提高物理教学有效性有巨大的推动作用。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红色性格的人性格活泼开朗，直爽，对他们而言自己就是中心，骨子里透着自信，面对困难，从不言败，敢于直面困难，总会想出解决的办法，不打无把握之战。但是，这类性格的人，不善于听取意见，经常刚愎自用，容易产生急躁的情绪，对一些知识掌握上并不扎实。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黄色性格的人，在生活中向“老顽童”一样，有他在处处充满欢乐，性格上也不扭扭捏捏，十分的豪迈，是天生的“表演家”，拥有很强的表现欲，有很强的自我约束力和控制力，在生活和学习上有明确的目标，但是由于这类人的自尊心过强，有时候遇到困难羞于寻求帮助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蓝色性格的人属于才华横溢，具备一定的领导能力，善于组织、带动活动，善于察言观色，注重每个人的心理感受，做事情稳重，善于听取意见，执行力强。但是这种性格的人想的比较多，容易陷入思想误区，钻牛角尖，一时无法自拔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绿色性格的人不善于表达，有问题、有疑问喜欢埋在心里，不喜欢冒险，做事情规规矩矩，喜欢享受安逸的生活，在生活中与人为善，性格温文尔雅。虽有能力，但不愿意表露，对于批评极其敏感，虽然内心深处渴望成功，但是却不会表达出来，通常对人有很强的戒备心理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正常生活和学习的孩子，通常性格色彩上比较均衡，侧重色并不鲜明。对于随迁子女学生而言，学习习惯、行为习惯的好坏，智商和情商占次要地位，特殊的生活和学习环境，让他们的性格特点变得鲜明。作为教育工作者需要做到“知彼知己，百战不殆”，通过对班级中学生性格色彩的综合观察和分析，针对红、黄、蓝、绿四种性格的学生，制定符合正确而又实用的物理教学方式，做到因势利导，使教育教学效果最大化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我通过性格色彩分析软件、对学生的观察、问卷调查、家访等方式，我对所教班级的24名学生的性格特点进行了逐一分析：共有10名学生为绿色性格，占班级学生总数的42%，红色性格学生共7名，占班级学生总数的29%，黄色性格学生共2名，占班级学生总数的8%，蓝色性格学生共2名，占班级学生总数的8%，其余3名同学性格色彩均衡，占班级学生总数的13%。数据表明班级中绿色和红色性格的学生占比最高，比例达到了71%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drawing>
          <wp:inline distT="0" distB="0" distL="0" distR="0">
            <wp:extent cx="4941570" cy="6083935"/>
            <wp:effectExtent l="19050" t="0" r="0" b="0"/>
            <wp:docPr id="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46179" cy="608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48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图一：上表为对班级24名学生性格分析总表。绿色代表绿色性格，红色代表红色性格，黄色代表黄色性格，蓝色代表蓝色性格，棕色代表均衡性格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以下四幅图是周同学、孙同学、邓同学、李同学四名同学进行的柱状图分析。。</w:t>
      </w:r>
    </w:p>
    <w:p>
      <w:pPr>
        <w:adjustRightInd w:val="0"/>
        <w:snapToGrid w:val="0"/>
        <w:spacing w:line="360" w:lineRule="auto"/>
        <w:ind w:firstLine="120" w:firstLineChars="5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drawing>
          <wp:inline distT="0" distB="0" distL="0" distR="0">
            <wp:extent cx="2534920" cy="141033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34821" cy="1410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</w:rPr>
        <w:drawing>
          <wp:inline distT="0" distB="0" distL="0" distR="0">
            <wp:extent cx="2433320" cy="1458595"/>
            <wp:effectExtent l="19050" t="0" r="4537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8085" cy="146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图2： A(周)同学性格分析图               图3：B(孙)同学性格分析图</w:t>
      </w: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2626360" cy="1519555"/>
            <wp:effectExtent l="19050" t="0" r="2026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6499" cy="1519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/>
          <w:sz w:val="24"/>
        </w:rPr>
        <w:drawing>
          <wp:inline distT="0" distB="0" distL="0" distR="0">
            <wp:extent cx="2344420" cy="1421765"/>
            <wp:effectExtent l="1905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5444" cy="14222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rPr>
          <w:rFonts w:ascii="宋体" w:hAnsi="宋体"/>
          <w:szCs w:val="21"/>
        </w:rPr>
      </w:pPr>
      <w:r>
        <w:rPr>
          <w:rFonts w:hint="eastAsia" w:ascii="宋体" w:hAnsi="宋体"/>
          <w:sz w:val="24"/>
        </w:rPr>
        <w:t xml:space="preserve">    </w:t>
      </w:r>
      <w:r>
        <w:rPr>
          <w:rFonts w:hint="eastAsia" w:ascii="宋体" w:hAnsi="宋体"/>
          <w:szCs w:val="21"/>
        </w:rPr>
        <w:t>图4 ：(C)邓同学性格分析图               图5：(D)李同学性格分析图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之后，我又针对整个班级的学生性格色彩进行了汇总，我发现随迁子女整体性格色彩呈现红色性格和绿色性格的比例最高，分别为42%和29%。如下图：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ascii="宋体" w:hAnsi="宋体"/>
          <w:sz w:val="24"/>
        </w:rPr>
        <w:drawing>
          <wp:inline distT="0" distB="0" distL="0" distR="0">
            <wp:extent cx="4776470" cy="2393315"/>
            <wp:effectExtent l="19050" t="0" r="5080" b="0"/>
            <wp:docPr id="8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76470" cy="2393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图6： 班级整体性格色彩分布图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由此可见，随迁子女学的某个色彩的性格的确更加鲜明、突出，这与《探究不同性格色彩学生的技能教育方式》研究中得出职校学生蓝色性格（稳重型）突出的结论不谋而合。这篇文章针对职校学生性格特点做了研究，宏观意义上发现特定环境、特定专业下的学生会赋予学生某一种或者两种特定的性格色彩。而随迁子女的性格色彩更加偏向与绿色性格和红色性格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针对性格色彩分析结果，我制定了个性化的教学方式、分组进行课后辅导、分组布置课后作业。按照性格色彩，我将班级学生分成两个大组：红色性格组和绿色性格组。在课堂教学上针对两组的性格特点，制定相应的课堂活动。红色小组的学生大都不假思索就积极回答问题，有时候正确率并不高，但我还是会给予回答问题的学生表扬，让他们有成就感，鼓励他们发言，带动课堂氛围，有时候也会送给他们一些小的礼物，既让他们感动又让他们表现的更加积极。当然有时候的小测试，他们得到的成绩却与平时表现不经相同，对于这种情况，切记不可与他们“硬碰硬”，要给予足够的耐心，像朋友一样与他们开心的交流、聊天，在此过程中，旁敲侧击他们测试成绩差的原因，他们聪明的头脑会意识到自己存在的问题。让他们知道学习不可以心浮气躁，要脚踏实地，注重基础知识的学习，对于思维性的知识要在平时多注意梳理和积累。在考试时，要心平气和，认真审题，不要盲目自信。让他们在失败后可以接受建议，是提高红色性格学生学习有效性的重要环节。针对绿色性格小组的同学，他们课堂上很少发言，遵守课堂纪律，循规蹈矩，很少制定明确的计划或目标，是名副其实的乖孩子。即使有听不懂或者无法解决的问题，他们也很少会主动提问，主动解决。在学习上总是很认真，但由于性格沉默，导致学习方法并不多。学习效率比较低，学习效果也较差。针对他们这种散漫拖沓，无计划无目标的现象，我会对他们张弛有度，有时候会很严格的要求他们学习，等他们做到了，立刻进行口头表扬。有时候，和这类学生一起制定计划和学习目标，对他们也是很有用的，目标不要太高太大，要让们容易达成，鼓励他们“重在参与”，逐步培养他们课堂参与的主动性，让他们成为课堂上的主角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课后布置作业根据性格制定个性化作业，红色性格小组的同学，往往基础知识差，做题质量不高，但是他们做题非常快。我对他们布置的课后作业的量相比于绿色性格的学生高很多，但是难度较低，以基础为主，对于作业的检测，也是注重作业的书写和正确率。对于绿色性格小组的同学，他们基础知识掌握牢固，做题认真有余，但是做题速度较慢。针对他们我布置作业的量会相应减少，题目难度会稍微高一些，要求他们在作业上注明每天写作业用的时间，以此提醒他们提高做作业的速度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课后辅导也是按照小组轮流进行。对于红色性格小组辅导，讲解题目要有足够的耐心，不要别他们积极的相应迷惑，有时候他们其实并没有真正的理解。当然，我在课后辅导时，言语表达上通常很幽默，红色性格学生逆反心理强，他们更愿意接受在快乐、轻松的氛围下学习。绿色性格学生沉闷，课后辅导时，他们即使听懂了你讲的题目，他们却没有应答。给老师他们依然不懂得感觉。我通常采用提问式辅导法，在提问过程中讲解题目，他们讲的不规范的地方我来指出，这样也可以更加全面了解哪些知识点他们掌握的不够好，也更能高效的进行课后辅导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通过制定符合随迁子女的物理教育教学和课下辅导方式，进行因材施教，大大增加了学生学习物理的兴趣和自信心，我班中物理成绩整体很好，没有出现学困生，考试的及格率达100%。班级中小邓同学（图2）为典型的绿色性格的学生，平时十分内心，不善于表达，给人的感觉就是没有上进心，学习也没有动力。课堂教学过程中，我经常对其提问，并经常进行表扬，课下经常找他聊天，增加对他的关注度，一年来，他的物理成绩一直在年级前三名徘徊，而他的数学却总是个位数。当有老师问他为什么你的物理成绩那么好而数学又那么差呢？他总是很害羞的说我喜欢物理。或许这就是运用性格色彩分析法，因材施教引起的巨大的化学反应吧。</w:t>
      </w:r>
    </w:p>
    <w:p>
      <w:pPr>
        <w:adjustRightInd w:val="0"/>
        <w:snapToGrid w:val="0"/>
        <w:spacing w:line="360" w:lineRule="auto"/>
        <w:ind w:firstLine="48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每个人都拥有自己的性格色彩，有些人性格特点不鲜明，有些人性格特点十分鲜明，而大部分随迁子女学生的性格属于后者。在物理教学中，面对随迁子女，老师应转变教学方式和教学思维，充分考虑学生的性格特点，进行合理的引导，做到因材施教，则会在教学中事半功倍。不同性格的学生，运用不同的方式激发他们的潜能和优势，为他们搭建起符合学生自己的个性化舞台，他让他们向着健康向着快乐成长、进步！</w:t>
      </w:r>
      <w:bookmarkStart w:id="0" w:name="_GoBack"/>
      <w:bookmarkEnd w:id="0"/>
    </w:p>
    <w:p>
      <w:pPr>
        <w:adjustRightInd w:val="0"/>
        <w:snapToGrid w:val="0"/>
        <w:spacing w:line="360" w:lineRule="auto"/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Calibri" w:hAnsi="Calibri" w:eastAsia="宋体" w:cs="Times New Roman"/>
          <w:sz w:val="24"/>
          <w:szCs w:val="24"/>
        </w:rPr>
        <w:t>【</w:t>
      </w:r>
      <w:r>
        <w:rPr>
          <w:rFonts w:hint="eastAsia" w:ascii="Calibri" w:hAnsi="Calibri" w:eastAsia="宋体" w:cs="Times New Roman"/>
          <w:b/>
          <w:sz w:val="24"/>
          <w:szCs w:val="24"/>
        </w:rPr>
        <w:t>参考文献</w:t>
      </w:r>
      <w:r>
        <w:rPr>
          <w:rFonts w:hint="eastAsia" w:ascii="Calibri" w:hAnsi="Calibri" w:eastAsia="宋体" w:cs="Times New Roman"/>
          <w:sz w:val="24"/>
          <w:szCs w:val="24"/>
        </w:rPr>
        <w:t>】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1</w:t>
      </w:r>
      <w:r>
        <w:rPr>
          <w:szCs w:val="21"/>
        </w:rPr>
        <w:t>]</w:t>
      </w:r>
      <w:r>
        <w:rPr>
          <w:rFonts w:hint="eastAsia"/>
          <w:szCs w:val="21"/>
        </w:rPr>
        <w:t>奥数网编辑.合肥随迁子女定点学校数量增至134所.2011-9-6.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2</w:t>
      </w:r>
      <w:r>
        <w:rPr>
          <w:szCs w:val="21"/>
        </w:rPr>
        <w:t>]</w:t>
      </w:r>
      <w:r>
        <w:rPr>
          <w:rFonts w:hint="eastAsia"/>
          <w:szCs w:val="21"/>
        </w:rPr>
        <w:t>霍泽娟等论性格色彩在化学教学中的应用</w:t>
      </w:r>
      <w:r>
        <w:rPr>
          <w:szCs w:val="21"/>
        </w:rPr>
        <w:t>[</w:t>
      </w:r>
      <w:r>
        <w:rPr>
          <w:rFonts w:hint="eastAsia"/>
          <w:szCs w:val="21"/>
        </w:rPr>
        <w:t>J</w:t>
      </w:r>
      <w:r>
        <w:rPr>
          <w:szCs w:val="21"/>
        </w:rPr>
        <w:t>]</w:t>
      </w:r>
      <w:r>
        <w:rPr>
          <w:rFonts w:hint="eastAsia"/>
          <w:szCs w:val="21"/>
        </w:rPr>
        <w:t>科学视界.2017-06-06.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3</w:t>
      </w:r>
      <w:r>
        <w:rPr>
          <w:szCs w:val="21"/>
        </w:rPr>
        <w:t>]</w:t>
      </w:r>
      <w:r>
        <w:rPr>
          <w:rFonts w:hint="eastAsia"/>
          <w:szCs w:val="21"/>
        </w:rPr>
        <w:t>乐嘉.FPA性格色彩入门跟乐嘉色眼识人</w:t>
      </w:r>
      <w:r>
        <w:rPr>
          <w:szCs w:val="21"/>
        </w:rPr>
        <w:t>[M]</w:t>
      </w:r>
      <w:r>
        <w:rPr>
          <w:rFonts w:hint="eastAsia"/>
          <w:szCs w:val="21"/>
        </w:rPr>
        <w:t>.湖南文艺出版社.2012.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4</w:t>
      </w:r>
      <w:r>
        <w:rPr>
          <w:szCs w:val="21"/>
        </w:rPr>
        <w:t>]</w:t>
      </w:r>
      <w:r>
        <w:rPr>
          <w:rFonts w:hint="eastAsia"/>
          <w:szCs w:val="21"/>
        </w:rPr>
        <w:t>梁伯霞.谈学生性格色彩对英语教育方式的启迪</w:t>
      </w:r>
      <w:r>
        <w:rPr>
          <w:szCs w:val="21"/>
        </w:rPr>
        <w:t>[</w:t>
      </w:r>
      <w:r>
        <w:rPr>
          <w:rFonts w:hint="eastAsia"/>
          <w:szCs w:val="21"/>
        </w:rPr>
        <w:t>J</w:t>
      </w:r>
      <w:r>
        <w:rPr>
          <w:szCs w:val="21"/>
        </w:rPr>
        <w:t>]</w:t>
      </w:r>
      <w:r>
        <w:rPr>
          <w:rFonts w:hint="eastAsia"/>
          <w:szCs w:val="21"/>
        </w:rPr>
        <w:t>.现代教学.2014:56-57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5</w:t>
      </w:r>
      <w:r>
        <w:rPr>
          <w:szCs w:val="21"/>
        </w:rPr>
        <w:t>]</w:t>
      </w:r>
      <w:r>
        <w:rPr>
          <w:rFonts w:hint="eastAsia"/>
          <w:szCs w:val="21"/>
        </w:rPr>
        <w:t>张永华等.21世纪化学教师应该具备的素质</w:t>
      </w:r>
      <w:r>
        <w:rPr>
          <w:szCs w:val="21"/>
        </w:rPr>
        <w:t>[</w:t>
      </w:r>
      <w:r>
        <w:rPr>
          <w:rFonts w:hint="eastAsia"/>
          <w:szCs w:val="21"/>
        </w:rPr>
        <w:t>J</w:t>
      </w:r>
      <w:r>
        <w:rPr>
          <w:szCs w:val="21"/>
        </w:rPr>
        <w:t>]</w:t>
      </w:r>
      <w:r>
        <w:rPr>
          <w:rFonts w:hint="eastAsia"/>
          <w:szCs w:val="21"/>
        </w:rPr>
        <w:t>.首都师范大学学报（自然科学版）.2014:42-43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6</w:t>
      </w:r>
      <w:r>
        <w:rPr>
          <w:szCs w:val="21"/>
        </w:rPr>
        <w:t>]</w:t>
      </w:r>
      <w:r>
        <w:rPr>
          <w:rFonts w:hint="eastAsia"/>
          <w:szCs w:val="21"/>
        </w:rPr>
        <w:t>徐春浪.FPA性格色彩对优化班级课堂教学的启示</w:t>
      </w:r>
      <w:r>
        <w:rPr>
          <w:szCs w:val="21"/>
        </w:rPr>
        <w:t>[</w:t>
      </w:r>
      <w:r>
        <w:rPr>
          <w:rFonts w:hint="eastAsia"/>
          <w:szCs w:val="21"/>
        </w:rPr>
        <w:t>J</w:t>
      </w:r>
      <w:r>
        <w:rPr>
          <w:szCs w:val="21"/>
        </w:rPr>
        <w:t>]</w:t>
      </w:r>
      <w:r>
        <w:rPr>
          <w:rFonts w:hint="eastAsia"/>
          <w:szCs w:val="21"/>
        </w:rPr>
        <w:t>.时代教育.2015（6）：275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7</w:t>
      </w:r>
      <w:r>
        <w:rPr>
          <w:szCs w:val="21"/>
        </w:rPr>
        <w:t>]</w:t>
      </w:r>
      <w:r>
        <w:rPr>
          <w:rFonts w:hint="eastAsia"/>
          <w:szCs w:val="21"/>
        </w:rPr>
        <w:t>汤元军.职业学校教师人格对学生人格发展的影响</w:t>
      </w:r>
      <w:r>
        <w:rPr>
          <w:szCs w:val="21"/>
        </w:rPr>
        <w:t>[</w:t>
      </w:r>
      <w:r>
        <w:rPr>
          <w:rFonts w:hint="eastAsia"/>
          <w:szCs w:val="21"/>
        </w:rPr>
        <w:t>J</w:t>
      </w:r>
      <w:r>
        <w:rPr>
          <w:szCs w:val="21"/>
        </w:rPr>
        <w:t>]</w:t>
      </w:r>
      <w:r>
        <w:rPr>
          <w:rFonts w:hint="eastAsia"/>
          <w:szCs w:val="21"/>
        </w:rPr>
        <w:t>.职业教育2014（08）:34-36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8</w:t>
      </w:r>
      <w:r>
        <w:rPr>
          <w:szCs w:val="21"/>
        </w:rPr>
        <w:t>]</w:t>
      </w:r>
      <w:r>
        <w:rPr>
          <w:rFonts w:hint="eastAsia"/>
          <w:szCs w:val="21"/>
        </w:rPr>
        <w:t>余艳萍.中等职业学校师生关系现状及改进策略的研究</w:t>
      </w:r>
      <w:r>
        <w:rPr>
          <w:szCs w:val="21"/>
        </w:rPr>
        <w:t>[</w:t>
      </w:r>
      <w:r>
        <w:rPr>
          <w:rFonts w:hint="eastAsia"/>
          <w:szCs w:val="21"/>
        </w:rPr>
        <w:t>D</w:t>
      </w:r>
      <w:r>
        <w:rPr>
          <w:szCs w:val="21"/>
        </w:rPr>
        <w:t>]</w:t>
      </w:r>
      <w:r>
        <w:rPr>
          <w:rFonts w:hint="eastAsia"/>
          <w:szCs w:val="21"/>
        </w:rPr>
        <w:t>.湖南师范大学.2014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9</w:t>
      </w:r>
      <w:r>
        <w:rPr>
          <w:szCs w:val="21"/>
        </w:rPr>
        <w:t>]</w:t>
      </w:r>
      <w:r>
        <w:rPr>
          <w:rFonts w:hint="eastAsia"/>
          <w:szCs w:val="21"/>
        </w:rPr>
        <w:t>舒娜.农民工子女初中阶段教育政策研究</w:t>
      </w:r>
      <w:r>
        <w:rPr>
          <w:szCs w:val="21"/>
        </w:rPr>
        <w:t>[</w:t>
      </w:r>
      <w:r>
        <w:rPr>
          <w:rFonts w:hint="eastAsia"/>
          <w:szCs w:val="21"/>
        </w:rPr>
        <w:t>J</w:t>
      </w:r>
      <w:r>
        <w:rPr>
          <w:szCs w:val="21"/>
        </w:rPr>
        <w:t>]</w:t>
      </w:r>
      <w:r>
        <w:rPr>
          <w:rFonts w:hint="eastAsia"/>
          <w:szCs w:val="21"/>
        </w:rPr>
        <w:t>.农业考古.2010（3）;153-155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10</w:t>
      </w:r>
      <w:r>
        <w:rPr>
          <w:szCs w:val="21"/>
        </w:rPr>
        <w:t>] 胡枫华新课程背景下初中物理有效教学研究[J]中学课程资源，2008．4.</w:t>
      </w:r>
    </w:p>
    <w:p>
      <w:pPr>
        <w:adjustRightInd w:val="0"/>
        <w:snapToGrid w:val="0"/>
        <w:spacing w:line="360" w:lineRule="auto"/>
        <w:rPr>
          <w:szCs w:val="21"/>
        </w:rPr>
      </w:pPr>
      <w:r>
        <w:rPr>
          <w:szCs w:val="21"/>
        </w:rPr>
        <w:t>[</w:t>
      </w:r>
      <w:r>
        <w:rPr>
          <w:rFonts w:hint="eastAsia"/>
          <w:szCs w:val="21"/>
        </w:rPr>
        <w:t>11</w:t>
      </w:r>
      <w:r>
        <w:rPr>
          <w:szCs w:val="21"/>
        </w:rPr>
        <w:t>]</w:t>
      </w:r>
      <w:r>
        <w:rPr>
          <w:rFonts w:hint="eastAsia"/>
          <w:szCs w:val="21"/>
        </w:rPr>
        <w:t>王笑男.简述：性格色彩学在大学生管理中的作用,</w:t>
      </w:r>
      <w:r>
        <w:rPr>
          <w:szCs w:val="21"/>
        </w:rPr>
        <w:t xml:space="preserve"> [J]</w:t>
      </w:r>
      <w:r>
        <w:rPr>
          <w:rFonts w:hint="eastAsia"/>
          <w:szCs w:val="21"/>
        </w:rPr>
        <w:t>中国科技信息.2013（5）.</w:t>
      </w:r>
    </w:p>
    <w:p>
      <w:pPr>
        <w:adjustRightInd w:val="0"/>
        <w:snapToGrid w:val="0"/>
        <w:spacing w:line="360" w:lineRule="auto"/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5DF"/>
    <w:rsid w:val="0001031C"/>
    <w:rsid w:val="0002588F"/>
    <w:rsid w:val="00025E16"/>
    <w:rsid w:val="000349ED"/>
    <w:rsid w:val="0006092F"/>
    <w:rsid w:val="00062BBE"/>
    <w:rsid w:val="00064B65"/>
    <w:rsid w:val="00067C65"/>
    <w:rsid w:val="00080ED5"/>
    <w:rsid w:val="0009278B"/>
    <w:rsid w:val="000A2621"/>
    <w:rsid w:val="000C2DA6"/>
    <w:rsid w:val="001067ED"/>
    <w:rsid w:val="0011089A"/>
    <w:rsid w:val="00112367"/>
    <w:rsid w:val="00186004"/>
    <w:rsid w:val="001B44F3"/>
    <w:rsid w:val="001C46D1"/>
    <w:rsid w:val="001C48B6"/>
    <w:rsid w:val="001C6ACB"/>
    <w:rsid w:val="001D0D52"/>
    <w:rsid w:val="001E6494"/>
    <w:rsid w:val="00203364"/>
    <w:rsid w:val="00212ECE"/>
    <w:rsid w:val="00226103"/>
    <w:rsid w:val="0022676A"/>
    <w:rsid w:val="002718D6"/>
    <w:rsid w:val="00285D9D"/>
    <w:rsid w:val="0028642D"/>
    <w:rsid w:val="002C4A6C"/>
    <w:rsid w:val="002C6149"/>
    <w:rsid w:val="002D1901"/>
    <w:rsid w:val="002E755A"/>
    <w:rsid w:val="00301EBA"/>
    <w:rsid w:val="00307441"/>
    <w:rsid w:val="003349D0"/>
    <w:rsid w:val="00342936"/>
    <w:rsid w:val="00346E27"/>
    <w:rsid w:val="00353804"/>
    <w:rsid w:val="00355491"/>
    <w:rsid w:val="00360862"/>
    <w:rsid w:val="00364091"/>
    <w:rsid w:val="003926E1"/>
    <w:rsid w:val="003A65FB"/>
    <w:rsid w:val="003B1B38"/>
    <w:rsid w:val="003D2F7C"/>
    <w:rsid w:val="003D54D6"/>
    <w:rsid w:val="003E11D0"/>
    <w:rsid w:val="003F3018"/>
    <w:rsid w:val="003F5ACB"/>
    <w:rsid w:val="003F671C"/>
    <w:rsid w:val="004105DF"/>
    <w:rsid w:val="004463B4"/>
    <w:rsid w:val="00451702"/>
    <w:rsid w:val="00453AA8"/>
    <w:rsid w:val="00460D7C"/>
    <w:rsid w:val="004859E9"/>
    <w:rsid w:val="00487531"/>
    <w:rsid w:val="00493150"/>
    <w:rsid w:val="004D33CD"/>
    <w:rsid w:val="004E71AC"/>
    <w:rsid w:val="00512A8A"/>
    <w:rsid w:val="00521366"/>
    <w:rsid w:val="0052342A"/>
    <w:rsid w:val="00523C89"/>
    <w:rsid w:val="005327E0"/>
    <w:rsid w:val="00537D0B"/>
    <w:rsid w:val="00543575"/>
    <w:rsid w:val="0055705D"/>
    <w:rsid w:val="00590844"/>
    <w:rsid w:val="005A279F"/>
    <w:rsid w:val="005A423D"/>
    <w:rsid w:val="005B180E"/>
    <w:rsid w:val="005C686F"/>
    <w:rsid w:val="005E693C"/>
    <w:rsid w:val="00613D3D"/>
    <w:rsid w:val="00616D52"/>
    <w:rsid w:val="0063518D"/>
    <w:rsid w:val="00641C26"/>
    <w:rsid w:val="00660BA9"/>
    <w:rsid w:val="00673CDB"/>
    <w:rsid w:val="00677C8A"/>
    <w:rsid w:val="00695A23"/>
    <w:rsid w:val="006A4617"/>
    <w:rsid w:val="006A7579"/>
    <w:rsid w:val="006D6F6E"/>
    <w:rsid w:val="006F00BF"/>
    <w:rsid w:val="00720272"/>
    <w:rsid w:val="007628C2"/>
    <w:rsid w:val="00767B12"/>
    <w:rsid w:val="00777B9B"/>
    <w:rsid w:val="007B5221"/>
    <w:rsid w:val="007D4BE4"/>
    <w:rsid w:val="008350FB"/>
    <w:rsid w:val="0085745F"/>
    <w:rsid w:val="008B0694"/>
    <w:rsid w:val="008B55FE"/>
    <w:rsid w:val="008C2ECB"/>
    <w:rsid w:val="008D19D2"/>
    <w:rsid w:val="008D2C0F"/>
    <w:rsid w:val="008D55B3"/>
    <w:rsid w:val="008F1DAD"/>
    <w:rsid w:val="00906D65"/>
    <w:rsid w:val="00912C87"/>
    <w:rsid w:val="0091657C"/>
    <w:rsid w:val="009352D1"/>
    <w:rsid w:val="00981FC8"/>
    <w:rsid w:val="009A08B9"/>
    <w:rsid w:val="009D1EA8"/>
    <w:rsid w:val="009F526B"/>
    <w:rsid w:val="00A21369"/>
    <w:rsid w:val="00A513DA"/>
    <w:rsid w:val="00A647A5"/>
    <w:rsid w:val="00A7141C"/>
    <w:rsid w:val="00A7483C"/>
    <w:rsid w:val="00A950FB"/>
    <w:rsid w:val="00AA3F6F"/>
    <w:rsid w:val="00AB000D"/>
    <w:rsid w:val="00AC3E8B"/>
    <w:rsid w:val="00AC7D57"/>
    <w:rsid w:val="00AD5389"/>
    <w:rsid w:val="00AF7B78"/>
    <w:rsid w:val="00B00CF2"/>
    <w:rsid w:val="00B17EFB"/>
    <w:rsid w:val="00B26A05"/>
    <w:rsid w:val="00B330A9"/>
    <w:rsid w:val="00B371C1"/>
    <w:rsid w:val="00B52AA0"/>
    <w:rsid w:val="00B66307"/>
    <w:rsid w:val="00B700B5"/>
    <w:rsid w:val="00B81F4A"/>
    <w:rsid w:val="00B85D82"/>
    <w:rsid w:val="00B91255"/>
    <w:rsid w:val="00BB2574"/>
    <w:rsid w:val="00BC70C4"/>
    <w:rsid w:val="00BD674B"/>
    <w:rsid w:val="00BE4302"/>
    <w:rsid w:val="00BF4BF8"/>
    <w:rsid w:val="00C1209F"/>
    <w:rsid w:val="00C14674"/>
    <w:rsid w:val="00C30FD4"/>
    <w:rsid w:val="00C7205E"/>
    <w:rsid w:val="00C77514"/>
    <w:rsid w:val="00C85E68"/>
    <w:rsid w:val="00CC0CD1"/>
    <w:rsid w:val="00CC6803"/>
    <w:rsid w:val="00CD1102"/>
    <w:rsid w:val="00D1551A"/>
    <w:rsid w:val="00D21488"/>
    <w:rsid w:val="00D26D9E"/>
    <w:rsid w:val="00D43D8C"/>
    <w:rsid w:val="00D52C41"/>
    <w:rsid w:val="00D92477"/>
    <w:rsid w:val="00DB6E30"/>
    <w:rsid w:val="00DE189F"/>
    <w:rsid w:val="00DE7485"/>
    <w:rsid w:val="00E17A3C"/>
    <w:rsid w:val="00E5073F"/>
    <w:rsid w:val="00E54398"/>
    <w:rsid w:val="00E55B61"/>
    <w:rsid w:val="00E80F2F"/>
    <w:rsid w:val="00EA76CD"/>
    <w:rsid w:val="00EB41D6"/>
    <w:rsid w:val="00EC14B0"/>
    <w:rsid w:val="00EC5017"/>
    <w:rsid w:val="00F246C0"/>
    <w:rsid w:val="00F563BC"/>
    <w:rsid w:val="00F567A6"/>
    <w:rsid w:val="00F709B4"/>
    <w:rsid w:val="00F721CF"/>
    <w:rsid w:val="00FA6793"/>
    <w:rsid w:val="00FF5036"/>
    <w:rsid w:val="0A3700C3"/>
    <w:rsid w:val="707B245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Emphasis"/>
    <w:basedOn w:val="6"/>
    <w:qFormat/>
    <w:uiPriority w:val="0"/>
    <w:rPr>
      <w:i/>
      <w:iCs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character" w:customStyle="1" w:styleId="9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1">
    <w:name w:val="fontstyle01"/>
    <w:basedOn w:val="6"/>
    <w:qFormat/>
    <w:uiPriority w:val="0"/>
    <w:rPr>
      <w:rFonts w:hint="eastAsia" w:ascii="宋体" w:hAnsi="宋体" w:eastAsia="宋体"/>
      <w:color w:val="000000"/>
      <w:sz w:val="20"/>
      <w:szCs w:val="20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apple-converted-space"/>
    <w:basedOn w:val="6"/>
    <w:uiPriority w:val="0"/>
  </w:style>
  <w:style w:type="paragraph" w:customStyle="1" w:styleId="14">
    <w:name w:val="title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info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D9DDE5B-FACC-4F02-98C3-9C5E9A08539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625</Words>
  <Characters>3563</Characters>
  <Lines>29</Lines>
  <Paragraphs>8</Paragraphs>
  <TotalTime>1212</TotalTime>
  <ScaleCrop>false</ScaleCrop>
  <LinksUpToDate>false</LinksUpToDate>
  <CharactersWithSpaces>4180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2017-06-12T02:57:00Z</dcterms:created>
  <dc:creator>admin</dc:creator>
  <cp:lastModifiedBy>铭侦探</cp:lastModifiedBy>
  <dcterms:modified xsi:type="dcterms:W3CDTF">2019-10-10T13:59:19Z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