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2"/>
          <w:szCs w:val="32"/>
        </w:rPr>
      </w:pPr>
      <w:r>
        <w:rPr>
          <w:rFonts w:hint="eastAsia" w:ascii="黑体" w:hAnsi="黑体" w:eastAsia="黑体"/>
          <w:b/>
          <w:sz w:val="32"/>
          <w:szCs w:val="32"/>
        </w:rPr>
        <w:t>基于“整本书阅读”培养初中学生自主阅读能力的实践</w:t>
      </w:r>
    </w:p>
    <w:p>
      <w:pPr>
        <w:spacing w:line="360" w:lineRule="auto"/>
        <w:jc w:val="center"/>
        <w:rPr>
          <w:rFonts w:ascii="黑体" w:hAnsi="黑体" w:eastAsia="黑体"/>
          <w:b/>
          <w:sz w:val="32"/>
          <w:szCs w:val="32"/>
        </w:rPr>
      </w:pPr>
      <w:r>
        <w:rPr>
          <w:rFonts w:ascii="黑体" w:hAnsi="黑体" w:eastAsia="黑体"/>
          <w:b/>
          <w:sz w:val="32"/>
          <w:szCs w:val="32"/>
        </w:rPr>
        <w:t>—</w:t>
      </w:r>
      <w:r>
        <w:rPr>
          <w:rFonts w:hint="eastAsia" w:ascii="黑体" w:hAnsi="黑体" w:eastAsia="黑体"/>
          <w:b/>
          <w:sz w:val="32"/>
          <w:szCs w:val="32"/>
        </w:rPr>
        <w:t>以新课标百科丛书第五级第六本</w:t>
      </w:r>
      <w:r>
        <w:rPr>
          <w:rFonts w:hint="eastAsia" w:ascii="黑体" w:hAnsi="黑体" w:eastAsia="黑体"/>
          <w:b/>
          <w:i/>
          <w:sz w:val="32"/>
          <w:szCs w:val="32"/>
        </w:rPr>
        <w:t>Einstein</w:t>
      </w:r>
      <w:r>
        <w:rPr>
          <w:rFonts w:hint="eastAsia" w:ascii="黑体" w:hAnsi="黑体" w:eastAsia="黑体"/>
          <w:b/>
          <w:sz w:val="32"/>
          <w:szCs w:val="32"/>
        </w:rPr>
        <w:t>为例</w:t>
      </w:r>
    </w:p>
    <w:p>
      <w:pPr>
        <w:spacing w:line="360" w:lineRule="auto"/>
        <w:jc w:val="center"/>
      </w:pPr>
      <w:r>
        <w:rPr>
          <w:rFonts w:hint="eastAsia"/>
        </w:rPr>
        <w:t>上海市田林第三中学 韩婷</w:t>
      </w:r>
    </w:p>
    <w:p>
      <w:pPr>
        <w:pStyle w:val="7"/>
        <w:numPr>
          <w:ilvl w:val="0"/>
          <w:numId w:val="1"/>
        </w:numPr>
        <w:spacing w:line="360" w:lineRule="auto"/>
        <w:ind w:firstLineChars="0"/>
        <w:rPr>
          <w:rFonts w:asciiTheme="minorEastAsia" w:hAnsiTheme="minorEastAsia"/>
          <w:sz w:val="24"/>
          <w:szCs w:val="24"/>
        </w:rPr>
      </w:pPr>
      <w:r>
        <w:rPr>
          <w:rFonts w:hint="eastAsia" w:asciiTheme="minorEastAsia" w:hAnsiTheme="minorEastAsia"/>
          <w:sz w:val="24"/>
          <w:szCs w:val="24"/>
        </w:rPr>
        <w:t>引言</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根据《义务教育英语课程标准（2022年版）》，教师应指导学生坚持开展课外阅读，注重培养和发展阅读素养，为学生提供课外阅读的环境、资源和方法。英语课程要培养的学生核心素养包括语言能力、文化意识思维品质和学习能力等方面。阅读作为英语课程的重要方面，对学生核心素养的培养有积极的促进作用。而课内阅读有其自身的一些局限，如篇章碎片化、文本篇幅短，整本书阅读作为补充和拓展得到不少一线教师的青睐。英语整本书阅读可以帮助学生获得更丰富的语言输入，培养良好的阅读习惯，是培养学生核心素养的有力抓手。英语整本书凭借地道的语言使用、真实的文化意蕴和经典的思想主旨，成为开展英语课外阅读的重要载体。</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要注意的是，整本书阅读其特点是篇幅长、内容多、耗时久。因此为确保阅读效果，书目的选取要符合学生的年龄特点和兴趣爱好，并与其英语水平相适应。选用难度适中的原版作品开展“整本书阅读”。笔者在六年级的拓展课开展整本书阅读教学，选择本课程的同学多是英语程度中等较好且对英语学习有一定的兴趣。基于此，笔者选择了由上海外语教育出版社出版的新课标百科丛书，这是一套分级阅读的百科丛书，根据丛书的分级标准（表1），考虑到选课同学的实际英语水平，笔者选取了其中第五级第六本</w:t>
      </w:r>
      <w:r>
        <w:rPr>
          <w:rFonts w:asciiTheme="minorEastAsia" w:hAnsiTheme="minorEastAsia"/>
          <w:i/>
          <w:sz w:val="24"/>
          <w:szCs w:val="24"/>
        </w:rPr>
        <w:t>Einstein</w:t>
      </w:r>
      <w:r>
        <w:rPr>
          <w:rFonts w:hint="eastAsia" w:asciiTheme="minorEastAsia" w:hAnsiTheme="minorEastAsia"/>
          <w:sz w:val="24"/>
          <w:szCs w:val="24"/>
        </w:rPr>
        <w:t>（《爱因斯坦》）作为整本书阅读书目，作为一本人物传记作品，兼具真实性与趣味性，具有较好的教育功能。其词汇丰富、语言纯正、篇幅适中，能提高学生阅读兴趣，培养阅读能力，也利于满足他们的学习需求。同时，考虑到六年级的主题中包含有‘Different jobs’，本书也可以作为较好的课外补充阅读材料，拓展学生的阅读视野，在阅读中感受语言的魅力。</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418"/>
        <w:gridCol w:w="1984"/>
        <w:gridCol w:w="1418"/>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line="360" w:lineRule="auto"/>
              <w:rPr>
                <w:rFonts w:asciiTheme="minorEastAsia" w:hAnsiTheme="minorEastAsia"/>
                <w:sz w:val="24"/>
                <w:szCs w:val="24"/>
              </w:rPr>
            </w:pPr>
            <w:r>
              <w:rPr>
                <w:rFonts w:hint="eastAsia" w:asciiTheme="minorEastAsia" w:hAnsiTheme="minorEastAsia"/>
                <w:sz w:val="24"/>
                <w:szCs w:val="24"/>
              </w:rPr>
              <w:t>丛书分级</w:t>
            </w:r>
          </w:p>
        </w:tc>
        <w:tc>
          <w:tcPr>
            <w:tcW w:w="1418" w:type="dxa"/>
          </w:tcPr>
          <w:p>
            <w:pPr>
              <w:spacing w:line="360" w:lineRule="auto"/>
              <w:rPr>
                <w:rFonts w:asciiTheme="minorEastAsia" w:hAnsiTheme="minorEastAsia"/>
                <w:sz w:val="24"/>
                <w:szCs w:val="24"/>
              </w:rPr>
            </w:pPr>
            <w:r>
              <w:rPr>
                <w:rFonts w:hint="eastAsia" w:asciiTheme="minorEastAsia" w:hAnsiTheme="minorEastAsia"/>
                <w:sz w:val="24"/>
                <w:szCs w:val="24"/>
              </w:rPr>
              <w:t>每级册数</w:t>
            </w:r>
          </w:p>
        </w:tc>
        <w:tc>
          <w:tcPr>
            <w:tcW w:w="1984" w:type="dxa"/>
          </w:tcPr>
          <w:p>
            <w:pPr>
              <w:spacing w:line="360" w:lineRule="auto"/>
              <w:rPr>
                <w:rFonts w:asciiTheme="minorEastAsia" w:hAnsiTheme="minorEastAsia"/>
                <w:sz w:val="24"/>
                <w:szCs w:val="24"/>
              </w:rPr>
            </w:pPr>
            <w:r>
              <w:rPr>
                <w:rFonts w:hint="eastAsia" w:asciiTheme="minorEastAsia" w:hAnsiTheme="minorEastAsia"/>
                <w:sz w:val="24"/>
                <w:szCs w:val="24"/>
              </w:rPr>
              <w:t>适合读者</w:t>
            </w:r>
          </w:p>
        </w:tc>
        <w:tc>
          <w:tcPr>
            <w:tcW w:w="1418" w:type="dxa"/>
          </w:tcPr>
          <w:p>
            <w:pPr>
              <w:spacing w:line="360" w:lineRule="auto"/>
              <w:rPr>
                <w:rFonts w:asciiTheme="minorEastAsia" w:hAnsiTheme="minorEastAsia"/>
                <w:sz w:val="24"/>
                <w:szCs w:val="24"/>
              </w:rPr>
            </w:pPr>
            <w:r>
              <w:rPr>
                <w:rFonts w:hint="eastAsia" w:asciiTheme="minorEastAsia" w:hAnsiTheme="minorEastAsia"/>
                <w:sz w:val="24"/>
                <w:szCs w:val="24"/>
              </w:rPr>
              <w:t>词汇量</w:t>
            </w:r>
          </w:p>
        </w:tc>
        <w:tc>
          <w:tcPr>
            <w:tcW w:w="2126" w:type="dxa"/>
          </w:tcPr>
          <w:p>
            <w:pPr>
              <w:spacing w:line="360" w:lineRule="auto"/>
              <w:rPr>
                <w:rFonts w:asciiTheme="minorEastAsia" w:hAnsiTheme="minorEastAsia"/>
                <w:sz w:val="24"/>
                <w:szCs w:val="24"/>
              </w:rPr>
            </w:pPr>
            <w:r>
              <w:rPr>
                <w:rFonts w:hint="eastAsia" w:asciiTheme="minorEastAsia" w:hAnsiTheme="minorEastAsia"/>
                <w:sz w:val="24"/>
                <w:szCs w:val="24"/>
              </w:rPr>
              <w:t>培养目标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line="360" w:lineRule="auto"/>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14</w:t>
            </w:r>
          </w:p>
        </w:tc>
        <w:tc>
          <w:tcPr>
            <w:tcW w:w="1984" w:type="dxa"/>
          </w:tcPr>
          <w:p>
            <w:pPr>
              <w:spacing w:line="360" w:lineRule="auto"/>
              <w:rPr>
                <w:rFonts w:asciiTheme="minorEastAsia" w:hAnsiTheme="minorEastAsia"/>
                <w:sz w:val="24"/>
                <w:szCs w:val="24"/>
              </w:rPr>
            </w:pPr>
            <w:r>
              <w:rPr>
                <w:rFonts w:hint="eastAsia" w:asciiTheme="minorEastAsia" w:hAnsiTheme="minorEastAsia"/>
                <w:sz w:val="24"/>
                <w:szCs w:val="24"/>
              </w:rPr>
              <w:t>初一年级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800-1000</w:t>
            </w:r>
          </w:p>
        </w:tc>
        <w:tc>
          <w:tcPr>
            <w:tcW w:w="2126" w:type="dxa"/>
          </w:tcPr>
          <w:p>
            <w:pPr>
              <w:spacing w:line="360" w:lineRule="auto"/>
              <w:rPr>
                <w:rFonts w:asciiTheme="minorEastAsia" w:hAnsiTheme="minorEastAsia"/>
                <w:sz w:val="24"/>
                <w:szCs w:val="24"/>
              </w:rPr>
            </w:pPr>
            <w:r>
              <w:rPr>
                <w:rFonts w:hint="eastAsia" w:asciiTheme="minorEastAsia" w:hAnsiTheme="minorEastAsia"/>
                <w:sz w:val="24"/>
                <w:szCs w:val="24"/>
              </w:rPr>
              <w:t>新课标3级水平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line="360" w:lineRule="auto"/>
              <w:rPr>
                <w:rFonts w:asciiTheme="minorEastAsia" w:hAnsiTheme="minorEastAsia"/>
                <w:sz w:val="24"/>
                <w:szCs w:val="24"/>
              </w:rPr>
            </w:pPr>
            <w:r>
              <w:rPr>
                <w:rFonts w:asciiTheme="minorEastAsia" w:hAnsiTheme="minorEastAsia"/>
                <w:sz w:val="24"/>
                <w:szCs w:val="24"/>
              </w:rPr>
              <w:t>5</w:t>
            </w:r>
            <w:r>
              <w:rPr>
                <w:rFonts w:hint="eastAsia" w:asciiTheme="minorEastAsia" w:hAnsiTheme="minorEastAsia"/>
                <w:sz w:val="24"/>
                <w:szCs w:val="24"/>
              </w:rPr>
              <w:t>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14</w:t>
            </w:r>
          </w:p>
        </w:tc>
        <w:tc>
          <w:tcPr>
            <w:tcW w:w="1984" w:type="dxa"/>
          </w:tcPr>
          <w:p>
            <w:pPr>
              <w:spacing w:line="360" w:lineRule="auto"/>
              <w:rPr>
                <w:rFonts w:asciiTheme="minorEastAsia" w:hAnsiTheme="minorEastAsia"/>
                <w:sz w:val="24"/>
                <w:szCs w:val="24"/>
              </w:rPr>
            </w:pPr>
            <w:r>
              <w:rPr>
                <w:rFonts w:hint="eastAsia" w:asciiTheme="minorEastAsia" w:hAnsiTheme="minorEastAsia"/>
                <w:sz w:val="24"/>
                <w:szCs w:val="24"/>
              </w:rPr>
              <w:t>初二、初三年级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1500-1800</w:t>
            </w:r>
          </w:p>
        </w:tc>
        <w:tc>
          <w:tcPr>
            <w:tcW w:w="2126" w:type="dxa"/>
          </w:tcPr>
          <w:p>
            <w:pPr>
              <w:spacing w:line="360" w:lineRule="auto"/>
              <w:rPr>
                <w:rFonts w:asciiTheme="minorEastAsia" w:hAnsiTheme="minorEastAsia"/>
                <w:sz w:val="24"/>
                <w:szCs w:val="24"/>
              </w:rPr>
            </w:pPr>
            <w:r>
              <w:rPr>
                <w:rFonts w:hint="eastAsia" w:asciiTheme="minorEastAsia" w:hAnsiTheme="minorEastAsia"/>
                <w:sz w:val="24"/>
                <w:szCs w:val="24"/>
              </w:rPr>
              <w:t>新课标4，5级水平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line="360" w:lineRule="auto"/>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14</w:t>
            </w:r>
          </w:p>
        </w:tc>
        <w:tc>
          <w:tcPr>
            <w:tcW w:w="1984" w:type="dxa"/>
          </w:tcPr>
          <w:p>
            <w:pPr>
              <w:spacing w:line="360" w:lineRule="auto"/>
              <w:rPr>
                <w:rFonts w:asciiTheme="minorEastAsia" w:hAnsiTheme="minorEastAsia"/>
                <w:sz w:val="24"/>
                <w:szCs w:val="24"/>
              </w:rPr>
            </w:pPr>
            <w:r>
              <w:rPr>
                <w:rFonts w:hint="eastAsia" w:asciiTheme="minorEastAsia" w:hAnsiTheme="minorEastAsia"/>
                <w:sz w:val="24"/>
                <w:szCs w:val="24"/>
              </w:rPr>
              <w:t>高一、高二年级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3000-3500</w:t>
            </w:r>
          </w:p>
        </w:tc>
        <w:tc>
          <w:tcPr>
            <w:tcW w:w="2126" w:type="dxa"/>
          </w:tcPr>
          <w:p>
            <w:pPr>
              <w:spacing w:line="360" w:lineRule="auto"/>
              <w:rPr>
                <w:rFonts w:asciiTheme="minorEastAsia" w:hAnsiTheme="minorEastAsia"/>
                <w:sz w:val="24"/>
                <w:szCs w:val="24"/>
              </w:rPr>
            </w:pPr>
            <w:r>
              <w:rPr>
                <w:rFonts w:hint="eastAsia" w:asciiTheme="minorEastAsia" w:hAnsiTheme="minorEastAsia"/>
                <w:sz w:val="24"/>
                <w:szCs w:val="24"/>
              </w:rPr>
              <w:t>新课标6，7级水平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line="360" w:lineRule="auto"/>
              <w:rPr>
                <w:rFonts w:asciiTheme="minorEastAsia" w:hAnsiTheme="minorEastAsia"/>
                <w:sz w:val="24"/>
                <w:szCs w:val="24"/>
              </w:rPr>
            </w:pPr>
            <w:r>
              <w:rPr>
                <w:rFonts w:asciiTheme="minorEastAsia" w:hAnsiTheme="minorEastAsia"/>
                <w:sz w:val="24"/>
                <w:szCs w:val="24"/>
              </w:rPr>
              <w:t>9</w:t>
            </w:r>
            <w:r>
              <w:rPr>
                <w:rFonts w:hint="eastAsia" w:asciiTheme="minorEastAsia" w:hAnsiTheme="minorEastAsia"/>
                <w:sz w:val="24"/>
                <w:szCs w:val="24"/>
              </w:rPr>
              <w:t>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14</w:t>
            </w:r>
          </w:p>
        </w:tc>
        <w:tc>
          <w:tcPr>
            <w:tcW w:w="1984" w:type="dxa"/>
          </w:tcPr>
          <w:p>
            <w:pPr>
              <w:spacing w:line="360" w:lineRule="auto"/>
              <w:rPr>
                <w:rFonts w:asciiTheme="minorEastAsia" w:hAnsiTheme="minorEastAsia"/>
                <w:sz w:val="24"/>
                <w:szCs w:val="24"/>
              </w:rPr>
            </w:pPr>
            <w:r>
              <w:rPr>
                <w:rFonts w:hint="eastAsia" w:asciiTheme="minorEastAsia" w:hAnsiTheme="minorEastAsia"/>
                <w:sz w:val="24"/>
                <w:szCs w:val="24"/>
              </w:rPr>
              <w:t>高三年级</w:t>
            </w:r>
          </w:p>
        </w:tc>
        <w:tc>
          <w:tcPr>
            <w:tcW w:w="1418" w:type="dxa"/>
          </w:tcPr>
          <w:p>
            <w:pPr>
              <w:spacing w:line="360" w:lineRule="auto"/>
              <w:rPr>
                <w:rFonts w:asciiTheme="minorEastAsia" w:hAnsiTheme="minorEastAsia"/>
                <w:sz w:val="24"/>
                <w:szCs w:val="24"/>
              </w:rPr>
            </w:pPr>
            <w:r>
              <w:rPr>
                <w:rFonts w:asciiTheme="minorEastAsia" w:hAnsiTheme="minorEastAsia"/>
                <w:sz w:val="24"/>
                <w:szCs w:val="24"/>
              </w:rPr>
              <w:t>4500-5000</w:t>
            </w:r>
          </w:p>
        </w:tc>
        <w:tc>
          <w:tcPr>
            <w:tcW w:w="2126" w:type="dxa"/>
          </w:tcPr>
          <w:p>
            <w:pPr>
              <w:spacing w:line="360" w:lineRule="auto"/>
              <w:rPr>
                <w:rFonts w:asciiTheme="minorEastAsia" w:hAnsiTheme="minorEastAsia"/>
                <w:sz w:val="24"/>
                <w:szCs w:val="24"/>
              </w:rPr>
            </w:pPr>
            <w:r>
              <w:rPr>
                <w:rFonts w:hint="eastAsia" w:asciiTheme="minorEastAsia" w:hAnsiTheme="minorEastAsia"/>
                <w:sz w:val="24"/>
                <w:szCs w:val="24"/>
              </w:rPr>
              <w:t>新课标8，9级水平</w:t>
            </w:r>
          </w:p>
        </w:tc>
      </w:tr>
    </w:tbl>
    <w:p>
      <w:pPr>
        <w:spacing w:line="360" w:lineRule="auto"/>
        <w:ind w:firstLine="480" w:firstLineChars="200"/>
        <w:jc w:val="center"/>
        <w:rPr>
          <w:rFonts w:asciiTheme="minorEastAsia" w:hAnsiTheme="minorEastAsia"/>
          <w:sz w:val="24"/>
          <w:szCs w:val="24"/>
        </w:rPr>
      </w:pPr>
      <w:r>
        <w:rPr>
          <w:rFonts w:hint="eastAsia" w:asciiTheme="minorEastAsia" w:hAnsiTheme="minorEastAsia"/>
          <w:sz w:val="24"/>
          <w:szCs w:val="24"/>
        </w:rPr>
        <w:t>表1：丛书分级标准</w:t>
      </w:r>
    </w:p>
    <w:p>
      <w:pPr>
        <w:pStyle w:val="7"/>
        <w:numPr>
          <w:ilvl w:val="0"/>
          <w:numId w:val="1"/>
        </w:numPr>
        <w:spacing w:line="360" w:lineRule="auto"/>
        <w:ind w:firstLineChars="0"/>
        <w:rPr>
          <w:rFonts w:asciiTheme="minorEastAsia" w:hAnsiTheme="minorEastAsia"/>
          <w:sz w:val="24"/>
          <w:szCs w:val="24"/>
        </w:rPr>
      </w:pPr>
      <w:r>
        <w:rPr>
          <w:rFonts w:hint="eastAsia" w:asciiTheme="minorEastAsia" w:hAnsiTheme="minorEastAsia"/>
          <w:sz w:val="24"/>
          <w:szCs w:val="24"/>
        </w:rPr>
        <w:t>“整本书阅读”的具体实施要点</w:t>
      </w:r>
    </w:p>
    <w:p>
      <w:pPr>
        <w:pStyle w:val="7"/>
        <w:spacing w:line="360" w:lineRule="auto"/>
        <w:rPr>
          <w:rFonts w:asciiTheme="minorEastAsia" w:hAnsiTheme="minorEastAsia"/>
          <w:sz w:val="24"/>
          <w:szCs w:val="24"/>
        </w:rPr>
      </w:pPr>
      <w:r>
        <w:rPr>
          <w:rFonts w:hint="eastAsia" w:asciiTheme="minorEastAsia" w:hAnsiTheme="minorEastAsia"/>
          <w:sz w:val="24"/>
          <w:szCs w:val="24"/>
        </w:rPr>
        <w:t>在确立了阅读书目和教学目标之后，教师需要在读前激发学生的阅读兴趣，在读中推进学生阅读并理解书的内容，同时渗透整本书的阅读方法，并在读后挖掘和分享书的主题意义。现以</w:t>
      </w:r>
      <w:r>
        <w:rPr>
          <w:rFonts w:asciiTheme="minorEastAsia" w:hAnsiTheme="minorEastAsia"/>
          <w:i/>
          <w:sz w:val="24"/>
          <w:szCs w:val="24"/>
        </w:rPr>
        <w:t>Einstein</w:t>
      </w:r>
      <w:r>
        <w:rPr>
          <w:rFonts w:hint="eastAsia" w:asciiTheme="minorEastAsia" w:hAnsiTheme="minorEastAsia"/>
          <w:sz w:val="24"/>
          <w:szCs w:val="24"/>
        </w:rPr>
        <w:t>一书为例阐述具体实施过程中的要点。</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 xml:space="preserve">读前导入，激发兴趣 </w:t>
      </w:r>
      <w:r>
        <w:rPr>
          <w:rFonts w:asciiTheme="minorEastAsia" w:hAnsiTheme="minorEastAsia"/>
          <w:sz w:val="24"/>
          <w:szCs w:val="24"/>
        </w:rPr>
        <w:t xml:space="preserve">             </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读前导入的主要目的是激发学生的阅读期待。在学生正式开始整本书的阅读之前，教师应引导学生观察将读的书，并指导学生预测其内容和主题等，进而产生自己的想法；在预测的基础上，利用导读任务单激发学生的阅读兴趣，引导学生关注书的内容和梗概，自然导入整本书的阅读教学。</w:t>
      </w:r>
    </w:p>
    <w:p>
      <w:pPr>
        <w:pStyle w:val="7"/>
        <w:numPr>
          <w:ilvl w:val="0"/>
          <w:numId w:val="3"/>
        </w:numPr>
        <w:spacing w:line="360" w:lineRule="auto"/>
        <w:ind w:firstLineChars="0"/>
        <w:rPr>
          <w:rFonts w:asciiTheme="minorEastAsia" w:hAnsiTheme="minorEastAsia"/>
          <w:sz w:val="24"/>
          <w:szCs w:val="24"/>
        </w:rPr>
      </w:pPr>
      <w:r>
        <w:rPr>
          <w:rFonts w:hint="eastAsia" w:asciiTheme="minorEastAsia" w:hAnsiTheme="minorEastAsia"/>
          <w:sz w:val="24"/>
          <w:szCs w:val="24"/>
        </w:rPr>
        <w:t>读前勤观察</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周雪晴（2019）指出，在导读环节，教师充分利用名著读本的封面、图片等非语言信息鼓励学生对故事进行大胆预测，不仅能够培养学生“看”（Viewing）的技能，而且能有效激发学生的阅读兴趣。教师可以引导学生关注封面（插图、书名等）、书籍目录（表2）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3229"/>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pPr>
              <w:spacing w:line="360" w:lineRule="auto"/>
              <w:rPr>
                <w:rFonts w:asciiTheme="minorEastAsia" w:hAnsiTheme="minorEastAsia"/>
                <w:sz w:val="24"/>
                <w:szCs w:val="24"/>
              </w:rPr>
            </w:pPr>
            <w:r>
              <w:rPr>
                <w:rFonts w:hint="eastAsia" w:asciiTheme="minorEastAsia" w:hAnsiTheme="minorEastAsia"/>
                <w:sz w:val="24"/>
                <w:szCs w:val="24"/>
              </w:rPr>
              <w:t>封面</w:t>
            </w:r>
          </w:p>
        </w:tc>
        <w:tc>
          <w:tcPr>
            <w:tcW w:w="3229" w:type="dxa"/>
          </w:tcPr>
          <w:p>
            <w:pPr>
              <w:spacing w:line="360" w:lineRule="auto"/>
              <w:rPr>
                <w:rFonts w:asciiTheme="minorEastAsia" w:hAnsiTheme="minorEastAsia"/>
                <w:sz w:val="24"/>
                <w:szCs w:val="24"/>
              </w:rPr>
            </w:pPr>
            <w:r>
              <w:rPr>
                <w:rFonts w:asciiTheme="minorEastAsia" w:hAnsiTheme="minorEastAsia"/>
                <w:sz w:val="24"/>
                <w:szCs w:val="24"/>
              </w:rPr>
              <w:drawing>
                <wp:inline distT="0" distB="0" distL="0" distR="0">
                  <wp:extent cx="1308100" cy="1744980"/>
                  <wp:effectExtent l="0" t="0" r="635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13501" cy="1752020"/>
                          </a:xfrm>
                          <a:prstGeom prst="rect">
                            <a:avLst/>
                          </a:prstGeom>
                        </pic:spPr>
                      </pic:pic>
                    </a:graphicData>
                  </a:graphic>
                </wp:inline>
              </w:drawing>
            </w:r>
          </w:p>
        </w:tc>
        <w:tc>
          <w:tcPr>
            <w:tcW w:w="2577" w:type="dxa"/>
          </w:tcPr>
          <w:p>
            <w:pPr>
              <w:spacing w:line="360" w:lineRule="auto"/>
              <w:rPr>
                <w:rFonts w:asciiTheme="minorEastAsia" w:hAnsiTheme="minorEastAsia"/>
                <w:sz w:val="24"/>
                <w:szCs w:val="24"/>
              </w:rPr>
            </w:pPr>
            <w:r>
              <w:rPr>
                <w:rFonts w:hint="eastAsia" w:asciiTheme="minorEastAsia" w:hAnsiTheme="minorEastAsia"/>
                <w:sz w:val="24"/>
                <w:szCs w:val="24"/>
              </w:rPr>
              <w:t>了解主要人物、了解阅读难度，减轻阅读焦虑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pPr>
              <w:spacing w:line="360" w:lineRule="auto"/>
              <w:rPr>
                <w:rFonts w:asciiTheme="minorEastAsia" w:hAnsiTheme="minorEastAsia"/>
                <w:sz w:val="24"/>
                <w:szCs w:val="24"/>
              </w:rPr>
            </w:pPr>
            <w:r>
              <w:rPr>
                <w:rFonts w:hint="eastAsia" w:asciiTheme="minorEastAsia" w:hAnsiTheme="minorEastAsia"/>
                <w:sz w:val="24"/>
                <w:szCs w:val="24"/>
              </w:rPr>
              <w:t>书籍目录</w:t>
            </w:r>
          </w:p>
        </w:tc>
        <w:tc>
          <w:tcPr>
            <w:tcW w:w="3229" w:type="dxa"/>
          </w:tcPr>
          <w:p>
            <w:pPr>
              <w:spacing w:line="360" w:lineRule="auto"/>
              <w:rPr>
                <w:rFonts w:asciiTheme="minorEastAsia" w:hAnsiTheme="minorEastAsia"/>
                <w:sz w:val="24"/>
                <w:szCs w:val="24"/>
              </w:rPr>
            </w:pPr>
            <w:r>
              <w:rPr>
                <w:rFonts w:asciiTheme="minorEastAsia" w:hAnsiTheme="minorEastAsia"/>
                <w:sz w:val="24"/>
                <w:szCs w:val="24"/>
              </w:rPr>
              <w:drawing>
                <wp:inline distT="0" distB="0" distL="0" distR="0">
                  <wp:extent cx="1318260" cy="175831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4302" cy="1766427"/>
                          </a:xfrm>
                          <a:prstGeom prst="rect">
                            <a:avLst/>
                          </a:prstGeom>
                        </pic:spPr>
                      </pic:pic>
                    </a:graphicData>
                  </a:graphic>
                </wp:inline>
              </w:drawing>
            </w:r>
          </w:p>
        </w:tc>
        <w:tc>
          <w:tcPr>
            <w:tcW w:w="2577" w:type="dxa"/>
          </w:tcPr>
          <w:p>
            <w:pPr>
              <w:spacing w:line="360" w:lineRule="auto"/>
              <w:rPr>
                <w:rFonts w:asciiTheme="minorEastAsia" w:hAnsiTheme="minorEastAsia"/>
                <w:sz w:val="24"/>
                <w:szCs w:val="24"/>
              </w:rPr>
            </w:pPr>
            <w:r>
              <w:rPr>
                <w:rFonts w:hint="eastAsia" w:asciiTheme="minorEastAsia" w:hAnsiTheme="minorEastAsia"/>
                <w:sz w:val="24"/>
                <w:szCs w:val="24"/>
              </w:rPr>
              <w:t>围绕章节标题，预测主要情节，提出问题，设置悬念</w:t>
            </w:r>
          </w:p>
          <w:p>
            <w:pPr>
              <w:spacing w:line="360" w:lineRule="auto"/>
              <w:rPr>
                <w:rFonts w:asciiTheme="minorEastAsia" w:hAnsiTheme="minorEastAsia"/>
                <w:sz w:val="24"/>
                <w:szCs w:val="24"/>
              </w:rPr>
            </w:pPr>
            <w:r>
              <w:rPr>
                <w:rFonts w:hint="eastAsia" w:asciiTheme="minorEastAsia" w:hAnsiTheme="minorEastAsia"/>
                <w:sz w:val="24"/>
                <w:szCs w:val="24"/>
              </w:rPr>
              <w:t>例如：W</w:t>
            </w:r>
            <w:r>
              <w:rPr>
                <w:rFonts w:asciiTheme="minorEastAsia" w:hAnsiTheme="minorEastAsia"/>
                <w:sz w:val="24"/>
                <w:szCs w:val="24"/>
              </w:rPr>
              <w:t>hat kind of question did he ask?</w:t>
            </w:r>
          </w:p>
          <w:p>
            <w:pPr>
              <w:spacing w:line="360" w:lineRule="auto"/>
              <w:rPr>
                <w:rFonts w:asciiTheme="minorEastAsia" w:hAnsiTheme="minorEastAsia"/>
                <w:sz w:val="24"/>
                <w:szCs w:val="24"/>
              </w:rPr>
            </w:pPr>
            <w:r>
              <w:rPr>
                <w:rFonts w:asciiTheme="minorEastAsia" w:hAnsiTheme="minorEastAsia"/>
                <w:sz w:val="24"/>
                <w:szCs w:val="24"/>
              </w:rPr>
              <w:t>Do you know what the</w:t>
            </w:r>
            <w:r>
              <w:rPr>
                <w:rFonts w:hint="eastAsia" w:asciiTheme="minorEastAsia" w:hAnsiTheme="minorEastAsia"/>
                <w:sz w:val="24"/>
                <w:szCs w:val="24"/>
              </w:rPr>
              <w:t xml:space="preserve"> </w:t>
            </w:r>
            <w:r>
              <w:rPr>
                <w:rFonts w:asciiTheme="minorEastAsia" w:hAnsiTheme="minorEastAsia"/>
                <w:sz w:val="24"/>
                <w:szCs w:val="24"/>
              </w:rPr>
              <w:t>theories 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pPr>
              <w:spacing w:line="360" w:lineRule="auto"/>
              <w:rPr>
                <w:rFonts w:asciiTheme="minorEastAsia" w:hAnsiTheme="minorEastAsia"/>
                <w:sz w:val="24"/>
                <w:szCs w:val="24"/>
              </w:rPr>
            </w:pPr>
            <w:r>
              <w:rPr>
                <w:rFonts w:hint="eastAsia" w:asciiTheme="minorEastAsia" w:hAnsiTheme="minorEastAsia"/>
                <w:sz w:val="24"/>
                <w:szCs w:val="24"/>
              </w:rPr>
              <w:t>文中插图</w:t>
            </w:r>
          </w:p>
        </w:tc>
        <w:tc>
          <w:tcPr>
            <w:tcW w:w="3229" w:type="dxa"/>
          </w:tcPr>
          <w:p>
            <w:pPr>
              <w:spacing w:line="360" w:lineRule="auto"/>
              <w:rPr>
                <w:rFonts w:asciiTheme="minorEastAsia" w:hAnsiTheme="minorEastAsia"/>
                <w:sz w:val="24"/>
                <w:szCs w:val="24"/>
              </w:rPr>
            </w:pPr>
            <w:r>
              <w:rPr>
                <w:rFonts w:hint="eastAsia" w:asciiTheme="minorEastAsia" w:hAnsiTheme="minorEastAsia"/>
                <w:sz w:val="24"/>
                <w:szCs w:val="24"/>
              </w:rPr>
              <w:drawing>
                <wp:inline distT="0" distB="0" distL="0" distR="0">
                  <wp:extent cx="1913255" cy="14344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9673" cy="1446674"/>
                          </a:xfrm>
                          <a:prstGeom prst="rect">
                            <a:avLst/>
                          </a:prstGeom>
                        </pic:spPr>
                      </pic:pic>
                    </a:graphicData>
                  </a:graphic>
                </wp:inline>
              </w:drawing>
            </w:r>
          </w:p>
          <w:p>
            <w:pPr>
              <w:spacing w:line="360" w:lineRule="auto"/>
              <w:rPr>
                <w:rFonts w:asciiTheme="minorEastAsia" w:hAnsiTheme="minorEastAsia"/>
                <w:sz w:val="24"/>
                <w:szCs w:val="24"/>
              </w:rPr>
            </w:pPr>
          </w:p>
        </w:tc>
        <w:tc>
          <w:tcPr>
            <w:tcW w:w="2577" w:type="dxa"/>
          </w:tcPr>
          <w:p>
            <w:pPr>
              <w:spacing w:line="360" w:lineRule="auto"/>
              <w:rPr>
                <w:rFonts w:asciiTheme="minorEastAsia" w:hAnsiTheme="minorEastAsia"/>
                <w:sz w:val="24"/>
                <w:szCs w:val="24"/>
              </w:rPr>
            </w:pPr>
            <w:r>
              <w:rPr>
                <w:rFonts w:hint="eastAsia" w:asciiTheme="minorEastAsia" w:hAnsiTheme="minorEastAsia"/>
                <w:sz w:val="24"/>
                <w:szCs w:val="24"/>
              </w:rPr>
              <w:t>快速浏览，预测情节，激发兴趣</w:t>
            </w:r>
          </w:p>
        </w:tc>
      </w:tr>
    </w:tbl>
    <w:p>
      <w:pPr>
        <w:spacing w:line="360" w:lineRule="auto"/>
        <w:jc w:val="center"/>
        <w:rPr>
          <w:rFonts w:asciiTheme="minorEastAsia" w:hAnsiTheme="minorEastAsia"/>
          <w:sz w:val="24"/>
          <w:szCs w:val="24"/>
        </w:rPr>
      </w:pPr>
      <w:r>
        <w:rPr>
          <w:rFonts w:hint="eastAsia" w:asciiTheme="minorEastAsia" w:hAnsiTheme="minorEastAsia"/>
          <w:sz w:val="24"/>
          <w:szCs w:val="24"/>
        </w:rPr>
        <w:t>表2：读前可观察内容</w:t>
      </w:r>
    </w:p>
    <w:p>
      <w:pPr>
        <w:pStyle w:val="7"/>
        <w:numPr>
          <w:ilvl w:val="0"/>
          <w:numId w:val="3"/>
        </w:numPr>
        <w:spacing w:line="360" w:lineRule="auto"/>
        <w:ind w:firstLineChars="0"/>
        <w:rPr>
          <w:rFonts w:asciiTheme="minorEastAsia" w:hAnsiTheme="minorEastAsia"/>
          <w:sz w:val="24"/>
          <w:szCs w:val="24"/>
        </w:rPr>
      </w:pPr>
      <w:r>
        <w:rPr>
          <w:rFonts w:hint="eastAsia" w:asciiTheme="minorEastAsia" w:hAnsiTheme="minorEastAsia"/>
          <w:sz w:val="24"/>
          <w:szCs w:val="24"/>
        </w:rPr>
        <w:t>善用导读任务单</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教师利用导读任务单（表3）引导学生带着读前观察到的内容，在阅读期待进行阅读，逐步关注书的内容和梗概，梳理书中人物和事件，渗透了更多整本书的阅读方法。同时，学生用简洁的语言归纳章节内容，并展开有理有据的联想，以发展学生的逻辑思维能力，提升学生的阅读品质，为之后的阅读推进和阅读分享奠定基础。本书的导读任务单主要分为两个部分：Read</w:t>
      </w:r>
      <w:r>
        <w:rPr>
          <w:rFonts w:asciiTheme="minorEastAsia" w:hAnsiTheme="minorEastAsia"/>
          <w:sz w:val="24"/>
          <w:szCs w:val="24"/>
        </w:rPr>
        <w:t xml:space="preserve"> for information</w:t>
      </w:r>
      <w:r>
        <w:rPr>
          <w:rFonts w:hint="eastAsia" w:asciiTheme="minorEastAsia" w:hAnsiTheme="minorEastAsia"/>
          <w:sz w:val="24"/>
          <w:szCs w:val="24"/>
        </w:rPr>
        <w:t>和</w:t>
      </w:r>
      <w:r>
        <w:rPr>
          <w:rFonts w:asciiTheme="minorEastAsia" w:hAnsiTheme="minorEastAsia"/>
          <w:sz w:val="24"/>
          <w:szCs w:val="24"/>
        </w:rPr>
        <w:t>Read for appreciation。</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Read</w:t>
            </w:r>
            <w:r>
              <w:rPr>
                <w:rFonts w:asciiTheme="minorEastAsia" w:hAnsiTheme="minorEastAsia"/>
                <w:sz w:val="24"/>
                <w:szCs w:val="24"/>
              </w:rPr>
              <w:t xml:space="preserve"> for information</w:t>
            </w:r>
          </w:p>
        </w:tc>
        <w:tc>
          <w:tcPr>
            <w:tcW w:w="4148" w:type="dxa"/>
          </w:tcPr>
          <w:p>
            <w:pPr>
              <w:spacing w:line="360" w:lineRule="auto"/>
              <w:jc w:val="center"/>
              <w:rPr>
                <w:rFonts w:asciiTheme="minorEastAsia" w:hAnsiTheme="minorEastAsia"/>
                <w:sz w:val="24"/>
                <w:szCs w:val="24"/>
              </w:rPr>
            </w:pPr>
            <w:r>
              <w:rPr>
                <w:rFonts w:hint="eastAsia" w:asciiTheme="minorEastAsia" w:hAnsiTheme="minorEastAsia"/>
                <w:sz w:val="24"/>
                <w:szCs w:val="24"/>
              </w:rPr>
              <w:t>Read for appreciation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numPr>
                <w:ilvl w:val="0"/>
                <w:numId w:val="4"/>
              </w:numPr>
              <w:spacing w:line="360" w:lineRule="auto"/>
              <w:rPr>
                <w:rFonts w:asciiTheme="minorEastAsia" w:hAnsiTheme="minorEastAsia"/>
                <w:sz w:val="24"/>
                <w:szCs w:val="24"/>
              </w:rPr>
            </w:pPr>
            <w:r>
              <w:rPr>
                <w:rFonts w:hint="eastAsia" w:asciiTheme="minorEastAsia" w:hAnsiTheme="minorEastAsia"/>
                <w:sz w:val="24"/>
                <w:szCs w:val="24"/>
              </w:rPr>
              <w:t>列出本章出现的主要人物。</w:t>
            </w:r>
          </w:p>
        </w:tc>
        <w:tc>
          <w:tcPr>
            <w:tcW w:w="4148" w:type="dxa"/>
          </w:tcPr>
          <w:p>
            <w:pPr>
              <w:spacing w:line="360" w:lineRule="auto"/>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新词/好词积累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numPr>
                <w:ilvl w:val="0"/>
                <w:numId w:val="4"/>
              </w:numPr>
              <w:spacing w:line="360" w:lineRule="auto"/>
              <w:rPr>
                <w:rFonts w:asciiTheme="minorEastAsia" w:hAnsiTheme="minorEastAsia"/>
                <w:sz w:val="24"/>
                <w:szCs w:val="24"/>
              </w:rPr>
            </w:pPr>
            <w:r>
              <w:rPr>
                <w:rFonts w:hint="eastAsia" w:asciiTheme="minorEastAsia" w:hAnsiTheme="minorEastAsia"/>
                <w:sz w:val="24"/>
                <w:szCs w:val="24"/>
              </w:rPr>
              <w:t>画出主要人物之间的关系图。</w:t>
            </w:r>
          </w:p>
        </w:tc>
        <w:tc>
          <w:tcPr>
            <w:tcW w:w="4148" w:type="dxa"/>
          </w:tcPr>
          <w:p>
            <w:pPr>
              <w:spacing w:line="360" w:lineRule="auto"/>
              <w:rPr>
                <w:rFonts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 xml:space="preserve"> </w:t>
            </w:r>
            <w:r>
              <w:rPr>
                <w:rFonts w:hint="eastAsia" w:asciiTheme="minorEastAsia" w:hAnsiTheme="minorEastAsia"/>
                <w:sz w:val="24"/>
                <w:szCs w:val="24"/>
              </w:rPr>
              <w:t>好句积累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numPr>
                <w:ilvl w:val="0"/>
                <w:numId w:val="4"/>
              </w:numPr>
              <w:spacing w:line="360" w:lineRule="auto"/>
              <w:rPr>
                <w:rFonts w:asciiTheme="minorEastAsia" w:hAnsiTheme="minorEastAsia"/>
                <w:sz w:val="24"/>
                <w:szCs w:val="24"/>
              </w:rPr>
            </w:pPr>
            <w:r>
              <w:rPr>
                <w:rFonts w:hint="eastAsia" w:asciiTheme="minorEastAsia" w:hAnsiTheme="minorEastAsia"/>
                <w:sz w:val="24"/>
                <w:szCs w:val="24"/>
              </w:rPr>
              <w:t xml:space="preserve">以“时间、人物、地点、事件”四要素简要梳理本章情节。 </w:t>
            </w:r>
          </w:p>
        </w:tc>
        <w:tc>
          <w:tcPr>
            <w:tcW w:w="4148" w:type="dxa"/>
          </w:tcPr>
          <w:p>
            <w:pPr>
              <w:spacing w:line="360" w:lineRule="auto"/>
              <w:rPr>
                <w:rFonts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 xml:space="preserve"> </w:t>
            </w:r>
            <w:r>
              <w:rPr>
                <w:rFonts w:hint="eastAsia" w:asciiTheme="minorEastAsia" w:hAnsiTheme="minorEastAsia"/>
                <w:sz w:val="24"/>
                <w:szCs w:val="24"/>
              </w:rPr>
              <w:t>分析本章标题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numPr>
                <w:ilvl w:val="0"/>
                <w:numId w:val="4"/>
              </w:numPr>
              <w:spacing w:line="360" w:lineRule="auto"/>
              <w:rPr>
                <w:rFonts w:asciiTheme="minorEastAsia" w:hAnsiTheme="minorEastAsia"/>
                <w:sz w:val="24"/>
                <w:szCs w:val="24"/>
              </w:rPr>
            </w:pPr>
            <w:r>
              <w:rPr>
                <w:rFonts w:hint="eastAsia" w:asciiTheme="minorEastAsia" w:hAnsiTheme="minorEastAsia"/>
                <w:sz w:val="24"/>
                <w:szCs w:val="24"/>
              </w:rPr>
              <w:t>选择本章中你印象最深的一张图片，用一句话写下你的感想或描述。</w:t>
            </w:r>
          </w:p>
        </w:tc>
        <w:tc>
          <w:tcPr>
            <w:tcW w:w="4148" w:type="dxa"/>
          </w:tcPr>
          <w:p>
            <w:pPr>
              <w:spacing w:line="360" w:lineRule="auto"/>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．提出疑问</w:t>
            </w:r>
          </w:p>
        </w:tc>
      </w:tr>
    </w:tbl>
    <w:p>
      <w:pPr>
        <w:spacing w:line="360" w:lineRule="auto"/>
        <w:ind w:firstLine="480" w:firstLineChars="200"/>
        <w:jc w:val="center"/>
        <w:rPr>
          <w:rFonts w:asciiTheme="minorEastAsia" w:hAnsiTheme="minorEastAsia"/>
          <w:sz w:val="24"/>
          <w:szCs w:val="24"/>
        </w:rPr>
      </w:pPr>
      <w:r>
        <w:rPr>
          <w:rFonts w:hint="eastAsia" w:asciiTheme="minorEastAsia" w:hAnsiTheme="minorEastAsia"/>
          <w:sz w:val="24"/>
          <w:szCs w:val="24"/>
        </w:rPr>
        <w:t>表3：导读任务单</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首先，学生在</w:t>
      </w:r>
      <w:r>
        <w:rPr>
          <w:rFonts w:asciiTheme="minorEastAsia" w:hAnsiTheme="minorEastAsia"/>
          <w:sz w:val="24"/>
          <w:szCs w:val="24"/>
        </w:rPr>
        <w:t>Read for information</w:t>
      </w:r>
      <w:r>
        <w:rPr>
          <w:rFonts w:hint="eastAsia" w:asciiTheme="minorEastAsia" w:hAnsiTheme="minorEastAsia"/>
          <w:sz w:val="24"/>
          <w:szCs w:val="24"/>
        </w:rPr>
        <w:t>的部分，通过灵活多样的形式完成对文本的基础认识。学生能够通过归纳总结、提问等方式进行思考，为后续的探究做好准备。</w:t>
      </w:r>
      <w:r>
        <w:rPr>
          <w:rFonts w:asciiTheme="minorEastAsia" w:hAnsiTheme="minorEastAsia"/>
          <w:sz w:val="24"/>
          <w:szCs w:val="24"/>
        </w:rPr>
        <w:t xml:space="preserve"> </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接下来，学生在完成Read for appreciation时，需要注意以下几点。</w:t>
      </w:r>
    </w:p>
    <w:p>
      <w:pPr>
        <w:numPr>
          <w:ilvl w:val="0"/>
          <w:numId w:val="5"/>
        </w:numPr>
        <w:spacing w:line="360" w:lineRule="auto"/>
        <w:rPr>
          <w:rFonts w:asciiTheme="minorEastAsia" w:hAnsiTheme="minorEastAsia"/>
          <w:sz w:val="24"/>
          <w:szCs w:val="24"/>
        </w:rPr>
      </w:pPr>
      <w:r>
        <w:rPr>
          <w:rFonts w:hint="eastAsia" w:asciiTheme="minorEastAsia" w:hAnsiTheme="minorEastAsia"/>
          <w:sz w:val="24"/>
          <w:szCs w:val="24"/>
        </w:rPr>
        <w:t>新词/好词积累。</w:t>
      </w:r>
    </w:p>
    <w:p>
      <w:pPr>
        <w:spacing w:line="360" w:lineRule="auto"/>
        <w:ind w:left="720"/>
        <w:rPr>
          <w:rFonts w:asciiTheme="minorEastAsia" w:hAnsiTheme="minorEastAsia"/>
          <w:sz w:val="24"/>
          <w:szCs w:val="24"/>
        </w:rPr>
      </w:pPr>
      <w:r>
        <w:rPr>
          <w:rFonts w:hint="eastAsia" w:asciiTheme="minorEastAsia" w:hAnsiTheme="minorEastAsia"/>
          <w:sz w:val="24"/>
          <w:szCs w:val="24"/>
        </w:rPr>
        <w:t>除了常规的生词积累，教师可根据文本内容设计摘抄任务。例如关于城市或国家的单词摘抄（Zurich、Switzerland，Manhattan）。</w:t>
      </w:r>
    </w:p>
    <w:p>
      <w:pPr>
        <w:numPr>
          <w:ilvl w:val="0"/>
          <w:numId w:val="5"/>
        </w:numPr>
        <w:spacing w:line="360" w:lineRule="auto"/>
        <w:rPr>
          <w:rFonts w:asciiTheme="minorEastAsia" w:hAnsiTheme="minorEastAsia"/>
          <w:sz w:val="24"/>
          <w:szCs w:val="24"/>
        </w:rPr>
      </w:pPr>
      <w:r>
        <w:rPr>
          <w:rFonts w:hint="eastAsia" w:asciiTheme="minorEastAsia" w:hAnsiTheme="minorEastAsia"/>
          <w:sz w:val="24"/>
          <w:szCs w:val="24"/>
        </w:rPr>
        <w:t>好句积累。</w:t>
      </w:r>
    </w:p>
    <w:p>
      <w:pPr>
        <w:spacing w:line="360" w:lineRule="auto"/>
        <w:ind w:left="720"/>
        <w:rPr>
          <w:rFonts w:asciiTheme="minorEastAsia" w:hAnsiTheme="minorEastAsia"/>
          <w:sz w:val="24"/>
          <w:szCs w:val="24"/>
        </w:rPr>
      </w:pPr>
      <w:r>
        <w:rPr>
          <w:rFonts w:hint="eastAsia" w:asciiTheme="minorEastAsia" w:hAnsiTheme="minorEastAsia"/>
          <w:sz w:val="24"/>
          <w:szCs w:val="24"/>
        </w:rPr>
        <w:t>初期，教师可指导学生摘抄描写生动、富含哲理的句子。学生有了一定的鉴赏力后，教师可鼓励学生自主积累欣赏的佳句，并分享理由。</w:t>
      </w:r>
    </w:p>
    <w:p>
      <w:pPr>
        <w:numPr>
          <w:ilvl w:val="0"/>
          <w:numId w:val="5"/>
        </w:numPr>
        <w:spacing w:line="360" w:lineRule="auto"/>
        <w:rPr>
          <w:rFonts w:asciiTheme="minorEastAsia" w:hAnsiTheme="minorEastAsia"/>
          <w:sz w:val="24"/>
          <w:szCs w:val="24"/>
        </w:rPr>
      </w:pPr>
      <w:r>
        <w:rPr>
          <w:rFonts w:hint="eastAsia" w:asciiTheme="minorEastAsia" w:hAnsiTheme="minorEastAsia"/>
          <w:sz w:val="24"/>
          <w:szCs w:val="24"/>
        </w:rPr>
        <w:t>分析本章标题。</w:t>
      </w:r>
    </w:p>
    <w:p>
      <w:pPr>
        <w:spacing w:line="360" w:lineRule="auto"/>
        <w:ind w:left="720"/>
        <w:rPr>
          <w:rFonts w:asciiTheme="minorEastAsia" w:hAnsiTheme="minorEastAsia"/>
          <w:sz w:val="24"/>
          <w:szCs w:val="24"/>
        </w:rPr>
      </w:pPr>
      <w:r>
        <w:rPr>
          <w:rFonts w:hint="eastAsia" w:asciiTheme="minorEastAsia" w:hAnsiTheme="minorEastAsia"/>
          <w:sz w:val="24"/>
          <w:szCs w:val="24"/>
        </w:rPr>
        <w:t>标题往往是章节内容的提炼，有丰富的内涵及外延，可帮助学生更好地理解文章内容。</w:t>
      </w:r>
    </w:p>
    <w:p>
      <w:pPr>
        <w:numPr>
          <w:ilvl w:val="0"/>
          <w:numId w:val="5"/>
        </w:numPr>
        <w:spacing w:line="360" w:lineRule="auto"/>
        <w:rPr>
          <w:rFonts w:asciiTheme="minorEastAsia" w:hAnsiTheme="minorEastAsia"/>
          <w:sz w:val="24"/>
          <w:szCs w:val="24"/>
        </w:rPr>
      </w:pPr>
      <w:r>
        <w:rPr>
          <w:rFonts w:hint="eastAsia" w:asciiTheme="minorEastAsia" w:hAnsiTheme="minorEastAsia"/>
          <w:sz w:val="24"/>
          <w:szCs w:val="24"/>
        </w:rPr>
        <w:t>提出疑问。</w:t>
      </w:r>
    </w:p>
    <w:p>
      <w:pPr>
        <w:pStyle w:val="7"/>
        <w:spacing w:line="360" w:lineRule="auto"/>
        <w:ind w:left="720" w:firstLine="0" w:firstLineChars="0"/>
        <w:rPr>
          <w:rFonts w:asciiTheme="minorEastAsia" w:hAnsiTheme="minorEastAsia"/>
          <w:sz w:val="24"/>
          <w:szCs w:val="24"/>
        </w:rPr>
      </w:pPr>
      <w:r>
        <w:rPr>
          <w:rFonts w:hint="eastAsia" w:asciiTheme="minorEastAsia" w:hAnsiTheme="minorEastAsia"/>
          <w:sz w:val="24"/>
          <w:szCs w:val="24"/>
        </w:rPr>
        <w:t>学生在阅读过程中要有发现问题和提出问题的能力。例如，有学生提问：Einstein</w:t>
      </w:r>
      <w:r>
        <w:rPr>
          <w:rFonts w:asciiTheme="minorEastAsia" w:hAnsiTheme="minorEastAsia"/>
          <w:sz w:val="24"/>
          <w:szCs w:val="24"/>
        </w:rPr>
        <w:t xml:space="preserve"> loved playing </w:t>
      </w:r>
      <w:r>
        <w:rPr>
          <w:rFonts w:hint="eastAsia" w:asciiTheme="minorEastAsia" w:hAnsiTheme="minorEastAsia"/>
          <w:sz w:val="24"/>
          <w:szCs w:val="24"/>
        </w:rPr>
        <w:t>the</w:t>
      </w:r>
      <w:r>
        <w:rPr>
          <w:rFonts w:asciiTheme="minorEastAsia" w:hAnsiTheme="minorEastAsia"/>
          <w:sz w:val="24"/>
          <w:szCs w:val="24"/>
        </w:rPr>
        <w:t xml:space="preserve"> violin. What’s his another hobby? </w:t>
      </w:r>
      <w:r>
        <w:rPr>
          <w:rFonts w:hint="eastAsia" w:asciiTheme="minorEastAsia" w:hAnsiTheme="minorEastAsia"/>
          <w:sz w:val="24"/>
          <w:szCs w:val="24"/>
        </w:rPr>
        <w:t>又如，在</w:t>
      </w:r>
      <w:r>
        <w:rPr>
          <w:rFonts w:asciiTheme="minorEastAsia" w:hAnsiTheme="minorEastAsia"/>
          <w:sz w:val="24"/>
          <w:szCs w:val="24"/>
        </w:rPr>
        <w:t>War</w:t>
      </w:r>
      <w:r>
        <w:rPr>
          <w:rFonts w:hint="eastAsia" w:asciiTheme="minorEastAsia" w:hAnsiTheme="minorEastAsia"/>
          <w:sz w:val="24"/>
          <w:szCs w:val="24"/>
        </w:rPr>
        <w:t xml:space="preserve"> a</w:t>
      </w:r>
      <w:r>
        <w:rPr>
          <w:rFonts w:asciiTheme="minorEastAsia" w:hAnsiTheme="minorEastAsia"/>
          <w:sz w:val="24"/>
          <w:szCs w:val="24"/>
        </w:rPr>
        <w:t xml:space="preserve">nd peace </w:t>
      </w:r>
      <w:r>
        <w:rPr>
          <w:rFonts w:hint="eastAsia" w:asciiTheme="minorEastAsia" w:hAnsiTheme="minorEastAsia"/>
          <w:sz w:val="24"/>
          <w:szCs w:val="24"/>
        </w:rPr>
        <w:t>章节里，有同学提问：E</w:t>
      </w:r>
      <w:r>
        <w:rPr>
          <w:rFonts w:asciiTheme="minorEastAsia" w:hAnsiTheme="minorEastAsia"/>
          <w:sz w:val="24"/>
          <w:szCs w:val="24"/>
        </w:rPr>
        <w:t xml:space="preserve">instein wrote a letter to suggest that the USA should build an atomic first. However, why did he regret doing so? </w:t>
      </w:r>
      <w:r>
        <w:rPr>
          <w:rFonts w:hint="eastAsia" w:asciiTheme="minorEastAsia" w:hAnsiTheme="minorEastAsia"/>
          <w:sz w:val="24"/>
          <w:szCs w:val="24"/>
        </w:rPr>
        <w:t>又如，有同学在完成整本书阅读后提问：</w:t>
      </w:r>
      <w:r>
        <w:rPr>
          <w:rFonts w:asciiTheme="minorEastAsia" w:hAnsiTheme="minorEastAsia"/>
          <w:sz w:val="24"/>
          <w:szCs w:val="24"/>
        </w:rPr>
        <w:t>W</w:t>
      </w:r>
      <w:r>
        <w:rPr>
          <w:rFonts w:hint="eastAsia" w:asciiTheme="minorEastAsia" w:hAnsiTheme="minorEastAsia"/>
          <w:sz w:val="24"/>
          <w:szCs w:val="24"/>
        </w:rPr>
        <w:t>ha</w:t>
      </w:r>
      <w:r>
        <w:rPr>
          <w:rFonts w:asciiTheme="minorEastAsia" w:hAnsiTheme="minorEastAsia"/>
          <w:sz w:val="24"/>
          <w:szCs w:val="24"/>
        </w:rPr>
        <w:t xml:space="preserve">t made him being one of the world’s greatest scientists? </w:t>
      </w:r>
      <w:r>
        <w:rPr>
          <w:rFonts w:hint="eastAsia" w:asciiTheme="minorEastAsia" w:hAnsiTheme="minorEastAsia"/>
          <w:sz w:val="24"/>
          <w:szCs w:val="24"/>
        </w:rPr>
        <w:t>在疑问的基础上进行思考，再将问题带回课堂，进行小组交流，往往可以获得更深刻的认识。</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在学生完成导读任务单的过程，即</w:t>
      </w:r>
      <w:r>
        <w:rPr>
          <w:rFonts w:asciiTheme="minorEastAsia" w:hAnsiTheme="minorEastAsia"/>
          <w:sz w:val="24"/>
          <w:szCs w:val="24"/>
        </w:rPr>
        <w:t>Read for information</w:t>
      </w:r>
      <w:r>
        <w:rPr>
          <w:rFonts w:hint="eastAsia" w:asciiTheme="minorEastAsia" w:hAnsiTheme="minorEastAsia"/>
          <w:sz w:val="24"/>
          <w:szCs w:val="24"/>
        </w:rPr>
        <w:t>和</w:t>
      </w:r>
      <w:r>
        <w:rPr>
          <w:rFonts w:asciiTheme="minorEastAsia" w:hAnsiTheme="minorEastAsia"/>
          <w:sz w:val="24"/>
          <w:szCs w:val="24"/>
        </w:rPr>
        <w:t>Read for appreciation</w:t>
      </w:r>
      <w:r>
        <w:rPr>
          <w:rFonts w:hint="eastAsia" w:asciiTheme="minorEastAsia" w:hAnsiTheme="minorEastAsia"/>
          <w:sz w:val="24"/>
          <w:szCs w:val="24"/>
        </w:rPr>
        <w:t>的过程中，学生的语言能力得到了提升。如，在自查词汇的过程中，学生不仅能找到许多关键词汇，有时还能用英英解释的方式进行标注并积累。如，通过梳理情节，学生可以较好地理解文章内容，进行复述，进而能够创造性地进行表达。</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读中推进，理清脉络</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开展整本书阅读的关键在于学生积极主动的阅读和形式多样的读后积累。为保证自主阅读的顺利进行，教师可为学生提供阅读指导，如规划每日的阅读时间和阅读进度，教授常用的阅读方法，布置阅读任务清单等，引导学生养成良好的阅读习惯，维持学生的阅读兴趣，获得良好的阅读体验，推动阅读走向深入。</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规划阅读进度</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“整本书阅读主要利用课余时间完成，所以实施过程中最大的问题是如何保障学生的阅读时间和阅读质量”（谢婷婷，2021）。本书共有8个章节，每个章节有 6至8页的阅读量。在规划阅读进度时，教师需要考虑学生的课余时间和实际英语水平，要保证学生有充足的时间体会语言，理清文章脉络，并进行个性化的阅读积累。同时，教师要注意避免学生因阅读时间不够充裕、阅读量大、任务多等原因造成弃读。</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指导自主阅读</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学生在整本书的阅读过程中，不可避免会遇到一些障碍。教师要适时点拨，指导学生根据导读任务单先开展自主阅读，并给予学生充足的阅读时间，在这段时间内教师不应打断学生的阅读。学生阅读完此章节后，教师帮助学生梳理书本的内容。其中，在自主阅读时，做好阅读批注是一个较好的阅读技巧。</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学生在阅读过程中，应当对文本进行适当圈划，将阅读时的所思、所感、所惑等做好批注，带着自己的思考和疑惑进入课堂，获得个性化的阅读体验，课后回顾文本时可根据初读时的批注进行二次思考，促进学生理解能力、鉴赏能力和评价能力的全面发展。长此以往，有助于学生养成良好的阅读习惯，形成一定的读写能力。以下批注的选择供教师参考。（表4）</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360" w:lineRule="auto"/>
              <w:rPr>
                <w:rFonts w:asciiTheme="minorEastAsia" w:hAnsiTheme="minorEastAsia"/>
                <w:sz w:val="24"/>
                <w:szCs w:val="24"/>
              </w:rPr>
            </w:pPr>
            <w:r>
              <w:rPr>
                <w:rFonts w:hint="eastAsia" w:asciiTheme="minorEastAsia" w:hAnsiTheme="minorEastAsia"/>
                <w:sz w:val="24"/>
                <w:szCs w:val="24"/>
              </w:rPr>
              <w:t xml:space="preserve">波浪线 </w:t>
            </w:r>
          </w:p>
        </w:tc>
        <w:tc>
          <w:tcPr>
            <w:tcW w:w="5387" w:type="dxa"/>
          </w:tcPr>
          <w:p>
            <w:pPr>
              <w:spacing w:line="360" w:lineRule="auto"/>
              <w:rPr>
                <w:rFonts w:asciiTheme="minorEastAsia" w:hAnsiTheme="minorEastAsia"/>
                <w:sz w:val="24"/>
                <w:szCs w:val="24"/>
              </w:rPr>
            </w:pPr>
            <w:r>
              <w:rPr>
                <w:rFonts w:hint="eastAsia" w:asciiTheme="minorEastAsia" w:hAnsiTheme="minorEastAsia"/>
                <w:sz w:val="24"/>
                <w:szCs w:val="24"/>
              </w:rPr>
              <w:t>将美句用</w:t>
            </w:r>
            <w:r>
              <w:rPr>
                <w:rFonts w:asciiTheme="minorEastAsia" w:hAnsiTheme="minorEastAsia"/>
                <w:sz w:val="24"/>
                <w:szCs w:val="24"/>
                <w:u w:val="wave"/>
              </w:rPr>
              <w:t xml:space="preserve">      </w:t>
            </w:r>
            <w:r>
              <w:rPr>
                <w:rFonts w:hint="eastAsia" w:asciiTheme="minorEastAsia" w:hAnsiTheme="minorEastAsia"/>
                <w:sz w:val="24"/>
                <w:szCs w:val="24"/>
              </w:rPr>
              <w:t>进行标注，读完后可摘抄，反复诵读。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360" w:lineRule="auto"/>
              <w:rPr>
                <w:rFonts w:asciiTheme="minorEastAsia" w:hAnsiTheme="minorEastAsia"/>
                <w:sz w:val="24"/>
                <w:szCs w:val="24"/>
              </w:rPr>
            </w:pPr>
            <w:r>
              <w:rPr>
                <w:rFonts w:hint="eastAsia" w:asciiTheme="minorEastAsia" w:hAnsiTheme="minorEastAsia"/>
                <w:sz w:val="24"/>
                <w:szCs w:val="24"/>
              </w:rPr>
              <w:t xml:space="preserve">画圈 </w:t>
            </w:r>
          </w:p>
        </w:tc>
        <w:tc>
          <w:tcPr>
            <w:tcW w:w="5387" w:type="dxa"/>
          </w:tcPr>
          <w:p>
            <w:pPr>
              <w:spacing w:line="360" w:lineRule="auto"/>
              <w:rPr>
                <w:rFonts w:asciiTheme="minorEastAsia" w:hAnsiTheme="minorEastAsia"/>
                <w:sz w:val="24"/>
                <w:szCs w:val="24"/>
              </w:rPr>
            </w:pPr>
            <w:r>
              <w:rPr>
                <w:rFonts w:hint="eastAsia" w:asciiTheme="minorEastAsia" w:hAnsiTheme="minorEastAsia"/>
                <w:sz w:val="24"/>
                <w:szCs w:val="24"/>
              </w:rPr>
              <w:t>圈出你发现的独到用词。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360" w:lineRule="auto"/>
              <w:rPr>
                <w:rFonts w:asciiTheme="minorEastAsia" w:hAnsiTheme="minorEastAsia"/>
                <w:sz w:val="24"/>
                <w:szCs w:val="24"/>
              </w:rPr>
            </w:pPr>
            <w:r>
              <w:rPr>
                <w:rFonts w:hint="eastAsia" w:asciiTheme="minorEastAsia" w:hAnsiTheme="minorEastAsia"/>
                <w:sz w:val="24"/>
                <w:szCs w:val="24"/>
              </w:rPr>
              <w:t>做批注</w:t>
            </w:r>
          </w:p>
        </w:tc>
        <w:tc>
          <w:tcPr>
            <w:tcW w:w="5387" w:type="dxa"/>
          </w:tcPr>
          <w:p>
            <w:pPr>
              <w:spacing w:line="360" w:lineRule="auto"/>
              <w:rPr>
                <w:rFonts w:asciiTheme="minorEastAsia" w:hAnsiTheme="minorEastAsia"/>
                <w:sz w:val="24"/>
                <w:szCs w:val="24"/>
              </w:rPr>
            </w:pPr>
            <w:r>
              <w:rPr>
                <w:rFonts w:hint="eastAsia" w:asciiTheme="minorEastAsia" w:hAnsiTheme="minorEastAsia"/>
                <w:sz w:val="24"/>
                <w:szCs w:val="24"/>
              </w:rPr>
              <w:t>将阅读过程中的感想、领悟、思考记录标注在旁。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360" w:lineRule="auto"/>
              <w:rPr>
                <w:rFonts w:asciiTheme="minorEastAsia" w:hAnsiTheme="minorEastAsia"/>
                <w:sz w:val="24"/>
                <w:szCs w:val="24"/>
              </w:rPr>
            </w:pPr>
            <w:r>
              <w:rPr>
                <w:rFonts w:hint="eastAsia" w:asciiTheme="minorEastAsia" w:hAnsiTheme="minorEastAsia"/>
                <w:sz w:val="24"/>
                <w:szCs w:val="24"/>
              </w:rPr>
              <w:t>插彩旗</w:t>
            </w:r>
          </w:p>
        </w:tc>
        <w:tc>
          <w:tcPr>
            <w:tcW w:w="5387" w:type="dxa"/>
          </w:tcPr>
          <w:p>
            <w:pPr>
              <w:spacing w:line="360" w:lineRule="auto"/>
              <w:rPr>
                <w:rFonts w:asciiTheme="minorEastAsia" w:hAnsiTheme="minorEastAsia"/>
                <w:sz w:val="24"/>
                <w:szCs w:val="24"/>
              </w:rPr>
            </w:pPr>
            <w:r>
              <w:rPr>
                <w:rFonts w:hint="eastAsia" w:asciiTheme="minorEastAsia" w:hAnsiTheme="minorEastAsia"/>
                <w:sz w:val="24"/>
                <w:szCs w:val="24"/>
              </w:rPr>
              <w:t>在阅读过程中，遇到情节转折处或描写生动处，可在旁用彩旗标注，以便读完后可随时进行回顾。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360" w:lineRule="auto"/>
              <w:rPr>
                <w:rFonts w:asciiTheme="minorEastAsia" w:hAnsiTheme="minorEastAsia"/>
                <w:sz w:val="24"/>
                <w:szCs w:val="24"/>
              </w:rPr>
            </w:pPr>
            <w:r>
              <w:rPr>
                <w:rFonts w:hint="eastAsia" w:asciiTheme="minorEastAsia" w:hAnsiTheme="minorEastAsia"/>
                <w:sz w:val="24"/>
                <w:szCs w:val="24"/>
              </w:rPr>
              <w:t>标问号</w:t>
            </w:r>
          </w:p>
        </w:tc>
        <w:tc>
          <w:tcPr>
            <w:tcW w:w="5387" w:type="dxa"/>
          </w:tcPr>
          <w:p>
            <w:pPr>
              <w:spacing w:line="360" w:lineRule="auto"/>
              <w:rPr>
                <w:rFonts w:asciiTheme="minorEastAsia" w:hAnsiTheme="minorEastAsia"/>
                <w:sz w:val="24"/>
                <w:szCs w:val="24"/>
              </w:rPr>
            </w:pPr>
            <w:r>
              <w:rPr>
                <w:rFonts w:hint="eastAsia" w:asciiTheme="minorEastAsia" w:hAnsiTheme="minorEastAsia"/>
                <w:sz w:val="24"/>
                <w:szCs w:val="24"/>
              </w:rPr>
              <w:t>遇到疑惑在旁标上“？”。带着问题进课堂，课后可检查自己的困惑是否解决。</w:t>
            </w:r>
          </w:p>
        </w:tc>
      </w:tr>
    </w:tbl>
    <w:p>
      <w:pPr>
        <w:spacing w:line="360" w:lineRule="auto"/>
        <w:jc w:val="center"/>
        <w:rPr>
          <w:rFonts w:asciiTheme="minorEastAsia" w:hAnsiTheme="minorEastAsia"/>
          <w:sz w:val="24"/>
          <w:szCs w:val="24"/>
        </w:rPr>
      </w:pPr>
      <w:r>
        <w:rPr>
          <w:rFonts w:hint="eastAsia" w:asciiTheme="minorEastAsia" w:hAnsiTheme="minorEastAsia"/>
          <w:sz w:val="24"/>
          <w:szCs w:val="24"/>
        </w:rPr>
        <w:t>表4：部分阅读批注</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设置阅读任务</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阅读过程中的各类阅读任务有利于学生加深文本理解，推动阅读进程，加强阅读效果</w:t>
      </w:r>
      <w:r>
        <w:rPr>
          <w:rFonts w:asciiTheme="minorEastAsia" w:hAnsiTheme="minorEastAsia"/>
          <w:sz w:val="24"/>
          <w:szCs w:val="24"/>
        </w:rPr>
        <w:t>。</w:t>
      </w:r>
      <w:r>
        <w:rPr>
          <w:rFonts w:hint="eastAsia" w:asciiTheme="minorEastAsia" w:hAnsiTheme="minorEastAsia"/>
          <w:sz w:val="24"/>
          <w:szCs w:val="24"/>
        </w:rPr>
        <w:t>为激发学生不同深度的思维活动，教师应根据学生能力不同，设计分层阅读任务。低阶阅读任务旨在帮助学生完成对文本的初步感知，并鼓励学生完成不同形式的阅读理解类题目，如判断正误、阅读选择等问题。此外，笔者布置了语言积累型任务，如摘抄新词。高阶阅读任务旨在提高学生的思维品质，要求学生深入思考文本，充分开展分析、比较、概括、总结、归纳等思维活动，如归纳人物大事记（</w:t>
      </w:r>
      <w:r>
        <w:rPr>
          <w:rFonts w:asciiTheme="minorEastAsia" w:hAnsiTheme="minorEastAsia"/>
          <w:sz w:val="24"/>
          <w:szCs w:val="24"/>
        </w:rPr>
        <w:t>Timeline</w:t>
      </w:r>
      <w:r>
        <w:rPr>
          <w:rFonts w:hint="eastAsia" w:asciiTheme="minorEastAsia" w:hAnsiTheme="minorEastAsia"/>
          <w:sz w:val="24"/>
          <w:szCs w:val="24"/>
        </w:rPr>
        <w:t>），撰写阶段阅读报告等。</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例如，在</w:t>
      </w:r>
      <w:r>
        <w:rPr>
          <w:rFonts w:asciiTheme="minorEastAsia" w:hAnsiTheme="minorEastAsia"/>
          <w:i/>
          <w:sz w:val="24"/>
          <w:szCs w:val="24"/>
        </w:rPr>
        <w:t>Einstein</w:t>
      </w:r>
      <w:r>
        <w:rPr>
          <w:rFonts w:hint="eastAsia" w:asciiTheme="minorEastAsia" w:hAnsiTheme="minorEastAsia"/>
          <w:sz w:val="24"/>
          <w:szCs w:val="24"/>
        </w:rPr>
        <w:t>一书的阅读中</w:t>
      </w:r>
      <w:r>
        <w:rPr>
          <w:rFonts w:asciiTheme="minorEastAsia" w:hAnsiTheme="minorEastAsia"/>
          <w:sz w:val="24"/>
          <w:szCs w:val="24"/>
        </w:rPr>
        <w:t>，</w:t>
      </w:r>
      <w:r>
        <w:rPr>
          <w:rFonts w:hint="eastAsia" w:asciiTheme="minorEastAsia" w:hAnsiTheme="minorEastAsia"/>
          <w:sz w:val="24"/>
          <w:szCs w:val="24"/>
        </w:rPr>
        <w:t xml:space="preserve">学生先自主阅读第三至五章节，选择喜欢的阅读方式，如大声朗读或默读，对照导读任务单了解主人公的相关信息。随后，教师根据课堂任务单，引导学生回顾自主阅读过程，渗透阅读方法。 </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教师通过任务单中的实例，介绍寻读(scanning）方法，即快速阅读，准确搜索关键词，锁定需要的信息，有助于学生了解整本书中多名重要相关人物。</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spacing w:line="360" w:lineRule="auto"/>
              <w:rPr>
                <w:rFonts w:ascii="Times New Roman" w:hAnsi="Times New Roman" w:cs="Times New Roman"/>
                <w:sz w:val="24"/>
                <w:szCs w:val="24"/>
              </w:rPr>
            </w:pPr>
            <w:r>
              <w:rPr>
                <w:rFonts w:ascii="Times New Roman" w:hAnsi="Times New Roman" w:cs="Times New Roman"/>
                <w:sz w:val="24"/>
                <w:szCs w:val="24"/>
              </w:rPr>
              <w:t>Task: Find out identities of these persons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296" w:type="dxa"/>
          </w:tcPr>
          <w:p>
            <w:pPr>
              <w:spacing w:line="360" w:lineRule="auto"/>
              <w:rPr>
                <w:rFonts w:ascii="Times New Roman" w:hAnsi="Times New Roman" w:cs="Times New Roman"/>
                <w:sz w:val="24"/>
                <w:szCs w:val="24"/>
              </w:rPr>
            </w:pPr>
            <w:r>
              <w:rPr>
                <w:rFonts w:ascii="Times New Roman" w:hAnsi="Times New Roman" w:cs="Times New Roman"/>
                <w:sz w:val="24"/>
                <w:szCs w:val="24"/>
              </w:rPr>
              <w:t>1. Jacob Einstein                 a. president</w:t>
            </w:r>
          </w:p>
          <w:p>
            <w:pPr>
              <w:spacing w:line="360" w:lineRule="auto"/>
              <w:rPr>
                <w:rFonts w:ascii="Times New Roman" w:hAnsi="Times New Roman" w:cs="Times New Roman"/>
                <w:sz w:val="24"/>
                <w:szCs w:val="24"/>
              </w:rPr>
            </w:pPr>
            <w:r>
              <w:rPr>
                <w:rFonts w:ascii="Times New Roman" w:hAnsi="Times New Roman" w:cs="Times New Roman"/>
                <w:sz w:val="24"/>
                <w:szCs w:val="24"/>
              </w:rPr>
              <w:t>2. Max Talmey                   b. scientist</w:t>
            </w:r>
          </w:p>
          <w:p>
            <w:pPr>
              <w:spacing w:line="360" w:lineRule="auto"/>
              <w:rPr>
                <w:rFonts w:ascii="Times New Roman" w:hAnsi="Times New Roman" w:cs="Times New Roman"/>
                <w:sz w:val="24"/>
                <w:szCs w:val="24"/>
              </w:rPr>
            </w:pPr>
            <w:r>
              <w:rPr>
                <w:rFonts w:ascii="Times New Roman" w:hAnsi="Times New Roman" w:cs="Times New Roman"/>
                <w:sz w:val="24"/>
                <w:szCs w:val="24"/>
              </w:rPr>
              <w:t>3. Franklin D. Roosevelt           c. Nazi</w:t>
            </w:r>
          </w:p>
          <w:p>
            <w:pPr>
              <w:spacing w:line="360" w:lineRule="auto"/>
              <w:rPr>
                <w:rFonts w:ascii="Times New Roman" w:hAnsi="Times New Roman" w:cs="Times New Roman"/>
                <w:sz w:val="24"/>
                <w:szCs w:val="24"/>
              </w:rPr>
            </w:pPr>
            <w:r>
              <w:rPr>
                <w:rFonts w:ascii="Times New Roman" w:hAnsi="Times New Roman" w:cs="Times New Roman"/>
                <w:sz w:val="24"/>
                <w:szCs w:val="24"/>
              </w:rPr>
              <w:t>4. Isaac Newton                 d. inventor</w:t>
            </w:r>
          </w:p>
          <w:p>
            <w:pPr>
              <w:spacing w:line="360" w:lineRule="auto"/>
              <w:rPr>
                <w:rFonts w:ascii="Times New Roman" w:hAnsi="Times New Roman" w:cs="Times New Roman"/>
                <w:sz w:val="24"/>
                <w:szCs w:val="24"/>
              </w:rPr>
            </w:pPr>
            <w:r>
              <w:rPr>
                <w:rFonts w:ascii="Times New Roman" w:hAnsi="Times New Roman" w:cs="Times New Roman"/>
                <w:sz w:val="24"/>
                <w:szCs w:val="24"/>
              </w:rPr>
              <w:t>5. Alfred Nobel                 e. professor</w:t>
            </w:r>
          </w:p>
          <w:p>
            <w:pPr>
              <w:spacing w:line="360" w:lineRule="auto"/>
              <w:rPr>
                <w:rFonts w:ascii="Times New Roman" w:hAnsi="Times New Roman" w:cs="Times New Roman"/>
                <w:sz w:val="24"/>
                <w:szCs w:val="24"/>
              </w:rPr>
            </w:pPr>
            <w:r>
              <w:rPr>
                <w:rFonts w:ascii="Times New Roman" w:hAnsi="Times New Roman" w:cs="Times New Roman"/>
                <w:sz w:val="24"/>
                <w:szCs w:val="24"/>
              </w:rPr>
              <w:t>6. Bertrand Russell              h. prize donor</w:t>
            </w:r>
          </w:p>
          <w:p>
            <w:pPr>
              <w:spacing w:line="360" w:lineRule="auto"/>
              <w:rPr>
                <w:rFonts w:ascii="Times New Roman" w:hAnsi="Times New Roman" w:cs="Times New Roman"/>
                <w:sz w:val="24"/>
                <w:szCs w:val="24"/>
              </w:rPr>
            </w:pPr>
            <w:r>
              <w:rPr>
                <w:rFonts w:ascii="Times New Roman" w:hAnsi="Times New Roman" w:cs="Times New Roman"/>
                <w:sz w:val="24"/>
                <w:szCs w:val="24"/>
              </w:rPr>
              <w:t>7. Adolf Hitler                  f. student</w:t>
            </w:r>
          </w:p>
        </w:tc>
      </w:tr>
    </w:tbl>
    <w:p>
      <w:pPr>
        <w:spacing w:line="360" w:lineRule="auto"/>
        <w:jc w:val="center"/>
        <w:rPr>
          <w:rFonts w:hint="eastAsia" w:asciiTheme="minorEastAsia" w:hAnsiTheme="minorEastAsia"/>
          <w:sz w:val="24"/>
          <w:szCs w:val="24"/>
        </w:rPr>
      </w:pPr>
      <w:r>
        <w:rPr>
          <w:rFonts w:hint="eastAsia" w:asciiTheme="minorEastAsia" w:hAnsiTheme="minorEastAsia"/>
          <w:sz w:val="24"/>
          <w:szCs w:val="24"/>
        </w:rPr>
        <w:t>表5：低阶任务---将角色与其对应的职业连线</w:t>
      </w:r>
    </w:p>
    <w:p>
      <w:pPr>
        <w:spacing w:line="360" w:lineRule="auto"/>
        <w:jc w:val="center"/>
        <w:rPr>
          <w:rFonts w:hint="eastAsia" w:asciiTheme="minorEastAsia" w:hAnsiTheme="minorEastAsia"/>
          <w:sz w:val="24"/>
          <w:szCs w:val="24"/>
        </w:rPr>
      </w:pPr>
    </w:p>
    <w:p>
      <w:pPr>
        <w:spacing w:line="360" w:lineRule="auto"/>
        <w:jc w:val="center"/>
        <w:rPr>
          <w:rFonts w:hint="eastAsia" w:asciiTheme="minorEastAsia" w:hAnsiTheme="minorEastAsia"/>
          <w:sz w:val="24"/>
          <w:szCs w:val="24"/>
        </w:rPr>
      </w:pPr>
    </w:p>
    <w:p>
      <w:pPr>
        <w:spacing w:line="360" w:lineRule="auto"/>
        <w:jc w:val="center"/>
        <w:rPr>
          <w:rFonts w:hint="eastAsia" w:asciiTheme="minorEastAsia" w:hAnsiTheme="minorEastAsia"/>
          <w:sz w:val="24"/>
          <w:szCs w:val="24"/>
        </w:rPr>
      </w:pPr>
    </w:p>
    <w:p>
      <w:pPr>
        <w:spacing w:line="360" w:lineRule="auto"/>
        <w:jc w:val="center"/>
        <w:rPr>
          <w:rFonts w:hint="eastAsia" w:asciiTheme="minorEastAsia" w:hAnsiTheme="minorEastAsia"/>
          <w:sz w:val="24"/>
          <w:szCs w:val="24"/>
        </w:rPr>
      </w:pPr>
    </w:p>
    <w:p>
      <w:pPr>
        <w:spacing w:line="360" w:lineRule="auto"/>
        <w:jc w:val="center"/>
        <w:rPr>
          <w:rFonts w:hint="eastAsia" w:asciiTheme="minorEastAsia" w:hAnsiTheme="minorEastAsia"/>
          <w:sz w:val="24"/>
          <w:szCs w:val="24"/>
        </w:rPr>
      </w:pPr>
    </w:p>
    <w:p>
      <w:pPr>
        <w:spacing w:line="360" w:lineRule="auto"/>
        <w:jc w:val="center"/>
        <w:rPr>
          <w:rFonts w:hint="eastAsia" w:asciiTheme="minorEastAsia" w:hAnsiTheme="minorEastAsia"/>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spacing w:line="360" w:lineRule="auto"/>
              <w:rPr>
                <w:rFonts w:ascii="Times New Roman" w:hAnsi="Times New Roman" w:cs="Times New Roman"/>
                <w:sz w:val="24"/>
                <w:szCs w:val="24"/>
              </w:rPr>
            </w:pPr>
            <w:r>
              <w:rPr>
                <w:rFonts w:ascii="Times New Roman" w:hAnsi="Times New Roman" w:cs="Times New Roman"/>
                <w:sz w:val="24"/>
                <w:szCs w:val="24"/>
              </w:rPr>
              <w:t>Task: Write the timeline for Einstein.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9" w:hRule="atLeast"/>
        </w:trPr>
        <w:tc>
          <w:tcPr>
            <w:tcW w:w="8296" w:type="dxa"/>
          </w:tcPr>
          <w:p>
            <w:pPr>
              <w:spacing w:line="360" w:lineRule="auto"/>
              <w:rPr>
                <w:rFonts w:asciiTheme="minorEastAsia" w:hAnsiTheme="minorEastAsia"/>
                <w:sz w:val="24"/>
                <w:szCs w:val="24"/>
              </w:rPr>
            </w:pPr>
            <w:r>
              <w:rPr>
                <w:rFonts w:hint="eastAsia" w:asciiTheme="minorEastAsia" w:hAnsiTheme="minorEastAsia"/>
                <w:sz w:val="24"/>
                <w:szCs w:val="24"/>
              </w:rPr>
              <w:drawing>
                <wp:inline distT="0" distB="0" distL="0" distR="0">
                  <wp:extent cx="3339465" cy="1976755"/>
                  <wp:effectExtent l="0" t="0" r="1333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1600" cy="1995926"/>
                          </a:xfrm>
                          <a:prstGeom prst="rect">
                            <a:avLst/>
                          </a:prstGeom>
                        </pic:spPr>
                      </pic:pic>
                    </a:graphicData>
                  </a:graphic>
                </wp:inline>
              </w:drawing>
            </w:r>
          </w:p>
        </w:tc>
      </w:tr>
    </w:tbl>
    <w:p>
      <w:pPr>
        <w:spacing w:line="360" w:lineRule="auto"/>
        <w:jc w:val="center"/>
        <w:rPr>
          <w:rFonts w:asciiTheme="minorEastAsia" w:hAnsiTheme="minorEastAsia"/>
          <w:sz w:val="24"/>
          <w:szCs w:val="24"/>
        </w:rPr>
      </w:pPr>
      <w:r>
        <w:rPr>
          <w:rFonts w:hint="eastAsia" w:asciiTheme="minorEastAsia" w:hAnsiTheme="minorEastAsia"/>
          <w:sz w:val="24"/>
          <w:szCs w:val="24"/>
        </w:rPr>
        <w:t>表</w:t>
      </w:r>
      <w:r>
        <w:rPr>
          <w:rFonts w:asciiTheme="minorEastAsia" w:hAnsiTheme="minorEastAsia"/>
          <w:sz w:val="24"/>
          <w:szCs w:val="24"/>
        </w:rPr>
        <w:t>6</w:t>
      </w:r>
      <w:r>
        <w:rPr>
          <w:rFonts w:hint="eastAsia" w:asciiTheme="minorEastAsia" w:hAnsiTheme="minorEastAsia"/>
          <w:sz w:val="24"/>
          <w:szCs w:val="24"/>
        </w:rPr>
        <w:t>：高阶任务---绘制人物时间轴</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专题辩论</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对于一些有争议性的主题，可以选择让学生自由辩论，选择持方，大胆发表自己的观点。例如，在Einstein一书的第五章War and Peace中提到，爱因斯坦对自己给总统罗斯福写信而感到后悔。如果你是爱因斯坦，你是否会选择写这封信呢？这样的辩题既能够激发学生的兴趣，同时也引导学生从不同的角度思考问题，提升思维品质。</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片段表演</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学生对于表演的形式非常感兴趣，且表演能够更好地帮助学生体会人物，挖掘内涵。在内容选择上，教师可以选取一些体现人物鲜活个性，语言内容丰富的场景。同时，也可以指导学生进行适当的改编。</w:t>
      </w:r>
    </w:p>
    <w:p>
      <w:pPr>
        <w:pStyle w:val="7"/>
        <w:numPr>
          <w:ilvl w:val="0"/>
          <w:numId w:val="6"/>
        </w:numPr>
        <w:spacing w:line="360" w:lineRule="auto"/>
        <w:ind w:firstLineChars="0"/>
        <w:rPr>
          <w:rFonts w:asciiTheme="minorEastAsia" w:hAnsiTheme="minorEastAsia"/>
          <w:sz w:val="24"/>
          <w:szCs w:val="24"/>
        </w:rPr>
      </w:pPr>
      <w:r>
        <w:rPr>
          <w:rFonts w:hint="eastAsia" w:asciiTheme="minorEastAsia" w:hAnsiTheme="minorEastAsia"/>
          <w:sz w:val="24"/>
          <w:szCs w:val="24"/>
        </w:rPr>
        <w:t>故事再创造</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阅读后的创作是一种高级的鉴赏活动，具有创新性，也有一定的难度。在实施中，教师可以根据学生的程度进行分层教学。例如，在讨论爱因斯坦写给罗斯福的信时，学生就为之后的事件设计了两种不同的走向。这项活动为培养学生批判性思维提供了平台。</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读后创新，呈现成果</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展示阅读成果是帮助学生再现阅读过程、增强阅读效果的重要方式。阅读成果可以是常规的阅读积累，如整理的词汇、摘抄的佳句、对人物或情节的评注。更高层次的阅读成果包括文本内容的情节发展图、人物关系图、阅读反思和阅读报告，以及超越文本进行迁移创新的片段表演、推荐海报、再创作等。阅读成果的内容和形式可以多种多样，展示方式也可以丰富不一。学生可独自展示，也可以小组合作。</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例如，本书展读课以小组合作的方式进行。学生是课堂活动的主体。全班分为9组，每组4-5人。各组组内讨论决定展读肉容，包括新词汇总、好句摘抄、人物生平分析、情节发展图、阅读报告、片段改编再创作表演和推荐海报等。每组有5-8分钟展示时间。</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如，有班级同学设计了如下翻翻卡形式的人物大事记（图1），小纸条上是人物关键字，翻开小纸条后可以看到具体的事件。翻翻卡形式新颖，内容丰富，作者不仅在班级展读时带领同学回顾书籍内容，在年级展示期间也吸引了其他同学的</w:t>
      </w:r>
      <w:r>
        <w:rPr>
          <w:rFonts w:asciiTheme="minorEastAsia" w:hAnsiTheme="minorEastAsia"/>
          <w:sz w:val="24"/>
          <w:szCs w:val="24"/>
        </w:rPr>
        <w:t>注意</w:t>
      </w:r>
      <w:r>
        <w:rPr>
          <w:rFonts w:hint="eastAsia" w:asciiTheme="minorEastAsia" w:hAnsiTheme="minorEastAsia"/>
          <w:sz w:val="24"/>
          <w:szCs w:val="24"/>
        </w:rPr>
        <w:t>，在激发同伴的阅读兴趣上起到了积极作用。</w:t>
      </w:r>
    </w:p>
    <w:p>
      <w:pPr>
        <w:spacing w:line="360" w:lineRule="auto"/>
        <w:ind w:firstLine="480" w:firstLineChars="200"/>
        <w:rPr>
          <w:rFonts w:asciiTheme="minorEastAsia" w:hAnsiTheme="minorEastAsia"/>
          <w:sz w:val="24"/>
          <w:szCs w:val="24"/>
        </w:rPr>
      </w:pPr>
      <w:r>
        <w:rPr>
          <w:rFonts w:asciiTheme="minorEastAsia" w:hAnsiTheme="minorEastAsia"/>
          <w:sz w:val="24"/>
          <w:szCs w:val="24"/>
        </w:rPr>
        <w:drawing>
          <wp:inline distT="0" distB="0" distL="0" distR="0">
            <wp:extent cx="4241800" cy="3000375"/>
            <wp:effectExtent l="0" t="0" r="635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48466" cy="3005343"/>
                    </a:xfrm>
                    <a:prstGeom prst="rect">
                      <a:avLst/>
                    </a:prstGeom>
                    <a:noFill/>
                  </pic:spPr>
                </pic:pic>
              </a:graphicData>
            </a:graphic>
          </wp:inline>
        </w:drawing>
      </w:r>
    </w:p>
    <w:p>
      <w:pPr>
        <w:spacing w:line="360" w:lineRule="auto"/>
        <w:ind w:firstLine="480" w:firstLineChars="200"/>
        <w:jc w:val="center"/>
        <w:rPr>
          <w:rFonts w:asciiTheme="minorEastAsia" w:hAnsiTheme="minorEastAsia"/>
          <w:sz w:val="24"/>
          <w:szCs w:val="24"/>
        </w:rPr>
      </w:pPr>
      <w:r>
        <w:rPr>
          <w:rFonts w:hint="eastAsia" w:asciiTheme="minorEastAsia" w:hAnsiTheme="minorEastAsia"/>
          <w:sz w:val="24"/>
          <w:szCs w:val="24"/>
        </w:rPr>
        <w:t>图1：学生展示的“爱因斯坦”翻翻卡</w:t>
      </w:r>
    </w:p>
    <w:p>
      <w:pPr>
        <w:spacing w:line="360" w:lineRule="auto"/>
        <w:rPr>
          <w:rFonts w:asciiTheme="minorEastAsia" w:hAnsiTheme="minorEastAsia"/>
          <w:sz w:val="24"/>
          <w:szCs w:val="24"/>
        </w:rPr>
      </w:pPr>
      <w:r>
        <w:rPr>
          <w:rFonts w:hint="eastAsia" w:asciiTheme="minorEastAsia" w:hAnsiTheme="minorEastAsia"/>
          <w:sz w:val="24"/>
          <w:szCs w:val="24"/>
        </w:rPr>
        <w:t>三、“整本书阅读”实践的反思与总结</w:t>
      </w:r>
    </w:p>
    <w:p>
      <w:pPr>
        <w:spacing w:line="360" w:lineRule="auto"/>
        <w:ind w:firstLine="480"/>
        <w:rPr>
          <w:rFonts w:asciiTheme="minorEastAsia" w:hAnsiTheme="minorEastAsia"/>
          <w:sz w:val="24"/>
          <w:szCs w:val="24"/>
        </w:rPr>
      </w:pPr>
      <w:r>
        <w:rPr>
          <w:rFonts w:hint="eastAsia" w:asciiTheme="minorEastAsia" w:hAnsiTheme="minorEastAsia"/>
          <w:sz w:val="24"/>
          <w:szCs w:val="24"/>
        </w:rPr>
        <w:t>赵尚华（2022）指出，阅读教学要把培养学生自主阅读能力作为终极目标。基于“整本书阅读”的教学课堂实践，学生通过自主阅读和小组合作的方式深入理解文本，在此过程中，教师也在不断地总结与反思。笔者认为，为了促进学生自主阅读能力的培养，在实践中还需注意以下几点：</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保证充分的阅读时间</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 xml:space="preserve">教师期待学生带着目的体验自主阅读的过程，这需要充分的时间“打底”。课前，教师应当给予学生充分的时间进行自主阅读。课上，教师在进行课堂活动时，遇到思考容量较大的问题时，教师也需要考虑实际情况，给予学生再次自主阅读的时间。 </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合理选用工具</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在整本书阅读中，教师应当合理设计便于学生记录自主阅读过程的工具，如任务单或记录表，包括学生对于文本内容的理解程度，阅读过程中的笔记（新词、好句、困惑、问题等）。</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通过多样化的活动串联教学过程，丰富学生阅读体验</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学生进行了自主阅读后，课堂上，教师更多地起到组织、指导、引领的作用。常用的整本书教学活动有：阅读圈、拼图式阅读、读者剧场、画廊漫步、自主提问等。这些活动多为小组合作活动，教师可根据选材和教学目标选择合适的活动。这些活动使得阅读变得更有趣味性，也增加了学生在课堂中参与的广度与深度，促进“学思结合”。</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通过多种形式进行读后分享，鼓励学生自主阅读</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除了上文中提到的形式，教师们也可根据选材的不同，合理选择分享的形式。如撰写人物小传、创作表演剧本等。同时，将他们的优秀作品于教室、走廊、公众号展示等。自主阅读的过程必然伴有积极主动的自主思维，这些做法可以让学生获得更多的成就感，激励他们自主阅读，成为积极的阅读者，促进阅读能力不断提升。</w:t>
      </w:r>
    </w:p>
    <w:p>
      <w:pPr>
        <w:spacing w:line="360" w:lineRule="auto"/>
        <w:ind w:firstLine="480" w:firstLineChars="200"/>
        <w:rPr>
          <w:rFonts w:hint="eastAsia" w:asciiTheme="minorEastAsia" w:hAnsiTheme="minorEastAsia"/>
          <w:sz w:val="24"/>
          <w:szCs w:val="24"/>
        </w:rPr>
      </w:pPr>
      <w:r>
        <w:rPr>
          <w:rFonts w:hint="eastAsia" w:asciiTheme="minorEastAsia" w:hAnsiTheme="minorEastAsia"/>
          <w:sz w:val="24"/>
          <w:szCs w:val="24"/>
        </w:rPr>
        <w:t>在发展英语学科核心素养的要求下，整本书阅读可以成为课内英语教学的延伸和补充。整本书阅读更好地实现了深层次阅读，值得教师进行更深入的研究。在此过程中，教师应积极引领和示范整本书阅读，为学生选择合适的阅读书目，设计科学合理的教学活动，引领和陪伴学生阅读，让深度学习在阅读中发生。此外，要时刻牢记，整本书阅读要以学生为主体，教师应发挥引领作用，激发学生的阅读兴趣，培养学生良好的阅读习惯，使学生在阅读中提升语言运用能力，提高英语学科核心素养。</w:t>
      </w:r>
    </w:p>
    <w:p>
      <w:pPr>
        <w:spacing w:line="360" w:lineRule="auto"/>
        <w:ind w:firstLine="480" w:firstLineChars="200"/>
        <w:rPr>
          <w:rFonts w:hint="eastAsia" w:asciiTheme="minorEastAsia" w:hAnsiTheme="minorEastAsia"/>
          <w:sz w:val="24"/>
          <w:szCs w:val="24"/>
        </w:rPr>
      </w:pPr>
    </w:p>
    <w:p>
      <w:pPr>
        <w:spacing w:line="360" w:lineRule="auto"/>
        <w:jc w:val="left"/>
        <w:rPr>
          <w:rFonts w:asciiTheme="minorEastAsia" w:hAnsiTheme="minorEastAsia"/>
          <w:b/>
          <w:sz w:val="21"/>
          <w:szCs w:val="21"/>
        </w:rPr>
      </w:pPr>
      <w:r>
        <w:rPr>
          <w:rFonts w:hint="eastAsia" w:asciiTheme="minorEastAsia" w:hAnsiTheme="minorEastAsia"/>
          <w:b/>
          <w:sz w:val="21"/>
          <w:szCs w:val="21"/>
        </w:rPr>
        <w:t>参考文献</w:t>
      </w:r>
    </w:p>
    <w:p>
      <w:pPr>
        <w:pStyle w:val="7"/>
        <w:keepNext w:val="0"/>
        <w:keepLines w:val="0"/>
        <w:pageBreakBefore w:val="0"/>
        <w:widowControl w:val="0"/>
        <w:numPr>
          <w:ilvl w:val="0"/>
          <w:numId w:val="8"/>
        </w:numPr>
        <w:kinsoku/>
        <w:wordWrap/>
        <w:overflowPunct/>
        <w:topLinePunct w:val="0"/>
        <w:autoSpaceDE/>
        <w:autoSpaceDN/>
        <w:bidi w:val="0"/>
        <w:adjustRightInd/>
        <w:snapToGrid/>
        <w:spacing w:line="240" w:lineRule="auto"/>
        <w:ind w:left="363" w:hanging="363" w:firstLineChars="0"/>
        <w:jc w:val="left"/>
        <w:textAlignment w:val="auto"/>
        <w:rPr>
          <w:rFonts w:asciiTheme="minorEastAsia" w:hAnsiTheme="minorEastAsia"/>
          <w:sz w:val="21"/>
          <w:szCs w:val="21"/>
        </w:rPr>
      </w:pPr>
      <w:r>
        <w:rPr>
          <w:rFonts w:hint="eastAsia" w:asciiTheme="minorEastAsia" w:hAnsiTheme="minorEastAsia"/>
          <w:sz w:val="21"/>
          <w:szCs w:val="21"/>
        </w:rPr>
        <w:t>中华人民共和国教育部.义务教育英语课程标准(2022 年版)[S].北京:北京师范大学出版社，2022.</w:t>
      </w:r>
    </w:p>
    <w:p>
      <w:pPr>
        <w:pStyle w:val="7"/>
        <w:keepNext w:val="0"/>
        <w:keepLines w:val="0"/>
        <w:pageBreakBefore w:val="0"/>
        <w:widowControl w:val="0"/>
        <w:numPr>
          <w:ilvl w:val="0"/>
          <w:numId w:val="8"/>
        </w:numPr>
        <w:kinsoku/>
        <w:wordWrap/>
        <w:overflowPunct/>
        <w:topLinePunct w:val="0"/>
        <w:autoSpaceDE/>
        <w:autoSpaceDN/>
        <w:bidi w:val="0"/>
        <w:adjustRightInd/>
        <w:snapToGrid/>
        <w:spacing w:line="240" w:lineRule="auto"/>
        <w:ind w:left="363" w:hanging="363" w:firstLineChars="0"/>
        <w:jc w:val="left"/>
        <w:textAlignment w:val="auto"/>
        <w:rPr>
          <w:rFonts w:asciiTheme="minorEastAsia" w:hAnsiTheme="minorEastAsia"/>
          <w:sz w:val="21"/>
          <w:szCs w:val="21"/>
        </w:rPr>
      </w:pPr>
      <w:r>
        <w:rPr>
          <w:rFonts w:hint="eastAsia" w:asciiTheme="minorEastAsia" w:hAnsiTheme="minorEastAsia"/>
          <w:sz w:val="21"/>
          <w:szCs w:val="21"/>
        </w:rPr>
        <w:t>周雪晴.2019.英语名著“整本书阅读”的四步骤教学策略---以</w:t>
      </w:r>
      <w:r>
        <w:rPr>
          <w:rFonts w:hint="eastAsia" w:asciiTheme="minorEastAsia" w:hAnsiTheme="minorEastAsia"/>
          <w:i/>
          <w:sz w:val="21"/>
          <w:szCs w:val="21"/>
        </w:rPr>
        <w:t>T</w:t>
      </w:r>
      <w:r>
        <w:rPr>
          <w:rFonts w:asciiTheme="minorEastAsia" w:hAnsiTheme="minorEastAsia"/>
          <w:i/>
          <w:sz w:val="21"/>
          <w:szCs w:val="21"/>
        </w:rPr>
        <w:t>he Railwa</w:t>
      </w:r>
      <w:bookmarkStart w:id="0" w:name="_GoBack"/>
      <w:bookmarkEnd w:id="0"/>
      <w:r>
        <w:rPr>
          <w:rFonts w:asciiTheme="minorEastAsia" w:hAnsiTheme="minorEastAsia"/>
          <w:i/>
          <w:sz w:val="21"/>
          <w:szCs w:val="21"/>
        </w:rPr>
        <w:t>y Children</w:t>
      </w:r>
      <w:r>
        <w:rPr>
          <w:rFonts w:hint="eastAsia" w:asciiTheme="minorEastAsia" w:hAnsiTheme="minorEastAsia"/>
          <w:sz w:val="21"/>
          <w:szCs w:val="21"/>
        </w:rPr>
        <w:t>为例 [J</w:t>
      </w:r>
      <w:r>
        <w:rPr>
          <w:rFonts w:asciiTheme="minorEastAsia" w:hAnsiTheme="minorEastAsia"/>
          <w:sz w:val="21"/>
          <w:szCs w:val="21"/>
        </w:rPr>
        <w:t>]</w:t>
      </w:r>
      <w:r>
        <w:rPr>
          <w:rFonts w:hint="eastAsia" w:asciiTheme="minorEastAsia" w:hAnsiTheme="minorEastAsia"/>
          <w:sz w:val="21"/>
          <w:szCs w:val="21"/>
        </w:rPr>
        <w:t>.江苏教育，（75）：11-14.</w:t>
      </w:r>
    </w:p>
    <w:p>
      <w:pPr>
        <w:pStyle w:val="7"/>
        <w:keepNext w:val="0"/>
        <w:keepLines w:val="0"/>
        <w:pageBreakBefore w:val="0"/>
        <w:widowControl w:val="0"/>
        <w:numPr>
          <w:ilvl w:val="0"/>
          <w:numId w:val="8"/>
        </w:numPr>
        <w:kinsoku/>
        <w:wordWrap/>
        <w:overflowPunct/>
        <w:topLinePunct w:val="0"/>
        <w:autoSpaceDE/>
        <w:autoSpaceDN/>
        <w:bidi w:val="0"/>
        <w:adjustRightInd/>
        <w:snapToGrid/>
        <w:spacing w:line="240" w:lineRule="auto"/>
        <w:ind w:left="363" w:hanging="363" w:firstLineChars="0"/>
        <w:jc w:val="left"/>
        <w:textAlignment w:val="auto"/>
        <w:rPr>
          <w:rFonts w:asciiTheme="minorEastAsia" w:hAnsiTheme="minorEastAsia"/>
          <w:sz w:val="21"/>
          <w:szCs w:val="21"/>
        </w:rPr>
      </w:pPr>
      <w:r>
        <w:rPr>
          <w:rFonts w:hint="eastAsia" w:asciiTheme="minorEastAsia" w:hAnsiTheme="minorEastAsia"/>
          <w:sz w:val="21"/>
          <w:szCs w:val="21"/>
        </w:rPr>
        <w:t>谢婷婷.</w:t>
      </w:r>
      <w:r>
        <w:rPr>
          <w:rFonts w:asciiTheme="minorEastAsia" w:hAnsiTheme="minorEastAsia"/>
          <w:sz w:val="21"/>
          <w:szCs w:val="21"/>
        </w:rPr>
        <w:t>2021，</w:t>
      </w:r>
      <w:r>
        <w:rPr>
          <w:rFonts w:hint="eastAsia" w:asciiTheme="minorEastAsia" w:hAnsiTheme="minorEastAsia"/>
          <w:sz w:val="21"/>
          <w:szCs w:val="21"/>
        </w:rPr>
        <w:t>初中英语整本书阅读的实践与思考</w:t>
      </w:r>
      <w:r>
        <w:rPr>
          <w:rFonts w:asciiTheme="minorEastAsia" w:hAnsiTheme="minorEastAsia"/>
          <w:sz w:val="21"/>
          <w:szCs w:val="21"/>
        </w:rPr>
        <w:t>[J]</w:t>
      </w:r>
      <w:r>
        <w:rPr>
          <w:rFonts w:hint="eastAsia" w:asciiTheme="minorEastAsia" w:hAnsiTheme="minorEastAsia"/>
          <w:sz w:val="21"/>
          <w:szCs w:val="21"/>
        </w:rPr>
        <w:t>.中小学外语教育（中学篇），（11）：12-18.</w:t>
      </w:r>
    </w:p>
    <w:p>
      <w:pPr>
        <w:pStyle w:val="7"/>
        <w:keepNext w:val="0"/>
        <w:keepLines w:val="0"/>
        <w:pageBreakBefore w:val="0"/>
        <w:widowControl w:val="0"/>
        <w:numPr>
          <w:ilvl w:val="0"/>
          <w:numId w:val="8"/>
        </w:numPr>
        <w:kinsoku/>
        <w:wordWrap/>
        <w:overflowPunct/>
        <w:topLinePunct w:val="0"/>
        <w:autoSpaceDE/>
        <w:autoSpaceDN/>
        <w:bidi w:val="0"/>
        <w:adjustRightInd/>
        <w:snapToGrid/>
        <w:spacing w:line="240" w:lineRule="auto"/>
        <w:ind w:left="363" w:hanging="363" w:firstLineChars="0"/>
        <w:jc w:val="left"/>
        <w:textAlignment w:val="auto"/>
        <w:rPr>
          <w:rFonts w:hint="eastAsia" w:asciiTheme="minorEastAsia" w:hAnsiTheme="minorEastAsia"/>
          <w:sz w:val="21"/>
          <w:szCs w:val="21"/>
        </w:rPr>
      </w:pPr>
      <w:r>
        <w:rPr>
          <w:rFonts w:hint="eastAsia" w:asciiTheme="minorEastAsia" w:hAnsiTheme="minorEastAsia"/>
          <w:sz w:val="21"/>
          <w:szCs w:val="21"/>
        </w:rPr>
        <w:t>赵尚华.《义务教育英语课程标准（2022年版）》解读[J].全球教育展望，2022（6）：34-46.</w:t>
      </w:r>
    </w:p>
    <w:p>
      <w:pPr>
        <w:spacing w:line="360" w:lineRule="auto"/>
        <w:rPr>
          <w:rFonts w:asciiTheme="minorEastAsia" w:hAnsi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787375"/>
    <w:multiLevelType w:val="multilevel"/>
    <w:tmpl w:val="0278737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F496549"/>
    <w:multiLevelType w:val="multilevel"/>
    <w:tmpl w:val="1F49654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E47E54"/>
    <w:multiLevelType w:val="multilevel"/>
    <w:tmpl w:val="20E47E5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98F7CCC"/>
    <w:multiLevelType w:val="multilevel"/>
    <w:tmpl w:val="298F7CC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2906A03"/>
    <w:multiLevelType w:val="multilevel"/>
    <w:tmpl w:val="32906A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841228D"/>
    <w:multiLevelType w:val="multilevel"/>
    <w:tmpl w:val="4841228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12C3E89"/>
    <w:multiLevelType w:val="multilevel"/>
    <w:tmpl w:val="512C3E8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EF00F24"/>
    <w:multiLevelType w:val="multilevel"/>
    <w:tmpl w:val="7EF00F2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5"/>
  </w:num>
  <w:num w:numId="3">
    <w:abstractNumId w:val="7"/>
  </w:num>
  <w:num w:numId="4">
    <w:abstractNumId w:val="2"/>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2N2I4Mzg3NjdlZDUzNjExNDVhNmVkNTQ2OGYyZTQifQ=="/>
  </w:docVars>
  <w:rsids>
    <w:rsidRoot w:val="00382BB2"/>
    <w:rsid w:val="000009A2"/>
    <w:rsid w:val="0000644C"/>
    <w:rsid w:val="00042734"/>
    <w:rsid w:val="00045D8B"/>
    <w:rsid w:val="0006374E"/>
    <w:rsid w:val="000831C2"/>
    <w:rsid w:val="000929E2"/>
    <w:rsid w:val="00092C36"/>
    <w:rsid w:val="000B1E03"/>
    <w:rsid w:val="000C291A"/>
    <w:rsid w:val="000C52A0"/>
    <w:rsid w:val="000D534A"/>
    <w:rsid w:val="000E5D08"/>
    <w:rsid w:val="00123E67"/>
    <w:rsid w:val="001375E5"/>
    <w:rsid w:val="001568ED"/>
    <w:rsid w:val="00157D29"/>
    <w:rsid w:val="00160804"/>
    <w:rsid w:val="00164D19"/>
    <w:rsid w:val="0017099D"/>
    <w:rsid w:val="00180F68"/>
    <w:rsid w:val="00196D29"/>
    <w:rsid w:val="001A743D"/>
    <w:rsid w:val="001B7096"/>
    <w:rsid w:val="001C6D5B"/>
    <w:rsid w:val="001D70FD"/>
    <w:rsid w:val="001E6D8F"/>
    <w:rsid w:val="00210443"/>
    <w:rsid w:val="00211E4B"/>
    <w:rsid w:val="00245B6C"/>
    <w:rsid w:val="00261921"/>
    <w:rsid w:val="0028169D"/>
    <w:rsid w:val="002901EB"/>
    <w:rsid w:val="002B00F3"/>
    <w:rsid w:val="002C24C1"/>
    <w:rsid w:val="002F0A82"/>
    <w:rsid w:val="00300A3C"/>
    <w:rsid w:val="003032DD"/>
    <w:rsid w:val="0033438A"/>
    <w:rsid w:val="00351AD6"/>
    <w:rsid w:val="003643E7"/>
    <w:rsid w:val="003750BA"/>
    <w:rsid w:val="00382BB2"/>
    <w:rsid w:val="003B7B86"/>
    <w:rsid w:val="003C1095"/>
    <w:rsid w:val="003C59CA"/>
    <w:rsid w:val="003D73D8"/>
    <w:rsid w:val="003E0B96"/>
    <w:rsid w:val="00410BC7"/>
    <w:rsid w:val="004214E0"/>
    <w:rsid w:val="0045633F"/>
    <w:rsid w:val="00481B18"/>
    <w:rsid w:val="00486988"/>
    <w:rsid w:val="004A6847"/>
    <w:rsid w:val="004C50BF"/>
    <w:rsid w:val="004D22BC"/>
    <w:rsid w:val="004E1CAC"/>
    <w:rsid w:val="004F209B"/>
    <w:rsid w:val="005110D6"/>
    <w:rsid w:val="005150BA"/>
    <w:rsid w:val="005161F4"/>
    <w:rsid w:val="00571EC3"/>
    <w:rsid w:val="00573237"/>
    <w:rsid w:val="00576D3E"/>
    <w:rsid w:val="0058230B"/>
    <w:rsid w:val="005843A1"/>
    <w:rsid w:val="005C1BAF"/>
    <w:rsid w:val="005D09A4"/>
    <w:rsid w:val="005D695D"/>
    <w:rsid w:val="005D6BBD"/>
    <w:rsid w:val="005F04A2"/>
    <w:rsid w:val="005F4012"/>
    <w:rsid w:val="00614DB8"/>
    <w:rsid w:val="006320D6"/>
    <w:rsid w:val="00681C1C"/>
    <w:rsid w:val="006A0F2B"/>
    <w:rsid w:val="006A21FB"/>
    <w:rsid w:val="006B5DD6"/>
    <w:rsid w:val="006E01B1"/>
    <w:rsid w:val="006E52B3"/>
    <w:rsid w:val="00705408"/>
    <w:rsid w:val="00713F0A"/>
    <w:rsid w:val="00737663"/>
    <w:rsid w:val="00762265"/>
    <w:rsid w:val="007651DF"/>
    <w:rsid w:val="00786D49"/>
    <w:rsid w:val="007E7A91"/>
    <w:rsid w:val="0081688A"/>
    <w:rsid w:val="00824410"/>
    <w:rsid w:val="00882E6B"/>
    <w:rsid w:val="008B729E"/>
    <w:rsid w:val="008C2C8B"/>
    <w:rsid w:val="00911E29"/>
    <w:rsid w:val="00917C95"/>
    <w:rsid w:val="00945CF6"/>
    <w:rsid w:val="00951CD5"/>
    <w:rsid w:val="00957D5F"/>
    <w:rsid w:val="00964C06"/>
    <w:rsid w:val="00983F68"/>
    <w:rsid w:val="009B1FF2"/>
    <w:rsid w:val="009B4AF8"/>
    <w:rsid w:val="009B6912"/>
    <w:rsid w:val="009C5AA4"/>
    <w:rsid w:val="009E23AF"/>
    <w:rsid w:val="009E3B3C"/>
    <w:rsid w:val="00A00EEA"/>
    <w:rsid w:val="00A350EE"/>
    <w:rsid w:val="00A51293"/>
    <w:rsid w:val="00A56A23"/>
    <w:rsid w:val="00A64EFA"/>
    <w:rsid w:val="00AC2FB3"/>
    <w:rsid w:val="00AD7B00"/>
    <w:rsid w:val="00AE53C8"/>
    <w:rsid w:val="00B00B83"/>
    <w:rsid w:val="00B061F6"/>
    <w:rsid w:val="00B45F01"/>
    <w:rsid w:val="00B65426"/>
    <w:rsid w:val="00B81E7C"/>
    <w:rsid w:val="00B85A05"/>
    <w:rsid w:val="00B86BBE"/>
    <w:rsid w:val="00B87C1B"/>
    <w:rsid w:val="00C00D46"/>
    <w:rsid w:val="00C14F22"/>
    <w:rsid w:val="00C34795"/>
    <w:rsid w:val="00C424E5"/>
    <w:rsid w:val="00C45982"/>
    <w:rsid w:val="00C519DD"/>
    <w:rsid w:val="00C61D13"/>
    <w:rsid w:val="00C80610"/>
    <w:rsid w:val="00CA0071"/>
    <w:rsid w:val="00CA0302"/>
    <w:rsid w:val="00CA2EA7"/>
    <w:rsid w:val="00CD115E"/>
    <w:rsid w:val="00CE05FD"/>
    <w:rsid w:val="00CE09C6"/>
    <w:rsid w:val="00CF2044"/>
    <w:rsid w:val="00D14287"/>
    <w:rsid w:val="00D344A9"/>
    <w:rsid w:val="00D51E4A"/>
    <w:rsid w:val="00D57AA6"/>
    <w:rsid w:val="00D91946"/>
    <w:rsid w:val="00E11583"/>
    <w:rsid w:val="00E15E44"/>
    <w:rsid w:val="00E2329A"/>
    <w:rsid w:val="00E251CC"/>
    <w:rsid w:val="00E37BE6"/>
    <w:rsid w:val="00E41D86"/>
    <w:rsid w:val="00E658E8"/>
    <w:rsid w:val="00E864CD"/>
    <w:rsid w:val="00EC1841"/>
    <w:rsid w:val="00EC2D7F"/>
    <w:rsid w:val="00EC50B5"/>
    <w:rsid w:val="00F11391"/>
    <w:rsid w:val="00F30BB1"/>
    <w:rsid w:val="00F55DE9"/>
    <w:rsid w:val="00F56005"/>
    <w:rsid w:val="00FA5CF3"/>
    <w:rsid w:val="00FE14CF"/>
    <w:rsid w:val="00FE59C8"/>
    <w:rsid w:val="4F6F1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Char"/>
    <w:basedOn w:val="6"/>
    <w:link w:val="3"/>
    <w:uiPriority w:val="99"/>
    <w:rPr>
      <w:sz w:val="18"/>
      <w:szCs w:val="18"/>
    </w:rPr>
  </w:style>
  <w:style w:type="character" w:customStyle="1" w:styleId="9">
    <w:name w:val="页脚 Char"/>
    <w:basedOn w:val="6"/>
    <w:link w:val="2"/>
    <w:uiPriority w:val="99"/>
    <w:rPr>
      <w:sz w:val="18"/>
      <w:szCs w:val="18"/>
    </w:rPr>
  </w:style>
  <w:style w:type="table" w:customStyle="1" w:styleId="10">
    <w:name w:val="网格型1"/>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网格型11"/>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F616-7B7C-4472-97CD-BAEBE2098532}">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5250</Words>
  <Characters>5994</Characters>
  <Lines>45</Lines>
  <Paragraphs>12</Paragraphs>
  <TotalTime>3</TotalTime>
  <ScaleCrop>false</ScaleCrop>
  <LinksUpToDate>false</LinksUpToDate>
  <CharactersWithSpaces>6250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2022-09-03T13:38:00Z</dcterms:created>
  <dc:creator>Administrator</dc:creator>
  <cp:lastModifiedBy>Pan</cp:lastModifiedBy>
  <dcterms:modified xsi:type="dcterms:W3CDTF">2022-09-04T02:13:06Z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927A6FB1063A492B94326B94F80A37AC</vt:lpwstr>
  </property>
</Properties>
</file>