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浅谈小学美术课堂中综合材料运用的现状与思考</w:t>
      </w:r>
    </w:p>
    <w:p>
      <w:pPr>
        <w:spacing w:line="360" w:lineRule="auto"/>
        <w:ind w:firstLine="420" w:firstLineChars="200"/>
        <w:jc w:val="center"/>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杨雨浓</w:t>
      </w:r>
    </w:p>
    <w:p>
      <w:pPr>
        <w:spacing w:line="360" w:lineRule="auto"/>
        <w:ind w:firstLine="420" w:firstLineChars="200"/>
        <w:jc w:val="center"/>
        <w:outlineLvl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上海市徐汇区东二小学</w:t>
      </w:r>
    </w:p>
    <w:p>
      <w:pPr>
        <w:spacing w:line="360" w:lineRule="auto"/>
        <w:outlineLvl w:val="1"/>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[摘 要]</w:t>
      </w:r>
      <w:r>
        <w:rPr>
          <w:rFonts w:hint="eastAsia" w:ascii="宋体" w:hAnsi="宋体" w:eastAsia="宋体" w:cs="宋体"/>
          <w:sz w:val="21"/>
          <w:szCs w:val="21"/>
          <w:lang w:val="en-US" w:eastAsia="zh-CN"/>
        </w:rPr>
        <w:t>随着对小学生美术课程培养目标的改变，综合美术的理念逐渐渗透进美术教育者的观念中。</w:t>
      </w:r>
      <w:r>
        <w:rPr>
          <w:rFonts w:hint="eastAsia" w:ascii="宋体" w:hAnsi="宋体" w:cs="宋体"/>
          <w:sz w:val="21"/>
          <w:szCs w:val="21"/>
          <w:lang w:val="en-US" w:eastAsia="zh-CN"/>
        </w:rPr>
        <w:t>在2022版的《义务教育艺术课程标准》中明确提出学生要结合生活和社会情境，运用设计与工艺的知识技能与思维方式，开展学习并进行传承与创造。</w:t>
      </w:r>
      <w:r>
        <w:rPr>
          <w:rFonts w:hint="eastAsia" w:ascii="宋体" w:hAnsi="宋体" w:eastAsia="宋体" w:cs="宋体"/>
          <w:sz w:val="21"/>
          <w:szCs w:val="21"/>
          <w:lang w:val="en-US" w:eastAsia="zh-CN"/>
        </w:rPr>
        <w:t>本文从综合材料与创新的概念之间相互关系入手，对小学生在美术课堂上应该培养的创新能力进行探讨。旨在</w:t>
      </w:r>
      <w:r>
        <w:rPr>
          <w:rFonts w:hint="eastAsia" w:ascii="宋体" w:hAnsi="宋体" w:eastAsia="宋体" w:cs="宋体"/>
          <w:sz w:val="21"/>
          <w:szCs w:val="21"/>
        </w:rPr>
        <w:t>通过本次研究，不仅能提升学生对周围</w:t>
      </w:r>
      <w:r>
        <w:rPr>
          <w:rFonts w:hint="eastAsia" w:ascii="宋体" w:hAnsi="宋体" w:eastAsia="宋体" w:cs="宋体"/>
          <w:sz w:val="21"/>
          <w:szCs w:val="21"/>
          <w:lang w:val="en-US" w:eastAsia="zh-CN"/>
        </w:rPr>
        <w:t>生活的感知能力，探究生活材料的运用，培养他们的习惯与观察能力，同时也可以为今后基础美术课程的开展提供一定的借鉴意义。</w:t>
      </w:r>
    </w:p>
    <w:p>
      <w:pPr>
        <w:spacing w:line="360" w:lineRule="auto"/>
        <w:outlineLvl w:val="0"/>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[关键词]</w:t>
      </w:r>
      <w:r>
        <w:rPr>
          <w:rFonts w:hint="eastAsia" w:ascii="宋体" w:hAnsi="宋体" w:eastAsia="宋体" w:cs="宋体"/>
          <w:sz w:val="21"/>
          <w:szCs w:val="21"/>
          <w:lang w:val="en-US" w:eastAsia="zh-CN"/>
        </w:rPr>
        <w:t>综合材料；美术课堂；创新能力</w:t>
      </w:r>
    </w:p>
    <w:p>
      <w:pPr>
        <w:numPr>
          <w:ilvl w:val="0"/>
          <w:numId w:val="1"/>
        </w:numPr>
        <w:spacing w:line="360" w:lineRule="auto"/>
        <w:outlineLvl w:val="0"/>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综合材料在小学美术课堂中运用的现状分析</w:t>
      </w:r>
    </w:p>
    <w:p>
      <w:pPr>
        <w:numPr>
          <w:ilvl w:val="0"/>
          <w:numId w:val="2"/>
        </w:numPr>
        <w:spacing w:line="360" w:lineRule="auto"/>
        <w:outlineLvl w:val="1"/>
        <w:rPr>
          <w:rFonts w:hint="eastAsia" w:ascii="宋体" w:hAnsi="宋体" w:eastAsia="宋体" w:cs="宋体"/>
          <w:b/>
          <w:bCs/>
          <w:i w:val="0"/>
          <w:iCs w:val="0"/>
          <w:sz w:val="21"/>
          <w:szCs w:val="21"/>
        </w:rPr>
      </w:pPr>
      <w:r>
        <w:rPr>
          <w:rFonts w:hint="eastAsia" w:ascii="宋体" w:hAnsi="宋体" w:eastAsia="宋体" w:cs="宋体"/>
          <w:b/>
          <w:bCs/>
          <w:i w:val="0"/>
          <w:iCs w:val="0"/>
          <w:sz w:val="21"/>
          <w:szCs w:val="21"/>
        </w:rPr>
        <w:t>小学美术</w:t>
      </w:r>
      <w:r>
        <w:rPr>
          <w:rFonts w:hint="eastAsia" w:ascii="宋体" w:hAnsi="宋体" w:eastAsia="宋体" w:cs="宋体"/>
          <w:b/>
          <w:bCs/>
          <w:i w:val="0"/>
          <w:iCs w:val="0"/>
          <w:sz w:val="21"/>
          <w:szCs w:val="21"/>
          <w:lang w:val="en-US" w:eastAsia="zh-CN"/>
        </w:rPr>
        <w:t>教材中</w:t>
      </w:r>
      <w:r>
        <w:rPr>
          <w:rFonts w:hint="eastAsia" w:ascii="宋体" w:hAnsi="宋体" w:eastAsia="宋体" w:cs="宋体"/>
          <w:b/>
          <w:bCs/>
          <w:i w:val="0"/>
          <w:iCs w:val="0"/>
          <w:sz w:val="21"/>
          <w:szCs w:val="21"/>
        </w:rPr>
        <w:t>综合材料的</w:t>
      </w:r>
      <w:r>
        <w:rPr>
          <w:rFonts w:hint="eastAsia" w:ascii="宋体" w:hAnsi="宋体" w:eastAsia="宋体" w:cs="宋体"/>
          <w:b/>
          <w:bCs/>
          <w:i w:val="0"/>
          <w:iCs w:val="0"/>
          <w:sz w:val="21"/>
          <w:szCs w:val="21"/>
          <w:lang w:val="en-US" w:eastAsia="zh-CN"/>
        </w:rPr>
        <w:t>设置</w:t>
      </w:r>
      <w:r>
        <w:rPr>
          <w:rFonts w:hint="eastAsia" w:ascii="宋体" w:hAnsi="宋体" w:eastAsia="宋体" w:cs="宋体"/>
          <w:b/>
          <w:bCs/>
          <w:i w:val="0"/>
          <w:iCs w:val="0"/>
          <w:sz w:val="21"/>
          <w:szCs w:val="21"/>
        </w:rPr>
        <w:t>概况</w:t>
      </w:r>
      <w:bookmarkStart w:id="0" w:name="_Toc2455"/>
      <w:bookmarkStart w:id="1" w:name="_Toc30082"/>
      <w:bookmarkStart w:id="2" w:name="_Toc16767"/>
      <w:bookmarkStart w:id="3" w:name="_Toc31849"/>
    </w:p>
    <w:bookmarkEnd w:id="0"/>
    <w:bookmarkEnd w:id="1"/>
    <w:bookmarkEnd w:id="2"/>
    <w:bookmarkEnd w:id="3"/>
    <w:p>
      <w:pPr>
        <w:spacing w:line="360" w:lineRule="auto"/>
        <w:ind w:firstLine="420" w:firstLineChars="200"/>
        <w:outlineLvl w:val="1"/>
        <w:rPr>
          <w:rFonts w:hint="eastAsia" w:ascii="宋体" w:hAnsi="宋体" w:eastAsia="宋体" w:cs="宋体"/>
          <w:sz w:val="21"/>
          <w:szCs w:val="21"/>
          <w:lang w:val="en-US" w:eastAsia="zh-CN"/>
        </w:rPr>
      </w:pPr>
      <w:r>
        <w:rPr>
          <w:rFonts w:hint="eastAsia" w:ascii="宋体" w:hAnsi="宋体" w:eastAsia="宋体" w:cs="宋体"/>
          <w:sz w:val="21"/>
          <w:szCs w:val="21"/>
          <w:lang w:eastAsia="zh-CN"/>
        </w:rPr>
        <w:t>我校</w:t>
      </w:r>
      <w:r>
        <w:rPr>
          <w:rFonts w:hint="eastAsia" w:ascii="宋体" w:hAnsi="宋体" w:eastAsia="宋体" w:cs="宋体"/>
          <w:sz w:val="21"/>
          <w:szCs w:val="21"/>
        </w:rPr>
        <w:t>美术课本采用的是书画版的教材，在</w:t>
      </w:r>
      <w:r>
        <w:rPr>
          <w:rFonts w:hint="eastAsia" w:ascii="宋体" w:hAnsi="宋体" w:eastAsia="宋体" w:cs="宋体"/>
          <w:sz w:val="21"/>
          <w:szCs w:val="21"/>
          <w:lang w:val="en-US" w:eastAsia="zh-CN"/>
        </w:rPr>
        <w:t>2022年</w:t>
      </w:r>
      <w:r>
        <w:rPr>
          <w:rFonts w:hint="eastAsia" w:ascii="宋体" w:hAnsi="宋体" w:eastAsia="宋体" w:cs="宋体"/>
          <w:sz w:val="21"/>
          <w:szCs w:val="21"/>
        </w:rPr>
        <w:t>新课标</w:t>
      </w:r>
      <w:r>
        <w:rPr>
          <w:rFonts w:hint="eastAsia" w:ascii="宋体" w:hAnsi="宋体" w:eastAsia="宋体" w:cs="宋体"/>
          <w:sz w:val="21"/>
          <w:szCs w:val="21"/>
          <w:lang w:val="en-US" w:eastAsia="zh-CN"/>
        </w:rPr>
        <w:t>思想指导</w:t>
      </w:r>
      <w:r>
        <w:rPr>
          <w:rFonts w:hint="eastAsia" w:ascii="宋体" w:hAnsi="宋体" w:eastAsia="宋体" w:cs="宋体"/>
          <w:sz w:val="21"/>
          <w:szCs w:val="21"/>
        </w:rPr>
        <w:t>下的美术教材不再只是停留在</w:t>
      </w:r>
      <w:r>
        <w:rPr>
          <w:rFonts w:hint="eastAsia" w:ascii="宋体" w:hAnsi="宋体" w:eastAsia="宋体" w:cs="宋体"/>
          <w:sz w:val="21"/>
          <w:szCs w:val="21"/>
          <w:lang w:val="en-US" w:eastAsia="zh-CN"/>
        </w:rPr>
        <w:t>欣赏与</w:t>
      </w:r>
      <w:r>
        <w:rPr>
          <w:rFonts w:hint="eastAsia" w:ascii="宋体" w:hAnsi="宋体" w:eastAsia="宋体" w:cs="宋体"/>
          <w:sz w:val="21"/>
          <w:szCs w:val="21"/>
        </w:rPr>
        <w:t>绘画这一层面，也</w:t>
      </w:r>
      <w:r>
        <w:rPr>
          <w:rFonts w:hint="eastAsia" w:ascii="宋体" w:hAnsi="宋体" w:eastAsia="宋体" w:cs="宋体"/>
          <w:sz w:val="21"/>
          <w:szCs w:val="21"/>
          <w:lang w:val="en-US" w:eastAsia="zh-CN"/>
        </w:rPr>
        <w:t>十分</w:t>
      </w:r>
      <w:r>
        <w:rPr>
          <w:rFonts w:hint="eastAsia" w:ascii="宋体" w:hAnsi="宋体" w:eastAsia="宋体" w:cs="宋体"/>
          <w:sz w:val="21"/>
          <w:szCs w:val="21"/>
        </w:rPr>
        <w:t>注重“</w:t>
      </w:r>
      <w:r>
        <w:rPr>
          <w:rFonts w:hint="eastAsia" w:ascii="宋体" w:hAnsi="宋体" w:eastAsia="宋体" w:cs="宋体"/>
          <w:sz w:val="21"/>
          <w:szCs w:val="21"/>
          <w:lang w:val="en-US" w:eastAsia="zh-CN"/>
        </w:rPr>
        <w:t>设计</w:t>
      </w:r>
      <w:r>
        <w:rPr>
          <w:rFonts w:hint="eastAsia" w:ascii="宋体" w:hAnsi="宋体" w:eastAsia="宋体" w:cs="宋体"/>
          <w:sz w:val="21"/>
          <w:szCs w:val="21"/>
        </w:rPr>
        <w:t>•</w:t>
      </w:r>
      <w:r>
        <w:rPr>
          <w:rFonts w:hint="eastAsia" w:ascii="宋体" w:hAnsi="宋体" w:eastAsia="宋体" w:cs="宋体"/>
          <w:sz w:val="21"/>
          <w:szCs w:val="21"/>
          <w:lang w:val="en-US" w:eastAsia="zh-CN"/>
        </w:rPr>
        <w:t>应用</w:t>
      </w:r>
      <w:r>
        <w:rPr>
          <w:rFonts w:hint="eastAsia" w:ascii="宋体" w:hAnsi="宋体" w:eastAsia="宋体" w:cs="宋体"/>
          <w:sz w:val="21"/>
          <w:szCs w:val="21"/>
        </w:rPr>
        <w:t>”这一学习领域</w:t>
      </w:r>
      <w:r>
        <w:rPr>
          <w:rFonts w:hint="eastAsia" w:ascii="宋体" w:hAnsi="宋体" w:eastAsia="宋体" w:cs="宋体"/>
          <w:sz w:val="21"/>
          <w:szCs w:val="21"/>
          <w:lang w:eastAsia="zh-CN"/>
        </w:rPr>
        <w:t>。</w:t>
      </w:r>
      <w:r>
        <w:rPr>
          <w:rFonts w:hint="eastAsia" w:ascii="楷体" w:hAnsi="楷体" w:eastAsia="楷体" w:cs="楷体"/>
          <w:i/>
          <w:iCs/>
          <w:sz w:val="21"/>
          <w:szCs w:val="21"/>
          <w:lang w:val="en-US" w:eastAsia="zh-CN"/>
        </w:rPr>
        <w:t>这一学习领域重在发展学生的创新思维，通过设计、工艺等艺术实践活动，培养学生发现与解决问题的创意实践能力，进行传承与创造</w:t>
      </w:r>
      <w:r>
        <w:rPr>
          <w:rFonts w:hint="eastAsia" w:ascii="宋体" w:hAnsi="宋体" w:eastAsia="宋体" w:cs="宋体"/>
          <w:sz w:val="21"/>
          <w:szCs w:val="21"/>
          <w:vertAlign w:val="superscript"/>
          <w:lang w:val="en-US" w:eastAsia="zh-CN"/>
        </w:rPr>
        <w:fldChar w:fldCharType="begin"/>
      </w:r>
      <w:r>
        <w:rPr>
          <w:rFonts w:hint="eastAsia" w:ascii="宋体" w:hAnsi="宋体" w:eastAsia="宋体" w:cs="宋体"/>
          <w:sz w:val="21"/>
          <w:szCs w:val="21"/>
          <w:vertAlign w:val="superscript"/>
          <w:lang w:val="en-US" w:eastAsia="zh-CN"/>
        </w:rPr>
        <w:instrText xml:space="preserve"> XE "[1]" </w:instrText>
      </w:r>
      <w:r>
        <w:rPr>
          <w:rFonts w:hint="eastAsia" w:ascii="宋体" w:hAnsi="宋体" w:eastAsia="宋体" w:cs="宋体"/>
          <w:sz w:val="21"/>
          <w:szCs w:val="21"/>
          <w:vertAlign w:val="superscript"/>
          <w:lang w:val="en-US" w:eastAsia="zh-CN"/>
        </w:rPr>
        <w:fldChar w:fldCharType="end"/>
      </w:r>
      <w:r>
        <w:rPr>
          <w:rFonts w:hint="eastAsia" w:ascii="宋体" w:hAnsi="宋体" w:eastAsia="宋体" w:cs="宋体"/>
          <w:sz w:val="21"/>
          <w:szCs w:val="21"/>
          <w:lang w:val="en-US" w:eastAsia="zh-CN"/>
        </w:rPr>
        <w:t>。</w:t>
      </w:r>
      <w:r>
        <w:rPr>
          <w:rStyle w:val="7"/>
          <w:rFonts w:hint="eastAsia" w:ascii="宋体" w:hAnsi="宋体" w:eastAsia="宋体" w:cs="宋体"/>
          <w:sz w:val="21"/>
          <w:szCs w:val="21"/>
          <w:lang w:val="en-US" w:eastAsia="zh-CN"/>
        </w:rPr>
        <w:footnoteReference w:id="0"/>
      </w:r>
    </w:p>
    <w:p>
      <w:pPr>
        <w:spacing w:line="360" w:lineRule="auto"/>
        <w:ind w:firstLine="420" w:firstLineChars="200"/>
        <w:outlineLvl w:val="1"/>
        <w:rPr>
          <w:rFonts w:hint="eastAsia" w:ascii="宋体" w:hAnsi="宋体" w:eastAsia="宋体" w:cs="宋体"/>
          <w:sz w:val="21"/>
          <w:szCs w:val="21"/>
        </w:rPr>
      </w:pPr>
      <w:r>
        <w:rPr>
          <w:rFonts w:hint="eastAsia" w:ascii="宋体" w:hAnsi="宋体" w:eastAsia="宋体" w:cs="宋体"/>
          <w:sz w:val="21"/>
          <w:szCs w:val="21"/>
          <w:lang w:val="en-US" w:eastAsia="zh-CN"/>
        </w:rPr>
        <w:t>例如在</w:t>
      </w:r>
      <w:r>
        <w:rPr>
          <w:rFonts w:hint="eastAsia" w:ascii="宋体" w:hAnsi="宋体" w:eastAsia="宋体" w:cs="宋体"/>
          <w:sz w:val="21"/>
          <w:szCs w:val="21"/>
        </w:rPr>
        <w:t>上海书画版教材二年级第二课《滚印真有趣》中</w:t>
      </w:r>
      <w:r>
        <w:rPr>
          <w:rFonts w:hint="eastAsia" w:ascii="宋体" w:hAnsi="宋体" w:eastAsia="宋体" w:cs="宋体"/>
          <w:sz w:val="21"/>
          <w:szCs w:val="21"/>
          <w:lang w:eastAsia="zh-CN"/>
        </w:rPr>
        <w:t>，</w:t>
      </w:r>
      <w:r>
        <w:rPr>
          <w:rFonts w:hint="eastAsia" w:ascii="宋体" w:hAnsi="宋体" w:eastAsia="宋体" w:cs="宋体"/>
          <w:sz w:val="21"/>
          <w:szCs w:val="21"/>
        </w:rPr>
        <w:t>让学生尝试用各色各样的工具（图1）来滚印出不同的印记，之后再添印添画让其成为花纹纸，最后可以利用这些花纹</w:t>
      </w:r>
      <w:r>
        <w:rPr>
          <w:rFonts w:hint="eastAsia" w:ascii="宋体" w:hAnsi="宋体" w:eastAsia="宋体" w:cs="宋体"/>
          <w:sz w:val="21"/>
          <w:szCs w:val="21"/>
          <w:lang w:val="en-US" w:eastAsia="zh-CN"/>
        </w:rPr>
        <w:t>纸</w:t>
      </w:r>
      <w:r>
        <w:rPr>
          <w:rFonts w:hint="eastAsia" w:ascii="宋体" w:hAnsi="宋体" w:eastAsia="宋体" w:cs="宋体"/>
          <w:sz w:val="21"/>
          <w:szCs w:val="21"/>
        </w:rPr>
        <w:t>放置在不同的地方起到装饰的作用。这其中学生可以选择和尝试使用不同的工具来进行创作，例如滚筒、弹珠、饮料瓶等，都可以作为创作工具，以此来造出不同肌理的效果。在设计过程中，可以加入添画、剪贴等多种方法综合应用，使作品（图2）更加丰富。</w:t>
      </w:r>
    </w:p>
    <w:p>
      <w:pPr>
        <w:spacing w:line="360" w:lineRule="auto"/>
        <w:outlineLvl w:val="9"/>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59264" behindDoc="0" locked="0" layoutInCell="1" allowOverlap="1">
            <wp:simplePos x="0" y="0"/>
            <wp:positionH relativeFrom="column">
              <wp:posOffset>3743960</wp:posOffset>
            </wp:positionH>
            <wp:positionV relativeFrom="paragraph">
              <wp:posOffset>21590</wp:posOffset>
            </wp:positionV>
            <wp:extent cx="1288415" cy="1724660"/>
            <wp:effectExtent l="0" t="0" r="6985" b="12700"/>
            <wp:wrapNone/>
            <wp:docPr id="10" name="图片 10" descr="微信图片_20180314160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180314160915"/>
                    <pic:cNvPicPr>
                      <a:picLocks noChangeAspect="1"/>
                    </pic:cNvPicPr>
                  </pic:nvPicPr>
                  <pic:blipFill>
                    <a:blip r:embed="rId5"/>
                    <a:srcRect r="-534" b="6872"/>
                    <a:stretch>
                      <a:fillRect/>
                    </a:stretch>
                  </pic:blipFill>
                  <pic:spPr>
                    <a:xfrm>
                      <a:off x="0" y="0"/>
                      <a:ext cx="1288415" cy="1724660"/>
                    </a:xfrm>
                    <a:prstGeom prst="rect">
                      <a:avLst/>
                    </a:prstGeom>
                  </pic:spPr>
                </pic:pic>
              </a:graphicData>
            </a:graphic>
          </wp:anchor>
        </w:drawing>
      </w:r>
      <w:r>
        <w:rPr>
          <w:rFonts w:hint="eastAsia" w:ascii="宋体" w:hAnsi="宋体" w:eastAsia="宋体" w:cs="宋体"/>
          <w:sz w:val="21"/>
          <w:szCs w:val="21"/>
        </w:rPr>
        <w:drawing>
          <wp:anchor distT="0" distB="0" distL="114300" distR="114300" simplePos="0" relativeHeight="251660288" behindDoc="0" locked="0" layoutInCell="1" allowOverlap="1">
            <wp:simplePos x="0" y="0"/>
            <wp:positionH relativeFrom="column">
              <wp:posOffset>2466975</wp:posOffset>
            </wp:positionH>
            <wp:positionV relativeFrom="paragraph">
              <wp:posOffset>20955</wp:posOffset>
            </wp:positionV>
            <wp:extent cx="1303020" cy="1722755"/>
            <wp:effectExtent l="0" t="0" r="7620" b="14605"/>
            <wp:wrapNone/>
            <wp:docPr id="3" name="图片 3" descr="微信图片_2018031416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180314160909"/>
                    <pic:cNvPicPr>
                      <a:picLocks noChangeAspect="1"/>
                    </pic:cNvPicPr>
                  </pic:nvPicPr>
                  <pic:blipFill>
                    <a:blip r:embed="rId6"/>
                    <a:srcRect b="5535"/>
                    <a:stretch>
                      <a:fillRect/>
                    </a:stretch>
                  </pic:blipFill>
                  <pic:spPr>
                    <a:xfrm>
                      <a:off x="0" y="0"/>
                      <a:ext cx="1303020" cy="1722755"/>
                    </a:xfrm>
                    <a:prstGeom prst="rect">
                      <a:avLst/>
                    </a:prstGeom>
                  </pic:spPr>
                </pic:pic>
              </a:graphicData>
            </a:graphic>
          </wp:anchor>
        </w:drawing>
      </w:r>
      <w:r>
        <w:rPr>
          <w:rFonts w:hint="eastAsia" w:ascii="宋体" w:hAnsi="宋体" w:eastAsia="宋体" w:cs="宋体"/>
          <w:sz w:val="21"/>
          <w:szCs w:val="21"/>
        </w:rPr>
        <w:drawing>
          <wp:inline distT="0" distB="0" distL="114300" distR="114300">
            <wp:extent cx="2366645" cy="1726565"/>
            <wp:effectExtent l="0" t="0" r="10795" b="10795"/>
            <wp:docPr id="1" name="图片 1" descr="微信图片_20180314160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180314160843"/>
                    <pic:cNvPicPr>
                      <a:picLocks noChangeAspect="1"/>
                    </pic:cNvPicPr>
                  </pic:nvPicPr>
                  <pic:blipFill>
                    <a:blip r:embed="rId7"/>
                    <a:stretch>
                      <a:fillRect/>
                    </a:stretch>
                  </pic:blipFill>
                  <pic:spPr>
                    <a:xfrm>
                      <a:off x="0" y="0"/>
                      <a:ext cx="2366645" cy="1726565"/>
                    </a:xfrm>
                    <a:prstGeom prst="rect">
                      <a:avLst/>
                    </a:prstGeom>
                  </pic:spPr>
                </pic:pic>
              </a:graphicData>
            </a:graphic>
          </wp:inline>
        </w:drawing>
      </w:r>
    </w:p>
    <w:p>
      <w:pPr>
        <w:spacing w:line="360" w:lineRule="auto"/>
        <w:outlineLvl w:val="2"/>
        <w:rPr>
          <w:rFonts w:hint="eastAsia" w:ascii="宋体" w:hAnsi="宋体" w:eastAsia="宋体" w:cs="宋体"/>
          <w:b/>
          <w:bCs/>
          <w:i w:val="0"/>
          <w:iCs w:val="0"/>
          <w:sz w:val="21"/>
          <w:szCs w:val="21"/>
        </w:rPr>
      </w:pPr>
      <w:r>
        <w:rPr>
          <w:rFonts w:hint="eastAsia" w:ascii="宋体" w:hAnsi="宋体" w:eastAsia="宋体" w:cs="宋体"/>
          <w:sz w:val="21"/>
          <w:szCs w:val="21"/>
        </w:rPr>
        <w:t xml:space="preserve">   </w:t>
      </w:r>
      <w:r>
        <w:rPr>
          <w:rFonts w:hint="eastAsia" w:ascii="宋体" w:hAnsi="宋体" w:eastAsia="宋体" w:cs="宋体"/>
          <w:b/>
          <w:bCs/>
          <w:i w:val="0"/>
          <w:iCs w:val="0"/>
          <w:sz w:val="21"/>
          <w:szCs w:val="21"/>
        </w:rPr>
        <w:t xml:space="preserve"> 图1  各式各样的滚印工具       </w:t>
      </w:r>
      <w:r>
        <w:rPr>
          <w:rFonts w:hint="eastAsia" w:ascii="宋体" w:hAnsi="宋体" w:cs="宋体"/>
          <w:b/>
          <w:bCs/>
          <w:i w:val="0"/>
          <w:iCs w:val="0"/>
          <w:sz w:val="21"/>
          <w:szCs w:val="21"/>
          <w:lang w:val="en-US" w:eastAsia="zh-CN"/>
        </w:rPr>
        <w:t xml:space="preserve">      </w:t>
      </w:r>
      <w:r>
        <w:rPr>
          <w:rFonts w:hint="eastAsia" w:ascii="宋体" w:hAnsi="宋体" w:eastAsia="宋体" w:cs="宋体"/>
          <w:b/>
          <w:bCs/>
          <w:i w:val="0"/>
          <w:iCs w:val="0"/>
          <w:sz w:val="21"/>
          <w:szCs w:val="21"/>
        </w:rPr>
        <w:t xml:space="preserve"> 图2 玻璃弹子滚印的蛇和纸笔筒</w:t>
      </w:r>
    </w:p>
    <w:p>
      <w:pPr>
        <w:spacing w:line="360" w:lineRule="auto"/>
        <w:ind w:firstLine="420" w:firstLineChars="200"/>
        <w:outlineLvl w:val="1"/>
        <w:rPr>
          <w:rFonts w:hint="eastAsia" w:ascii="宋体" w:hAnsi="宋体" w:eastAsia="宋体" w:cs="宋体"/>
          <w:sz w:val="21"/>
          <w:szCs w:val="21"/>
        </w:rPr>
      </w:pPr>
      <w:r>
        <w:rPr>
          <w:rFonts w:hint="eastAsia" w:ascii="宋体" w:hAnsi="宋体" w:eastAsia="宋体" w:cs="宋体"/>
          <w:sz w:val="21"/>
          <w:szCs w:val="21"/>
        </w:rPr>
        <w:t>在《会飞的玩具》</w:t>
      </w:r>
      <w:r>
        <w:rPr>
          <w:rFonts w:hint="eastAsia" w:ascii="宋体" w:hAnsi="宋体" w:cs="宋体"/>
          <w:sz w:val="21"/>
          <w:szCs w:val="21"/>
          <w:lang w:val="en-US" w:eastAsia="zh-CN"/>
        </w:rPr>
        <w:t>一课</w:t>
      </w:r>
      <w:r>
        <w:rPr>
          <w:rFonts w:hint="eastAsia" w:ascii="宋体" w:hAnsi="宋体" w:eastAsia="宋体" w:cs="宋体"/>
          <w:sz w:val="21"/>
          <w:szCs w:val="21"/>
        </w:rPr>
        <w:t>中，课本里</w:t>
      </w:r>
      <w:r>
        <w:rPr>
          <w:rFonts w:hint="eastAsia" w:ascii="宋体" w:hAnsi="宋体" w:eastAsia="宋体" w:cs="宋体"/>
          <w:sz w:val="21"/>
          <w:szCs w:val="21"/>
          <w:lang w:val="en-US" w:eastAsia="zh-CN"/>
        </w:rPr>
        <w:t>也</w:t>
      </w:r>
      <w:r>
        <w:rPr>
          <w:rFonts w:hint="eastAsia" w:ascii="宋体" w:hAnsi="宋体" w:eastAsia="宋体" w:cs="宋体"/>
          <w:sz w:val="21"/>
          <w:szCs w:val="21"/>
        </w:rPr>
        <w:t>出现了大量生活中的废旧材料，例如牛奶盒、酸奶杯和一次性筷子等。</w:t>
      </w:r>
      <w:r>
        <w:rPr>
          <w:rFonts w:hint="eastAsia" w:ascii="宋体" w:hAnsi="宋体" w:eastAsia="宋体" w:cs="宋体"/>
          <w:sz w:val="21"/>
          <w:szCs w:val="21"/>
          <w:lang w:val="en-US" w:eastAsia="zh-CN"/>
        </w:rPr>
        <w:t>在</w:t>
      </w:r>
      <w:r>
        <w:rPr>
          <w:rFonts w:hint="eastAsia" w:ascii="宋体" w:hAnsi="宋体" w:eastAsia="宋体" w:cs="宋体"/>
          <w:sz w:val="21"/>
          <w:szCs w:val="21"/>
        </w:rPr>
        <w:t>这节教材中，教师</w:t>
      </w:r>
      <w:r>
        <w:rPr>
          <w:rFonts w:hint="eastAsia" w:ascii="宋体" w:hAnsi="宋体" w:eastAsia="宋体" w:cs="宋体"/>
          <w:sz w:val="21"/>
          <w:szCs w:val="21"/>
          <w:lang w:val="en-US" w:eastAsia="zh-CN"/>
        </w:rPr>
        <w:t>需要</w:t>
      </w:r>
      <w:r>
        <w:rPr>
          <w:rFonts w:hint="eastAsia" w:ascii="宋体" w:hAnsi="宋体" w:eastAsia="宋体" w:cs="宋体"/>
          <w:sz w:val="21"/>
          <w:szCs w:val="21"/>
        </w:rPr>
        <w:t>引导学生充分利用起身边的废旧材料，将其通过剪贴、拼搭来制作会飞的玩具（图3）。</w:t>
      </w:r>
      <w:r>
        <w:rPr>
          <w:rFonts w:hint="eastAsia" w:ascii="宋体" w:hAnsi="宋体" w:eastAsia="宋体" w:cs="宋体"/>
          <w:sz w:val="21"/>
          <w:szCs w:val="21"/>
          <w:lang w:val="en-US" w:eastAsia="zh-CN"/>
        </w:rPr>
        <w:t>另外，</w:t>
      </w:r>
      <w:r>
        <w:rPr>
          <w:rFonts w:hint="eastAsia" w:ascii="宋体" w:hAnsi="宋体" w:eastAsia="宋体" w:cs="宋体"/>
          <w:sz w:val="21"/>
          <w:szCs w:val="21"/>
        </w:rPr>
        <w:t>教师在做教具的时候</w:t>
      </w:r>
      <w:r>
        <w:rPr>
          <w:rFonts w:hint="eastAsia" w:ascii="宋体" w:hAnsi="宋体" w:eastAsia="宋体" w:cs="宋体"/>
          <w:sz w:val="21"/>
          <w:szCs w:val="21"/>
          <w:lang w:val="en-US" w:eastAsia="zh-CN"/>
        </w:rPr>
        <w:t>也</w:t>
      </w:r>
      <w:r>
        <w:rPr>
          <w:rFonts w:hint="eastAsia" w:ascii="宋体" w:hAnsi="宋体" w:eastAsia="宋体" w:cs="宋体"/>
          <w:sz w:val="21"/>
          <w:szCs w:val="21"/>
        </w:rPr>
        <w:t>要注重和学生的互动以及飞行原理的讲解，以此来激发学生对废旧材料改造的积极性和热情。</w:t>
      </w:r>
      <w:bookmarkStart w:id="4" w:name="_Toc26081"/>
      <w:bookmarkStart w:id="5" w:name="_Toc32412"/>
    </w:p>
    <w:p>
      <w:pPr>
        <w:spacing w:line="360" w:lineRule="auto"/>
        <w:outlineLvl w:val="9"/>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2336" behindDoc="1" locked="0" layoutInCell="1" allowOverlap="1">
            <wp:simplePos x="0" y="0"/>
            <wp:positionH relativeFrom="column">
              <wp:posOffset>2664460</wp:posOffset>
            </wp:positionH>
            <wp:positionV relativeFrom="paragraph">
              <wp:posOffset>194945</wp:posOffset>
            </wp:positionV>
            <wp:extent cx="2433955" cy="1213485"/>
            <wp:effectExtent l="0" t="0" r="4445" b="5715"/>
            <wp:wrapThrough wrapText="bothSides">
              <wp:wrapPolygon>
                <wp:start x="0" y="0"/>
                <wp:lineTo x="0" y="21430"/>
                <wp:lineTo x="21504" y="21430"/>
                <wp:lineTo x="21504" y="0"/>
                <wp:lineTo x="0" y="0"/>
              </wp:wrapPolygon>
            </wp:wrapThrough>
            <wp:docPr id="12" name="图片 12" descr="微信图片_2018031416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180314160900"/>
                    <pic:cNvPicPr>
                      <a:picLocks noChangeAspect="1"/>
                    </pic:cNvPicPr>
                  </pic:nvPicPr>
                  <pic:blipFill>
                    <a:blip r:embed="rId8"/>
                    <a:stretch>
                      <a:fillRect/>
                    </a:stretch>
                  </pic:blipFill>
                  <pic:spPr>
                    <a:xfrm>
                      <a:off x="0" y="0"/>
                      <a:ext cx="2433955" cy="1213485"/>
                    </a:xfrm>
                    <a:prstGeom prst="rect">
                      <a:avLst/>
                    </a:prstGeom>
                  </pic:spPr>
                </pic:pic>
              </a:graphicData>
            </a:graphic>
          </wp:anchor>
        </w:drawing>
      </w:r>
      <w:r>
        <w:rPr>
          <w:rFonts w:hint="eastAsia" w:ascii="宋体" w:hAnsi="宋体" w:eastAsia="宋体" w:cs="宋体"/>
          <w:sz w:val="21"/>
          <w:szCs w:val="21"/>
        </w:rPr>
        <w:drawing>
          <wp:anchor distT="0" distB="0" distL="114300" distR="114300" simplePos="0" relativeHeight="251661312" behindDoc="1" locked="0" layoutInCell="1" allowOverlap="1">
            <wp:simplePos x="0" y="0"/>
            <wp:positionH relativeFrom="column">
              <wp:posOffset>237490</wp:posOffset>
            </wp:positionH>
            <wp:positionV relativeFrom="paragraph">
              <wp:posOffset>183515</wp:posOffset>
            </wp:positionV>
            <wp:extent cx="2247265" cy="1224280"/>
            <wp:effectExtent l="0" t="0" r="8255" b="10160"/>
            <wp:wrapThrough wrapText="bothSides">
              <wp:wrapPolygon>
                <wp:start x="0" y="0"/>
                <wp:lineTo x="0" y="21241"/>
                <wp:lineTo x="21386" y="21241"/>
                <wp:lineTo x="21386" y="0"/>
                <wp:lineTo x="0" y="0"/>
              </wp:wrapPolygon>
            </wp:wrapThrough>
            <wp:docPr id="11" name="图片 11" descr="微信图片_2018031416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180314160905"/>
                    <pic:cNvPicPr>
                      <a:picLocks noChangeAspect="1"/>
                    </pic:cNvPicPr>
                  </pic:nvPicPr>
                  <pic:blipFill>
                    <a:blip r:embed="rId9"/>
                    <a:stretch>
                      <a:fillRect/>
                    </a:stretch>
                  </pic:blipFill>
                  <pic:spPr>
                    <a:xfrm>
                      <a:off x="0" y="0"/>
                      <a:ext cx="2247265" cy="1224280"/>
                    </a:xfrm>
                    <a:prstGeom prst="rect">
                      <a:avLst/>
                    </a:prstGeom>
                  </pic:spPr>
                </pic:pic>
              </a:graphicData>
            </a:graphic>
          </wp:anchor>
        </w:drawing>
      </w:r>
      <w:bookmarkEnd w:id="4"/>
      <w:bookmarkEnd w:id="5"/>
    </w:p>
    <w:p>
      <w:pPr>
        <w:spacing w:line="360" w:lineRule="auto"/>
        <w:outlineLvl w:val="9"/>
        <w:rPr>
          <w:rFonts w:hint="eastAsia" w:ascii="宋体" w:hAnsi="宋体" w:eastAsia="宋体" w:cs="宋体"/>
          <w:sz w:val="21"/>
          <w:szCs w:val="21"/>
          <w:lang w:val="en-US" w:eastAsia="zh-CN"/>
        </w:rPr>
      </w:pPr>
    </w:p>
    <w:p>
      <w:pPr>
        <w:spacing w:line="360" w:lineRule="auto"/>
        <w:outlineLvl w:val="9"/>
        <w:rPr>
          <w:rFonts w:hint="eastAsia" w:ascii="宋体" w:hAnsi="宋体" w:eastAsia="宋体" w:cs="宋体"/>
          <w:sz w:val="21"/>
          <w:szCs w:val="21"/>
          <w:lang w:eastAsia="zh-CN"/>
        </w:rPr>
      </w:pPr>
    </w:p>
    <w:p>
      <w:pPr>
        <w:spacing w:line="360" w:lineRule="auto"/>
        <w:ind w:firstLine="1265" w:firstLineChars="600"/>
        <w:outlineLvl w:val="2"/>
        <w:rPr>
          <w:rFonts w:hint="default" w:ascii="宋体" w:hAnsi="宋体" w:eastAsia="宋体" w:cs="宋体"/>
          <w:b/>
          <w:bCs/>
          <w:sz w:val="21"/>
          <w:szCs w:val="21"/>
          <w:lang w:val="en-US" w:eastAsia="zh-CN"/>
        </w:rPr>
      </w:pPr>
      <w:r>
        <w:rPr>
          <w:rFonts w:hint="eastAsia" w:ascii="宋体" w:hAnsi="宋体" w:eastAsia="宋体" w:cs="宋体"/>
          <w:b/>
          <w:bCs/>
          <w:sz w:val="21"/>
          <w:szCs w:val="21"/>
        </w:rPr>
        <w:t>图</w:t>
      </w:r>
      <w:r>
        <w:rPr>
          <w:rFonts w:hint="eastAsia" w:ascii="宋体" w:hAnsi="宋体" w:eastAsia="宋体" w:cs="宋体"/>
          <w:b/>
          <w:bCs/>
          <w:sz w:val="21"/>
          <w:szCs w:val="21"/>
          <w:lang w:val="en-US" w:eastAsia="zh-CN"/>
        </w:rPr>
        <w:t>3</w:t>
      </w:r>
      <w:r>
        <w:rPr>
          <w:rFonts w:hint="eastAsia" w:ascii="宋体" w:hAnsi="宋体" w:cs="宋体"/>
          <w:b/>
          <w:bCs/>
          <w:sz w:val="21"/>
          <w:szCs w:val="21"/>
          <w:lang w:val="en-US" w:eastAsia="zh-CN"/>
        </w:rPr>
        <w:t xml:space="preserve"> 用纸板制作的飞机               图4 用废饭盒制作的飞机</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right="0" w:rightChars="0"/>
        <w:jc w:val="both"/>
        <w:textAlignment w:val="auto"/>
        <w:outlineLvl w:val="1"/>
        <w:rPr>
          <w:rFonts w:hint="eastAsia" w:ascii="宋体" w:hAnsi="宋体" w:eastAsia="宋体" w:cs="宋体"/>
          <w:b/>
          <w:bCs/>
          <w:sz w:val="21"/>
          <w:szCs w:val="21"/>
          <w:lang w:val="en-US" w:eastAsia="zh-CN"/>
        </w:rPr>
      </w:pPr>
      <w:bookmarkStart w:id="6" w:name="_Toc17677"/>
      <w:bookmarkStart w:id="7" w:name="_Toc27562"/>
      <w:bookmarkStart w:id="8" w:name="_Toc4595"/>
      <w:bookmarkStart w:id="9" w:name="_Toc28160"/>
      <w:r>
        <w:rPr>
          <w:rFonts w:hint="eastAsia" w:ascii="宋体" w:hAnsi="宋体" w:eastAsia="宋体" w:cs="宋体"/>
          <w:b/>
          <w:bCs/>
          <w:sz w:val="21"/>
          <w:szCs w:val="21"/>
          <w:lang w:val="en-US" w:eastAsia="zh-CN"/>
        </w:rPr>
        <w:t>多样化材料在小学美术课堂运用现状分析</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校对于美术学习的重视程度还是比较高的，但是由于课时相对来说比较短，且课程标配的材料是有限的。大多时候还是以绘画为主，导致部分学生疲于上单纯的欣赏或绘画课，从而造成对美术课的学习感到无趣，越来越懈怠和消极。</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为了清楚我校的学生对于使用不同材料进行美术创作的兴趣以及学校里设立的美术综合材料课程的情感态度，笔者抽取本校三年级随机200位学生进行了抽样问卷调查，最后结果如下（按照人数的百分比统计）：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 xml:space="preserve">表1 </w:t>
      </w:r>
      <w:r>
        <w:rPr>
          <w:rFonts w:hint="eastAsia" w:ascii="宋体" w:hAnsi="宋体" w:eastAsia="宋体" w:cs="宋体"/>
          <w:b/>
          <w:bCs/>
          <w:sz w:val="21"/>
          <w:szCs w:val="21"/>
          <w:lang w:val="en-US" w:eastAsia="zh-CN"/>
        </w:rPr>
        <w:t>生活中的物品用来美术创作的喜欢程度分析</w:t>
      </w:r>
    </w:p>
    <w:p>
      <w:pPr>
        <w:numPr>
          <w:ilvl w:val="0"/>
          <w:numId w:val="0"/>
        </w:numPr>
        <w:jc w:val="center"/>
        <w:rPr>
          <w:rFonts w:hint="eastAsia"/>
          <w:lang w:val="en-US" w:eastAsia="zh-CN"/>
        </w:rPr>
      </w:pPr>
      <w:r>
        <w:drawing>
          <wp:inline distT="0" distB="0" distL="114300" distR="114300">
            <wp:extent cx="3441700" cy="2230755"/>
            <wp:effectExtent l="6350" t="6350" r="11430" b="18415"/>
            <wp:docPr id="1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cs="宋体"/>
          <w:b/>
          <w:bCs/>
          <w:sz w:val="21"/>
          <w:szCs w:val="21"/>
          <w:lang w:val="en-US" w:eastAsia="zh-CN"/>
        </w:rPr>
      </w:pPr>
      <w:r>
        <w:rPr>
          <w:rFonts w:hint="eastAsia" w:ascii="宋体" w:hAnsi="宋体" w:cs="宋体"/>
          <w:b/>
          <w:bCs/>
          <w:sz w:val="21"/>
          <w:szCs w:val="21"/>
          <w:lang w:val="en-US" w:eastAsia="zh-CN"/>
        </w:rPr>
        <w:t>表2 落叶、小石头以及废旧材料来美术创作的接受程度分析</w:t>
      </w:r>
    </w:p>
    <w:p>
      <w:pPr>
        <w:jc w:val="center"/>
        <w:rPr>
          <w:rFonts w:hint="eastAsia"/>
          <w:b/>
          <w:bCs/>
          <w:color w:val="5B9BD5" w:themeColor="accent1"/>
          <w:sz w:val="28"/>
          <w:szCs w:val="36"/>
          <w:lang w:val="en-US" w:eastAsia="zh-CN"/>
          <w14:textFill>
            <w14:solidFill>
              <w14:schemeClr w14:val="accent1"/>
            </w14:solidFill>
          </w14:textFill>
        </w:rPr>
      </w:pPr>
      <w:r>
        <w:rPr>
          <w:rFonts w:hint="eastAsia"/>
          <w:b/>
          <w:bCs/>
          <w:color w:val="5B9BD5" w:themeColor="accent1"/>
          <w:sz w:val="28"/>
          <w:szCs w:val="36"/>
          <w:lang w:val="en-US" w:eastAsia="zh-CN"/>
          <w14:textFill>
            <w14:solidFill>
              <w14:schemeClr w14:val="accent1"/>
            </w14:solidFill>
          </w14:textFill>
        </w:rPr>
        <w:drawing>
          <wp:inline distT="0" distB="0" distL="114300" distR="114300">
            <wp:extent cx="2582545" cy="1821815"/>
            <wp:effectExtent l="6350" t="6350" r="17145" b="1587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cs="宋体"/>
          <w:b/>
          <w:bCs/>
          <w:sz w:val="21"/>
          <w:szCs w:val="21"/>
          <w:lang w:val="en-US" w:eastAsia="zh-CN"/>
        </w:rPr>
      </w:pPr>
      <w:r>
        <w:rPr>
          <w:rFonts w:hint="eastAsia" w:ascii="宋体" w:hAnsi="宋体" w:cs="宋体"/>
          <w:b/>
          <w:bCs/>
          <w:sz w:val="21"/>
          <w:szCs w:val="21"/>
          <w:lang w:val="en-US" w:eastAsia="zh-CN"/>
        </w:rPr>
        <w:t>表3 学生对于准备课堂需用材料的主动性分析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cs="宋体"/>
          <w:b/>
          <w:bCs/>
          <w:sz w:val="21"/>
          <w:szCs w:val="21"/>
          <w:lang w:val="en-US" w:eastAsia="zh-CN"/>
        </w:rPr>
      </w:pPr>
      <w:r>
        <w:rPr>
          <w:rFonts w:hint="eastAsia" w:ascii="宋体" w:hAnsi="宋体" w:cs="宋体"/>
          <w:b/>
          <w:bCs/>
          <w:sz w:val="21"/>
          <w:szCs w:val="21"/>
          <w:lang w:val="en-US" w:eastAsia="zh-CN"/>
        </w:rPr>
        <w:t>表</w:t>
      </w:r>
      <w:r>
        <w:rPr>
          <w:rFonts w:hint="eastAsia" w:ascii="宋体" w:hAnsi="宋体" w:cs="宋体"/>
          <w:b/>
          <w:bCs/>
          <w:sz w:val="21"/>
          <w:szCs w:val="21"/>
          <w:lang w:val="en-US" w:eastAsia="zh-CN"/>
        </w:rPr>
        <w:drawing>
          <wp:anchor distT="0" distB="0" distL="114300" distR="114300" simplePos="0" relativeHeight="251663360" behindDoc="0" locked="0" layoutInCell="1" allowOverlap="1">
            <wp:simplePos x="0" y="0"/>
            <wp:positionH relativeFrom="column">
              <wp:posOffset>1369695</wp:posOffset>
            </wp:positionH>
            <wp:positionV relativeFrom="paragraph">
              <wp:posOffset>107950</wp:posOffset>
            </wp:positionV>
            <wp:extent cx="2531745" cy="1387475"/>
            <wp:effectExtent l="6350" t="6350" r="6985" b="8255"/>
            <wp:wrapTopAndBottom/>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宋体" w:hAnsi="宋体" w:cs="宋体"/>
          <w:b/>
          <w:bCs/>
          <w:sz w:val="21"/>
          <w:szCs w:val="21"/>
          <w:lang w:val="en-US" w:eastAsia="zh-CN"/>
        </w:rPr>
        <w:t>4 对学生更喜欢的美术课形式的分析</w:t>
      </w:r>
    </w:p>
    <w:p>
      <w:pPr>
        <w:jc w:val="center"/>
        <w:rPr>
          <w:rFonts w:hint="eastAsia" w:ascii="宋体" w:hAnsi="宋体" w:eastAsia="宋体" w:cs="宋体"/>
          <w:sz w:val="24"/>
          <w:szCs w:val="24"/>
          <w:lang w:val="en-US" w:eastAsia="zh-CN"/>
        </w:rPr>
      </w:pPr>
      <w:r>
        <w:rPr>
          <w:rFonts w:hint="eastAsia"/>
          <w:lang w:val="en-US" w:eastAsia="zh-CN"/>
        </w:rPr>
        <w:drawing>
          <wp:inline distT="0" distB="0" distL="114300" distR="114300">
            <wp:extent cx="2540000" cy="1739265"/>
            <wp:effectExtent l="6350" t="6350" r="13970" b="698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cs="宋体"/>
          <w:b/>
          <w:bCs/>
          <w:sz w:val="21"/>
          <w:szCs w:val="21"/>
          <w:lang w:val="en-US" w:eastAsia="zh-CN"/>
        </w:rPr>
      </w:pPr>
      <w:r>
        <w:rPr>
          <w:rFonts w:hint="eastAsia" w:ascii="宋体" w:hAnsi="宋体" w:cs="宋体"/>
          <w:b/>
          <w:bCs/>
          <w:sz w:val="21"/>
          <w:szCs w:val="21"/>
          <w:lang w:val="en-US" w:eastAsia="zh-CN"/>
        </w:rPr>
        <w:drawing>
          <wp:anchor distT="0" distB="0" distL="114300" distR="114300" simplePos="0" relativeHeight="251664384" behindDoc="0" locked="0" layoutInCell="1" allowOverlap="1">
            <wp:simplePos x="0" y="0"/>
            <wp:positionH relativeFrom="column">
              <wp:posOffset>387350</wp:posOffset>
            </wp:positionH>
            <wp:positionV relativeFrom="paragraph">
              <wp:posOffset>447675</wp:posOffset>
            </wp:positionV>
            <wp:extent cx="4744085" cy="2510155"/>
            <wp:effectExtent l="6350" t="6350" r="19685" b="13335"/>
            <wp:wrapTopAndBottom/>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宋体" w:hAnsi="宋体" w:cs="宋体"/>
          <w:b/>
          <w:bCs/>
          <w:sz w:val="21"/>
          <w:szCs w:val="21"/>
          <w:lang w:val="en-US" w:eastAsia="zh-CN"/>
        </w:rPr>
        <w:t>表5 学生是否了解美术课上使用废旧材料的意图分析</w:t>
      </w:r>
    </w:p>
    <w:p>
      <w:pPr>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调查结果显示，学生们大部分是愿意去利用一些身边随处可见的物品来加入进自己的美术创作中去的，也说明了他们对于美术创作课非常感兴趣。但也由于现下校内美术课堂上课内容与形式的限制，学生对于综合材料的概念还很懵懂。他们不清楚各种材料汇集在一起如何给作品赋予不同的灵魂，也对利用这些搜集来的材料的制作方法和用处感到陌生。通过调查结果可以看出，比起单纯的绘画欣赏课，过半数的学生还是比较倾向于上综合美术课程的。</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0"/>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综合材料运用在小学美术课堂中存在的问题与对策</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right="0" w:rightChars="0"/>
        <w:textAlignment w:val="auto"/>
        <w:outlineLvl w:val="1"/>
        <w:rPr>
          <w:rFonts w:hint="eastAsia" w:ascii="宋体" w:hAnsi="宋体" w:eastAsia="宋体" w:cs="宋体"/>
          <w:b/>
          <w:bCs/>
          <w:color w:val="auto"/>
          <w:sz w:val="21"/>
          <w:szCs w:val="21"/>
          <w:lang w:val="en-US" w:eastAsia="zh-CN"/>
        </w:rPr>
      </w:pPr>
      <w:bookmarkStart w:id="10" w:name="_Toc12204"/>
      <w:bookmarkStart w:id="11" w:name="_Toc1778"/>
      <w:bookmarkStart w:id="12" w:name="_Toc19232"/>
      <w:bookmarkStart w:id="13" w:name="_Toc11554"/>
      <w:r>
        <w:rPr>
          <w:rFonts w:hint="eastAsia" w:ascii="宋体" w:hAnsi="宋体" w:eastAsia="宋体" w:cs="宋体"/>
          <w:b/>
          <w:bCs/>
          <w:color w:val="auto"/>
          <w:sz w:val="21"/>
          <w:szCs w:val="21"/>
          <w:lang w:val="en-US" w:eastAsia="zh-CN"/>
        </w:rPr>
        <w:t>综合材料运用在小学美术课堂中存在的问题</w:t>
      </w:r>
      <w:bookmarkEnd w:id="10"/>
      <w:bookmarkEnd w:id="11"/>
      <w:bookmarkEnd w:id="12"/>
      <w:bookmarkEnd w:id="13"/>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right="0" w:rightChars="0"/>
        <w:textAlignment w:val="auto"/>
        <w:outlineLvl w:val="2"/>
        <w:rPr>
          <w:rFonts w:hint="eastAsia" w:ascii="宋体" w:hAnsi="宋体" w:eastAsia="宋体" w:cs="宋体"/>
          <w:b/>
          <w:bCs/>
          <w:sz w:val="21"/>
          <w:szCs w:val="21"/>
          <w:lang w:val="en-US" w:eastAsia="zh-CN"/>
        </w:rPr>
      </w:pPr>
      <w:bookmarkStart w:id="14" w:name="_Toc12211"/>
      <w:bookmarkStart w:id="15" w:name="_Toc365"/>
      <w:bookmarkStart w:id="16" w:name="_Toc5245"/>
      <w:bookmarkStart w:id="17" w:name="_Toc12812"/>
      <w:r>
        <w:rPr>
          <w:rFonts w:hint="eastAsia" w:ascii="宋体" w:hAnsi="宋体" w:eastAsia="宋体" w:cs="宋体"/>
          <w:b/>
          <w:bCs/>
          <w:sz w:val="21"/>
          <w:szCs w:val="21"/>
          <w:lang w:val="en-US" w:eastAsia="zh-CN"/>
        </w:rPr>
        <w:t>师生对材料的概念认识稍有欠缺</w:t>
      </w:r>
      <w:bookmarkEnd w:id="14"/>
      <w:bookmarkEnd w:id="15"/>
      <w:bookmarkEnd w:id="16"/>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首先，在小学美术课堂上综合材料的运用不仅仅只是对学生的考验，在对教师专业程度要求上，也是不容小觑的。综合材料教学的难题和所要用到的技巧非常多，还要在自己已经熟练的基础上琢磨“如何正确的教会孩子”这一教学问题。笔者讲过访谈了解到，大多数美术老师是从师范院校的美术学院师范专业毕业。在校园的学习内容中，多数以书法、油画、版画、素描为主，而设计方面的课程很少。从而导致了部分教师在制作这一类的课程教学中有心无力。另外，他们认为平面绘画的作品收集方便，而综合材料的一些立体作品也不便于收集和保存。这使得综合材料的教学停滞不前，也不利于学生创新意识和动手能力的培养。教师应该学着改变以往固定的教学观念，多注重学生个性和综合能力的培养，以此达到教学质量提升的目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学生层面上，由于部分教师自身对于综合材料的认知和过低的利用率，他们无法在课堂中体验到创作的乐趣，从而缺失了做手工的乐趣。笔者还观察到，在上一节综合美术课的时候，同学们的精神都比平时要好很多，他们都会仔细的聆听和观察教师提供的“样本”。但是经常出现的问题就是，由于学校提供的材料有限和教师提前没有传达清楚所要准备的材料，这导致了学生没有办法利用足够的材料，获得亲身体验动手的乐趣和实践的机会。还有一些时候，因为教师的讲解全部围绕着书本上的作品分析，缺少了对那些组成作品材料的讲解。学生在不清楚那些材料的材质、肌理、重量等一系列特性的情况下，会丧失对材料的热情。在日常生活中，也不会有想去收集不同材料的意识。</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right="0" w:rightChars="0"/>
        <w:textAlignment w:val="auto"/>
        <w:outlineLvl w:val="2"/>
        <w:rPr>
          <w:rFonts w:hint="eastAsia" w:ascii="宋体" w:hAnsi="宋体" w:eastAsia="宋体" w:cs="宋体"/>
          <w:b/>
          <w:bCs/>
          <w:sz w:val="21"/>
          <w:szCs w:val="21"/>
          <w:lang w:val="en-US" w:eastAsia="zh-CN"/>
        </w:rPr>
      </w:pPr>
      <w:bookmarkStart w:id="18" w:name="_Toc22571"/>
      <w:bookmarkStart w:id="19" w:name="_Toc27233"/>
      <w:bookmarkStart w:id="20" w:name="_Toc11947"/>
      <w:bookmarkStart w:id="21" w:name="_Toc381"/>
      <w:r>
        <w:rPr>
          <w:rFonts w:hint="eastAsia" w:ascii="宋体" w:hAnsi="宋体" w:eastAsia="宋体" w:cs="宋体"/>
          <w:b/>
          <w:bCs/>
          <w:sz w:val="21"/>
          <w:szCs w:val="21"/>
          <w:lang w:val="en-US" w:eastAsia="zh-CN"/>
        </w:rPr>
        <w:t>课时太短局限了多样化材料的选择</w:t>
      </w:r>
      <w:bookmarkEnd w:id="18"/>
      <w:bookmarkEnd w:id="19"/>
      <w:bookmarkEnd w:id="20"/>
      <w:bookmarkEnd w:id="2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校一至三年级的学生每周有两节美术课，四、五年级每周为一节美术课。如若要上一节综合材料的美术课，教师在布置课堂作业前，必须要进行教具展示和对创作过程的讲解。然而加上预备铃的课时仅仅只有三十五分钟，这个讲解和演示的过程基本已经超过了半节课的时间。在讲解的同时，教师还要设置提问环节和同学进行互动。一方面是为了提高孩子们的集中力，还有一方面确保所授知识可以被他们充分理解。所以，教师如何在有限的四十分钟内有效率地去分配演讲时间和学生完成作业的时间，是当下所有的美术教育者都应该去研究和探讨的问题。</w:t>
      </w: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right="0" w:rightChars="0"/>
        <w:textAlignment w:val="auto"/>
        <w:outlineLvl w:val="2"/>
        <w:rPr>
          <w:rFonts w:hint="eastAsia" w:ascii="宋体" w:hAnsi="宋体" w:eastAsia="宋体" w:cs="宋体"/>
          <w:b/>
          <w:bCs/>
          <w:sz w:val="21"/>
          <w:szCs w:val="21"/>
          <w:lang w:val="en-US" w:eastAsia="zh-CN"/>
        </w:rPr>
      </w:pPr>
      <w:bookmarkStart w:id="22" w:name="_Toc30534"/>
      <w:bookmarkStart w:id="23" w:name="_Toc21866"/>
      <w:bookmarkStart w:id="24" w:name="_Toc15185"/>
      <w:bookmarkStart w:id="25" w:name="_Toc14441"/>
      <w:r>
        <w:rPr>
          <w:rFonts w:hint="eastAsia" w:ascii="宋体" w:hAnsi="宋体" w:eastAsia="宋体" w:cs="宋体"/>
          <w:b/>
          <w:bCs/>
          <w:sz w:val="21"/>
          <w:szCs w:val="21"/>
          <w:lang w:val="en-US" w:eastAsia="zh-CN"/>
        </w:rPr>
        <w:t>对废旧材料的利用频率较低</w:t>
      </w:r>
      <w:bookmarkEnd w:id="22"/>
      <w:bookmarkEnd w:id="23"/>
      <w:bookmarkEnd w:id="24"/>
      <w:bookmarkEnd w:id="25"/>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综合材料的美术作品中，我们可以将许许多多的材料分类，有自然中的材料、人造材料、废旧材料等。但是除了现成的一些材料，更多的材料都源自于生活。那些被人们忽略的、认为是垃圾的材料同样可以赋予美术作品别样的光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笔者为了知晓本校的学生是否真正能辨清“废旧材料”这一概念，在课前准备了几样不同的物品，有废电池、用过的牙刷、一次性餐具、废毛巾、一次性塑料袋等让学生去分辨。结果表示，在他们的潜意识里，日常生活里的垃圾都算是废旧材料，这种想法是有偏颇的。利用废旧材料来做美术作品旨在“废物利用”，同时也是为了培养学生的环保意识。小学阶段正是学生对社会责任和为人处世启蒙的阶段，要引导学生往正确的方向发展。教师应教会学生分清什么才是在美术创作中可利用的废旧物品，要善于观察，注重环保和再利用。在理解何为废旧材料的基础上再教会学生怎么处理这些废旧材料，这样才能养成他们的环保习惯，以此来达到素质教育的导向和最终目的。</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rightChars="0" w:firstLine="0" w:firstLineChars="0"/>
        <w:textAlignment w:val="auto"/>
        <w:outlineLvl w:val="1"/>
        <w:rPr>
          <w:rFonts w:hint="eastAsia" w:ascii="宋体" w:hAnsi="宋体" w:eastAsia="宋体" w:cs="宋体"/>
          <w:b/>
          <w:bCs/>
          <w:sz w:val="21"/>
          <w:szCs w:val="21"/>
          <w:lang w:val="en-US" w:eastAsia="zh-CN"/>
        </w:rPr>
      </w:pPr>
      <w:bookmarkStart w:id="26" w:name="_Toc11357"/>
      <w:bookmarkStart w:id="27" w:name="_Toc21856"/>
      <w:bookmarkStart w:id="28" w:name="_Toc3221"/>
      <w:bookmarkStart w:id="29" w:name="_Toc6868"/>
      <w:r>
        <w:rPr>
          <w:rFonts w:hint="eastAsia" w:ascii="宋体" w:hAnsi="宋体" w:eastAsia="宋体" w:cs="宋体"/>
          <w:b/>
          <w:bCs/>
          <w:sz w:val="21"/>
          <w:szCs w:val="21"/>
          <w:lang w:val="en-US" w:eastAsia="zh-CN"/>
        </w:rPr>
        <w:t>综合材料运用在小学美术课堂中存在问题的对策</w:t>
      </w:r>
      <w:bookmarkEnd w:id="26"/>
      <w:bookmarkEnd w:id="27"/>
      <w:bookmarkEnd w:id="28"/>
      <w:bookmarkEnd w:id="29"/>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leftChars="0" w:right="0" w:rightChars="0" w:hanging="425" w:firstLineChars="0"/>
        <w:textAlignment w:val="auto"/>
        <w:outlineLvl w:val="2"/>
        <w:rPr>
          <w:rFonts w:hint="eastAsia" w:ascii="宋体" w:hAnsi="宋体" w:eastAsia="宋体" w:cs="宋体"/>
          <w:b/>
          <w:bCs/>
          <w:sz w:val="21"/>
          <w:szCs w:val="21"/>
          <w:lang w:val="en-US" w:eastAsia="zh-CN"/>
        </w:rPr>
      </w:pPr>
      <w:bookmarkStart w:id="30" w:name="_Toc5324"/>
      <w:bookmarkStart w:id="31" w:name="_Toc13849"/>
      <w:bookmarkStart w:id="32" w:name="_Toc7495"/>
      <w:bookmarkStart w:id="33" w:name="_Toc20337"/>
      <w:r>
        <w:rPr>
          <w:rFonts w:hint="eastAsia" w:ascii="宋体" w:hAnsi="宋体" w:eastAsia="宋体" w:cs="宋体"/>
          <w:b/>
          <w:bCs/>
          <w:sz w:val="21"/>
          <w:szCs w:val="21"/>
          <w:lang w:val="en-US" w:eastAsia="zh-CN"/>
        </w:rPr>
        <w:t>多角度感受不同材料的材质和性能</w:t>
      </w:r>
      <w:bookmarkEnd w:id="30"/>
      <w:bookmarkEnd w:id="31"/>
      <w:bookmarkEnd w:id="32"/>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笔者分别调查了上海市徐汇东二小学等5所小学的美术课堂综合材料使用情况，经过统计，有以下这些的材料是在美术课堂中常常能用到的（见表</w:t>
      </w:r>
      <w:r>
        <w:rPr>
          <w:rFonts w:hint="eastAsia" w:ascii="宋体" w:hAnsi="宋体" w:cs="宋体"/>
          <w:b w:val="0"/>
          <w:bCs w:val="0"/>
          <w:sz w:val="21"/>
          <w:szCs w:val="21"/>
          <w:lang w:val="en-US" w:eastAsia="zh-CN"/>
        </w:rPr>
        <w:t>6</w:t>
      </w:r>
      <w:r>
        <w:rPr>
          <w:rFonts w:hint="eastAsia" w:ascii="宋体" w:hAnsi="宋体" w:eastAsia="宋体" w:cs="宋体"/>
          <w:b w:val="0"/>
          <w:bCs w:val="0"/>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表</w:t>
      </w:r>
      <w:r>
        <w:rPr>
          <w:rFonts w:hint="eastAsia" w:ascii="宋体" w:hAnsi="宋体" w:cs="宋体"/>
          <w:b/>
          <w:bCs/>
          <w:sz w:val="21"/>
          <w:szCs w:val="21"/>
          <w:lang w:val="en-US" w:eastAsia="zh-CN"/>
        </w:rPr>
        <w:t>6</w:t>
      </w:r>
      <w:r>
        <w:rPr>
          <w:rFonts w:hint="eastAsia" w:ascii="宋体" w:hAnsi="宋体" w:eastAsia="宋体" w:cs="宋体"/>
          <w:b/>
          <w:bCs/>
          <w:sz w:val="21"/>
          <w:szCs w:val="21"/>
          <w:lang w:val="en-US" w:eastAsia="zh-CN"/>
        </w:rPr>
        <w:t xml:space="preserve"> 美术课堂中经常用到的材料</w:t>
      </w:r>
    </w:p>
    <w:tbl>
      <w:tblPr>
        <w:tblStyle w:val="5"/>
        <w:tblpPr w:leftFromText="180" w:rightFromText="180" w:vertAnchor="text" w:horzAnchor="page" w:tblpX="2305" w:tblpY="415"/>
        <w:tblOverlap w:val="never"/>
        <w:tblW w:w="8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1593"/>
        <w:gridCol w:w="1321"/>
        <w:gridCol w:w="1305"/>
        <w:gridCol w:w="1321"/>
        <w:gridCol w:w="13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219"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纸制品</w:t>
            </w:r>
          </w:p>
        </w:tc>
        <w:tc>
          <w:tcPr>
            <w:tcW w:w="1593"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塑料制品</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自然材料</w:t>
            </w:r>
          </w:p>
        </w:tc>
        <w:tc>
          <w:tcPr>
            <w:tcW w:w="1305"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金属制品</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缝纫用品</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atLeast"/>
        </w:trPr>
        <w:tc>
          <w:tcPr>
            <w:tcW w:w="1219"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牛奶盒</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旧报纸</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旧信封</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纸袋</w:t>
            </w:r>
          </w:p>
        </w:tc>
        <w:tc>
          <w:tcPr>
            <w:tcW w:w="1593"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left"/>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饮料瓶（碳酸、果汁等）</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泡沫板</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both"/>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快餐盒</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树叶</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橘皮</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沙子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棉花</w:t>
            </w:r>
          </w:p>
        </w:tc>
        <w:tc>
          <w:tcPr>
            <w:tcW w:w="1305"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易拉罐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铁丝</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铜丝</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纽扣</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棉线</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拉链</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废布料</w:t>
            </w:r>
          </w:p>
        </w:tc>
        <w:tc>
          <w:tcPr>
            <w:tcW w:w="1321" w:type="dxa"/>
            <w:tcBorders>
              <w:top w:val="single" w:color="000000" w:sz="8" w:space="0"/>
              <w:left w:val="single" w:color="000000" w:sz="8" w:space="0"/>
              <w:bottom w:val="single" w:color="000000" w:sz="8" w:space="0"/>
              <w:right w:val="single" w:color="000000" w:sz="8" w:space="0"/>
            </w:tcBorders>
            <w:shd w:val="clear" w:color="auto" w:fill="FFFFFF"/>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豆子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木板</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jc w:val="center"/>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吸管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textAlignment w:val="auto"/>
              <w:outlineLvl w:val="9"/>
              <w:rPr>
                <w:rFonts w:hint="eastAsia" w:ascii="宋体" w:hAnsi="宋体" w:eastAsia="宋体" w:cs="宋体"/>
                <w:b w:val="0"/>
                <w:bCs w:val="0"/>
                <w:color w:val="000000"/>
                <w:sz w:val="21"/>
                <w:szCs w:val="21"/>
                <w:vertAlign w:val="baseline"/>
                <w:lang w:val="en-US" w:eastAsia="zh-CN"/>
              </w:rPr>
            </w:pPr>
            <w:r>
              <w:rPr>
                <w:rFonts w:hint="eastAsia" w:ascii="宋体" w:hAnsi="宋体" w:eastAsia="宋体" w:cs="宋体"/>
                <w:b w:val="0"/>
                <w:bCs w:val="0"/>
                <w:color w:val="000000"/>
                <w:sz w:val="21"/>
                <w:szCs w:val="21"/>
                <w:vertAlign w:val="baseline"/>
                <w:lang w:val="en-US" w:eastAsia="zh-CN"/>
              </w:rPr>
              <w:t>……</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学着去感受材料之前，先要学会如何收集。综合材料的作品中有很多是从日常生活中收集而来。社会上有很多废旧材料可以再回收进行二次利用，但不等同于所有的废旧材料都适用于学生和课堂之上。教师应该研究和寻觅哪些材料是干净、安全和容易收集的。在了解都有哪些常见材料的基础上，教师再与学生展开对不同种类材料的讨论。材料的属性各不相同，与生俱来的质地、纹理带给人不同的视觉感官和触觉。感受这些综合材料的角度可以分成两种——视觉感受和触觉感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站在视觉感受的角度上，每种材料有不同的颜色、外形和肌理。颜色是根据学生所要创作物品时，从整体的眼光来看整个作品所需要的色彩是什么。当然，色彩这个因素是可以靠人为去调整的。学生可以选择保留所用材料的原色，也可以使用其他颜色的颜料加以改造。外形是指材料本身的构造，笔者将材料分成三种特征——点状、线状和块状。各种不一的外形特征在画面中也决定了不同的用途。点状特征的材料如绿豆、沙子、石块等体积较小的材料；线状特征的材料有铁丝、棉线、吸管等有长度的材料；块状特征的材料范围较大，例如布料、牛奶盒、易拉罐等体积相对来说较大或者立体的材料。最后是肌理的部分，每种材料的表面纹路是迥然不同的。有些材料的表面较为光滑，也有一些材料的表面是凹凸不平的。大部分材料也可以通过后期人为的塑造，变幻出不同的肌理，但这就要基于对该材料充分了解的情况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站在触觉感受的角度上来看，可以去感受材料的软硬度、表面的肌理、内部结构等。当你触碰到材料时，对于后期如何来运用会有更丰富的想法。接触材料除了采用抚摸表面的形式之外，还可以对其在可允许的情况下，进行搓、揉、折等动作改变其原有的形态。在这个变换材料的同时，去深层次的考虑该材料的构造，并进行“如何将该材料应用于自己的美术作品中”的思维创新。在一件美术作品中，材料的肌理和色彩带给人以不同的感受，可以通过创作者对材料肌理的排列组合来创造不同的艺术效果。所以教师应该在课堂上尽可能地让学生去通过实际触摸来感受材料的特性，那么学生在正确认知材料的不同特点后，才可以解决好综合材料在美术作品中的构图和色彩关系。</w:t>
      </w:r>
    </w:p>
    <w:p>
      <w:pPr>
        <w:numPr>
          <w:ilvl w:val="0"/>
          <w:numId w:val="6"/>
        </w:numPr>
        <w:ind w:left="425" w:leftChars="0" w:hanging="425" w:firstLineChars="0"/>
        <w:jc w:val="left"/>
        <w:outlineLvl w:val="2"/>
        <w:rPr>
          <w:rFonts w:hint="eastAsia" w:ascii="宋体" w:hAnsi="宋体" w:eastAsia="宋体" w:cs="宋体"/>
          <w:b/>
          <w:bCs/>
          <w:sz w:val="21"/>
          <w:szCs w:val="21"/>
          <w:lang w:val="en-US" w:eastAsia="zh-CN"/>
        </w:rPr>
      </w:pPr>
      <w:bookmarkStart w:id="34" w:name="_Toc15515"/>
      <w:bookmarkStart w:id="35" w:name="_Toc18444"/>
      <w:bookmarkStart w:id="36" w:name="_Toc16656"/>
      <w:bookmarkStart w:id="37" w:name="_Toc25553"/>
      <w:r>
        <w:rPr>
          <w:rFonts w:hint="eastAsia" w:ascii="宋体" w:hAnsi="宋体" w:eastAsia="宋体" w:cs="宋体"/>
          <w:b/>
          <w:bCs/>
          <w:sz w:val="21"/>
          <w:szCs w:val="21"/>
          <w:lang w:val="en-US" w:eastAsia="zh-CN"/>
        </w:rPr>
        <w:t>为多样化材料的运用提供合理的时间和空间</w:t>
      </w:r>
      <w:bookmarkEnd w:id="34"/>
      <w:bookmarkEnd w:id="35"/>
      <w:bookmarkEnd w:id="36"/>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学校课时的长短的改动要从多种角度来考量。但是笔者认为，美术课程应将两节课设置在一起。在两节课一起上的情况下，学生的学习过程较为连贯。在一周分开的两节课中，会有很多不可控的因素，部分学生会遗忘上节课教师提到的重点，也有学生会遗失自己未完成的作品。将两个课时并在一起时，这不仅为学生提供了合理的时间，也为学生的创作提供了更多的空间。教师可以留给学生更大的空间去感受材料，去思索材料的特性，为完成一件创新的美术作品做基础。</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另一方面，学生的积极性也可以得到延续。由于在综合材料的创作课上，教师的导入过程和新课授予要花一定的时间，往往学生还没开始创作下课铃便响了。这不但会消磨学生的热情，还会打断他们的创新思考。笔者在调查了几所两节课时设置在一起的学校后，发现这些学校的学生在美术课上表现出的创作欲和思想注意力都是很强烈的。</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left"/>
        <w:textAlignment w:val="auto"/>
        <w:outlineLvl w:val="9"/>
        <w:rPr>
          <w:rFonts w:hint="eastAsia" w:ascii="宋体" w:hAnsi="宋体" w:eastAsia="宋体" w:cs="宋体"/>
          <w:b w:val="0"/>
          <w:bCs w:val="0"/>
          <w:sz w:val="21"/>
          <w:szCs w:val="21"/>
          <w:lang w:val="en-US" w:eastAsia="zh-CN"/>
        </w:rPr>
      </w:pPr>
      <w:r>
        <w:rPr>
          <w:rFonts w:hint="eastAsia" w:ascii="宋体" w:hAnsi="宋体" w:cs="宋体"/>
          <w:b w:val="0"/>
          <w:bCs w:val="0"/>
          <w:sz w:val="21"/>
          <w:szCs w:val="21"/>
          <w:lang w:val="en-US" w:eastAsia="zh-CN"/>
        </w:rPr>
        <w:t>例如同样在上三年级的《我们的扇子》一课，即使教师同样布置了学生带上雪糕棒、杂志、吸管、一次性筷子等，两种课时安排最后呈现的课堂效果仍存在差距。比起两课时分开两天上的课堂，在两课时连续上的课堂上有以下优势：</w:t>
      </w:r>
      <w:r>
        <w:rPr>
          <w:rFonts w:hint="eastAsia" w:eastAsia="Calibri" w:cs="Calibri"/>
          <w:b w:val="0"/>
          <w:bCs w:val="0"/>
          <w:sz w:val="21"/>
          <w:szCs w:val="21"/>
          <w:lang w:val="en-US" w:eastAsia="zh-CN"/>
        </w:rPr>
        <w:t>①</w:t>
      </w:r>
      <w:bookmarkStart w:id="46" w:name="_GoBack"/>
      <w:bookmarkEnd w:id="46"/>
      <w:r>
        <w:rPr>
          <w:rFonts w:hint="eastAsia" w:ascii="宋体" w:hAnsi="宋体" w:cs="宋体"/>
          <w:b w:val="0"/>
          <w:bCs w:val="0"/>
          <w:sz w:val="21"/>
          <w:szCs w:val="21"/>
          <w:lang w:val="en-US" w:eastAsia="zh-CN"/>
        </w:rPr>
        <w:t>教师有充分时间让学生了解不同材料的特性，学生能根据生活经验合理选择材料制作。</w:t>
      </w:r>
      <w:r>
        <w:rPr>
          <w:rFonts w:hint="eastAsia" w:eastAsia="Calibri" w:cs="Calibri"/>
          <w:b w:val="0"/>
          <w:bCs w:val="0"/>
          <w:sz w:val="21"/>
          <w:szCs w:val="21"/>
          <w:lang w:val="en-US" w:eastAsia="zh-CN"/>
        </w:rPr>
        <w:t>②</w:t>
      </w:r>
      <w:r>
        <w:rPr>
          <w:rFonts w:hint="eastAsia" w:ascii="宋体" w:hAnsi="宋体" w:cs="宋体"/>
          <w:b w:val="0"/>
          <w:bCs w:val="0"/>
          <w:sz w:val="21"/>
          <w:szCs w:val="21"/>
          <w:lang w:val="en-US" w:eastAsia="zh-CN"/>
        </w:rPr>
        <w:t>学生能有充足时间进行不同材料的探索尝试和制作创意分享，同时也能给予其他学生新的灵感，从而迸发出更多的创意火花。</w:t>
      </w:r>
      <w:r>
        <w:rPr>
          <w:rFonts w:hint="eastAsia" w:ascii="宋体" w:hAnsi="宋体" w:eastAsia="宋体" w:cs="宋体"/>
          <w:b w:val="0"/>
          <w:bCs w:val="0"/>
          <w:sz w:val="21"/>
          <w:szCs w:val="21"/>
          <w:lang w:val="en-US" w:eastAsia="zh-CN"/>
        </w:rPr>
        <w:t>当然，最后</w:t>
      </w:r>
      <w:r>
        <w:rPr>
          <w:rFonts w:hint="eastAsia" w:ascii="宋体" w:hAnsi="宋体" w:cs="宋体"/>
          <w:b w:val="0"/>
          <w:bCs w:val="0"/>
          <w:sz w:val="21"/>
          <w:szCs w:val="21"/>
          <w:lang w:val="en-US" w:eastAsia="zh-CN"/>
        </w:rPr>
        <w:t>在两课时连续的</w:t>
      </w:r>
      <w:r>
        <w:rPr>
          <w:rFonts w:hint="eastAsia" w:ascii="宋体" w:hAnsi="宋体" w:eastAsia="宋体" w:cs="宋体"/>
          <w:b w:val="0"/>
          <w:bCs w:val="0"/>
          <w:sz w:val="21"/>
          <w:szCs w:val="21"/>
          <w:lang w:val="en-US" w:eastAsia="zh-CN"/>
        </w:rPr>
        <w:t>课堂</w:t>
      </w:r>
      <w:r>
        <w:rPr>
          <w:rFonts w:hint="eastAsia" w:ascii="宋体" w:hAnsi="宋体" w:cs="宋体"/>
          <w:b w:val="0"/>
          <w:bCs w:val="0"/>
          <w:sz w:val="21"/>
          <w:szCs w:val="21"/>
          <w:lang w:val="en-US" w:eastAsia="zh-CN"/>
        </w:rPr>
        <w:t>上</w:t>
      </w:r>
      <w:r>
        <w:rPr>
          <w:rFonts w:hint="eastAsia" w:ascii="宋体" w:hAnsi="宋体" w:eastAsia="宋体" w:cs="宋体"/>
          <w:b w:val="0"/>
          <w:bCs w:val="0"/>
          <w:sz w:val="21"/>
          <w:szCs w:val="21"/>
          <w:lang w:val="en-US" w:eastAsia="zh-CN"/>
        </w:rPr>
        <w:t>完成的作品效果也是令人惊叹的</w:t>
      </w:r>
      <w:r>
        <w:rPr>
          <w:rFonts w:hint="eastAsia" w:ascii="宋体" w:hAnsi="宋体" w:cs="宋体"/>
          <w:b w:val="0"/>
          <w:bCs w:val="0"/>
          <w:sz w:val="21"/>
          <w:szCs w:val="21"/>
          <w:lang w:val="en-US" w:eastAsia="zh-CN"/>
        </w:rPr>
        <w:t>（图5、图6、图7）</w:t>
      </w:r>
      <w:r>
        <w:rPr>
          <w:rFonts w:hint="eastAsia" w:ascii="宋体" w:hAnsi="宋体" w:eastAsia="宋体" w:cs="宋体"/>
          <w:b w:val="0"/>
          <w:bCs w:val="0"/>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drawing>
          <wp:anchor distT="0" distB="0" distL="114300" distR="114300" simplePos="0" relativeHeight="251666432" behindDoc="0" locked="0" layoutInCell="1" allowOverlap="1">
            <wp:simplePos x="0" y="0"/>
            <wp:positionH relativeFrom="column">
              <wp:posOffset>1619250</wp:posOffset>
            </wp:positionH>
            <wp:positionV relativeFrom="paragraph">
              <wp:posOffset>83820</wp:posOffset>
            </wp:positionV>
            <wp:extent cx="1925955" cy="1198245"/>
            <wp:effectExtent l="0" t="0" r="17145" b="1905"/>
            <wp:wrapNone/>
            <wp:docPr id="2" name="图片 2" descr="20230412103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230412103154"/>
                    <pic:cNvPicPr>
                      <a:picLocks noChangeAspect="1"/>
                    </pic:cNvPicPr>
                  </pic:nvPicPr>
                  <pic:blipFill>
                    <a:blip r:embed="rId15"/>
                    <a:stretch>
                      <a:fillRect/>
                    </a:stretch>
                  </pic:blipFill>
                  <pic:spPr>
                    <a:xfrm>
                      <a:off x="0" y="0"/>
                      <a:ext cx="1925955" cy="1198245"/>
                    </a:xfrm>
                    <a:prstGeom prst="rect">
                      <a:avLst/>
                    </a:prstGeom>
                  </pic:spPr>
                </pic:pic>
              </a:graphicData>
            </a:graphic>
          </wp:anchor>
        </w:drawing>
      </w:r>
      <w:r>
        <w:rPr>
          <w:rFonts w:hint="eastAsia" w:ascii="宋体" w:hAnsi="宋体" w:eastAsia="宋体" w:cs="宋体"/>
          <w:b w:val="0"/>
          <w:bCs w:val="0"/>
          <w:sz w:val="21"/>
          <w:szCs w:val="21"/>
          <w:lang w:val="en-US" w:eastAsia="zh-CN"/>
        </w:rPr>
        <w:drawing>
          <wp:anchor distT="0" distB="0" distL="114300" distR="114300" simplePos="0" relativeHeight="251665408" behindDoc="0" locked="0" layoutInCell="1" allowOverlap="1">
            <wp:simplePos x="0" y="0"/>
            <wp:positionH relativeFrom="column">
              <wp:posOffset>3533775</wp:posOffset>
            </wp:positionH>
            <wp:positionV relativeFrom="paragraph">
              <wp:posOffset>125095</wp:posOffset>
            </wp:positionV>
            <wp:extent cx="1709420" cy="1285240"/>
            <wp:effectExtent l="0" t="0" r="5080" b="10160"/>
            <wp:wrapNone/>
            <wp:docPr id="5" name="图片 5" descr="2023041210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30412103132"/>
                    <pic:cNvPicPr>
                      <a:picLocks noChangeAspect="1"/>
                    </pic:cNvPicPr>
                  </pic:nvPicPr>
                  <pic:blipFill>
                    <a:blip r:embed="rId16"/>
                    <a:stretch>
                      <a:fillRect/>
                    </a:stretch>
                  </pic:blipFill>
                  <pic:spPr>
                    <a:xfrm>
                      <a:off x="0" y="0"/>
                      <a:ext cx="1709420" cy="1285240"/>
                    </a:xfrm>
                    <a:prstGeom prst="rect">
                      <a:avLst/>
                    </a:prstGeom>
                  </pic:spPr>
                </pic:pic>
              </a:graphicData>
            </a:graphic>
          </wp:anchor>
        </w:drawing>
      </w:r>
      <w:r>
        <w:rPr>
          <w:rFonts w:hint="eastAsia" w:ascii="宋体" w:hAnsi="宋体" w:eastAsia="宋体" w:cs="宋体"/>
          <w:b w:val="0"/>
          <w:bCs w:val="0"/>
          <w:sz w:val="21"/>
          <w:szCs w:val="21"/>
          <w:lang w:val="en-US" w:eastAsia="zh-CN"/>
        </w:rPr>
        <w:drawing>
          <wp:inline distT="0" distB="0" distL="114300" distR="114300">
            <wp:extent cx="1663700" cy="1277620"/>
            <wp:effectExtent l="0" t="0" r="12700" b="17780"/>
            <wp:docPr id="4" name="图片 4" descr="2023041210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230412103148"/>
                    <pic:cNvPicPr>
                      <a:picLocks noChangeAspect="1"/>
                    </pic:cNvPicPr>
                  </pic:nvPicPr>
                  <pic:blipFill>
                    <a:blip r:embed="rId17"/>
                    <a:stretch>
                      <a:fillRect/>
                    </a:stretch>
                  </pic:blipFill>
                  <pic:spPr>
                    <a:xfrm>
                      <a:off x="0" y="0"/>
                      <a:ext cx="1663700" cy="127762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2" w:firstLineChars="200"/>
        <w:jc w:val="left"/>
        <w:textAlignment w:val="auto"/>
        <w:outlineLvl w:val="9"/>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图5 红包做的扇子       图6 食品包装袋做的扇子     图7一次性餐具做的扇子</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leftChars="0" w:right="0" w:rightChars="0" w:hanging="425" w:firstLineChars="0"/>
        <w:jc w:val="left"/>
        <w:textAlignment w:val="auto"/>
        <w:outlineLvl w:val="2"/>
        <w:rPr>
          <w:rFonts w:hint="eastAsia" w:ascii="宋体" w:hAnsi="宋体" w:eastAsia="宋体" w:cs="宋体"/>
          <w:b/>
          <w:bCs/>
          <w:sz w:val="21"/>
          <w:szCs w:val="21"/>
          <w:lang w:val="en-US" w:eastAsia="zh-CN"/>
        </w:rPr>
      </w:pPr>
      <w:bookmarkStart w:id="38" w:name="_Toc5205"/>
      <w:bookmarkStart w:id="39" w:name="_Toc25991"/>
      <w:bookmarkStart w:id="40" w:name="_Toc1602"/>
      <w:bookmarkStart w:id="41" w:name="_Toc11962"/>
      <w:r>
        <w:rPr>
          <w:rFonts w:hint="eastAsia" w:ascii="宋体" w:hAnsi="宋体" w:eastAsia="宋体" w:cs="宋体"/>
          <w:b/>
          <w:bCs/>
          <w:sz w:val="21"/>
          <w:szCs w:val="21"/>
          <w:lang w:val="en-US" w:eastAsia="zh-CN"/>
        </w:rPr>
        <w:t>开发废旧材料的多种利用途径</w:t>
      </w:r>
      <w:bookmarkEnd w:id="38"/>
      <w:bookmarkEnd w:id="39"/>
      <w:bookmarkEnd w:id="40"/>
      <w:bookmarkEnd w:id="41"/>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在学生美术课配备的材料包中，基本上彩色纸和色卡是最唯一除了铅画纸外的材料。许多学生对此产生了一种“疲惫”的心理，对他们而言这并不新奇，也就不能唤醒他们对于创作的热情。</w:t>
      </w:r>
      <w:r>
        <w:rPr>
          <w:rFonts w:hint="eastAsia" w:ascii="宋体" w:hAnsi="宋体" w:eastAsia="宋体" w:cs="宋体"/>
          <w:sz w:val="21"/>
          <w:szCs w:val="21"/>
          <w:lang w:val="en-US" w:eastAsia="zh-CN"/>
        </w:rPr>
        <w:t>所以除了学校分发的材料袋以外，教师应当准备一份“材料清单”，并和学生一起做一个“百宝收纳箱”，教会学生在日常中养成收集废旧材料的习惯，注重对生活的观察，并能将其与美术作品联系到一起。</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统筹好收纳工作后，再来进行废旧材料的多元化探索。在归纳进“百宝收纳箱”时，可以将其进行分类——自然材料、人造材料和缝纫材料等不同类别。那么学生就可以通过不同的美术主题或作品需要，快速准确地找到合适自己的材料，避免出现浪费的情况。在课堂中利用废旧材料是节约环保的体现，许多学生为了课堂作品让家长去购买现成的材料，这会对环境造成负担，也不利于培养学生与家长的环保意识。废旧材料的回收主要是进行“变废为宝”的再创造，学生可以延展其原有的性能，也可以利用材料的质感和纹理去改造。在这个过程中，学生很好的领略到了材料的魅力，也建立起了环保与设计的关系认知。小学生的创造力和想象力正是无限大的时候，要在这个关口，在教学模式的驱使下，带领他们最大化地开发自己的创新思维。</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0"/>
        <w:rPr>
          <w:rFonts w:hint="default" w:ascii="宋体" w:hAnsi="宋体" w:eastAsia="宋体" w:cs="宋体"/>
          <w:b/>
          <w:bCs/>
          <w:sz w:val="21"/>
          <w:szCs w:val="21"/>
          <w:lang w:val="en-US" w:eastAsia="zh-CN"/>
        </w:rPr>
      </w:pPr>
      <w:bookmarkStart w:id="42" w:name="_Toc5824"/>
      <w:bookmarkStart w:id="43" w:name="_Toc2351"/>
      <w:bookmarkStart w:id="44" w:name="_Toc22717"/>
      <w:bookmarkStart w:id="45" w:name="_Toc29658"/>
      <w:r>
        <w:rPr>
          <w:rFonts w:hint="eastAsia" w:ascii="宋体" w:hAnsi="宋体" w:eastAsia="宋体" w:cs="宋体"/>
          <w:b/>
          <w:bCs/>
          <w:sz w:val="21"/>
          <w:szCs w:val="21"/>
          <w:lang w:val="en-US" w:eastAsia="zh-CN"/>
        </w:rPr>
        <w:t>三、</w:t>
      </w:r>
      <w:bookmarkEnd w:id="42"/>
      <w:bookmarkEnd w:id="43"/>
      <w:bookmarkEnd w:id="44"/>
      <w:bookmarkEnd w:id="45"/>
      <w:r>
        <w:rPr>
          <w:rFonts w:hint="eastAsia" w:ascii="宋体" w:hAnsi="宋体" w:cs="宋体"/>
          <w:b/>
          <w:bCs/>
          <w:sz w:val="21"/>
          <w:szCs w:val="21"/>
          <w:lang w:val="en-US" w:eastAsia="zh-CN"/>
        </w:rPr>
        <w:t>结语</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统而言之，对教师来说，应</w:t>
      </w:r>
      <w:r>
        <w:rPr>
          <w:rFonts w:hint="eastAsia" w:ascii="宋体" w:hAnsi="宋体" w:cs="宋体"/>
          <w:sz w:val="21"/>
          <w:szCs w:val="21"/>
          <w:lang w:val="en-US" w:eastAsia="zh-CN"/>
        </w:rPr>
        <w:t>从学生的生活与社会经验出发，</w:t>
      </w:r>
      <w:r>
        <w:rPr>
          <w:rFonts w:hint="eastAsia" w:ascii="宋体" w:hAnsi="宋体" w:eastAsia="宋体" w:cs="宋体"/>
          <w:sz w:val="21"/>
          <w:szCs w:val="21"/>
          <w:lang w:val="en-US" w:eastAsia="zh-CN"/>
        </w:rPr>
        <w:t>将多样化材料贯穿于美术教学中，不再用传统的欣赏和绘画活动来局限学生的想象空间。教师自身也要边教边学，反复去实践多种材料在美术作品中的应用和各类手工制作的流程。而对于学生来说，要学会去感受不同材料，去认识且勇于提出疑惑，在熟知材料的性能后，可以通过自身的见解和创新能力完成有思想、有鲜活力的美术作品。在之后的研究中，笔者会积累更多的教学实践经验，以期获得更深入的拓展和研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outlineLvl w:val="9"/>
        <w:rPr>
          <w:rFonts w:hint="eastAsia" w:ascii="宋体" w:hAnsi="宋体" w:eastAsia="宋体" w:cs="宋体"/>
          <w:sz w:val="21"/>
          <w:szCs w:val="21"/>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460" w:lineRule="exact"/>
        <w:ind w:leftChars="0"/>
        <w:jc w:val="left"/>
        <w:textAlignment w:val="auto"/>
        <w:outlineLvl w:val="0"/>
        <w:rPr>
          <w:rFonts w:hint="default" w:ascii="楷体" w:hAnsi="楷体" w:eastAsia="楷体" w:cs="楷体"/>
          <w:b/>
          <w:bCs/>
          <w:sz w:val="21"/>
          <w:szCs w:val="24"/>
          <w:lang w:val="en-US" w:eastAsia="zh-CN"/>
        </w:rPr>
      </w:pPr>
      <w:r>
        <w:rPr>
          <w:rFonts w:hint="eastAsia" w:ascii="楷体" w:hAnsi="楷体" w:eastAsia="楷体" w:cs="楷体"/>
          <w:b/>
          <w:bCs/>
          <w:sz w:val="21"/>
          <w:szCs w:val="24"/>
          <w:lang w:val="en-US" w:eastAsia="zh-CN"/>
        </w:rPr>
        <w:t>参考文献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outlineLvl w:val="0"/>
        <w:rPr>
          <w:rFonts w:hint="eastAsia" w:ascii="楷体" w:hAnsi="楷体" w:eastAsia="楷体" w:cs="楷体"/>
          <w:b w:val="0"/>
          <w:bCs w:val="0"/>
          <w:sz w:val="18"/>
          <w:szCs w:val="18"/>
          <w:lang w:val="en-US" w:eastAsia="zh-CN"/>
        </w:rPr>
      </w:pPr>
      <w:r>
        <w:rPr>
          <w:rFonts w:hint="eastAsia" w:ascii="楷体" w:hAnsi="楷体" w:eastAsia="楷体" w:cs="楷体"/>
          <w:b w:val="0"/>
          <w:bCs w:val="0"/>
          <w:sz w:val="18"/>
          <w:szCs w:val="18"/>
          <w:lang w:val="en-US" w:eastAsia="zh-CN"/>
        </w:rPr>
        <w:t>①尹少淳, 段鹏. 新版课程标准解析与教学指导. 美术[M]. 北京师范大学出版社, 2011.</w:t>
      </w:r>
    </w:p>
    <w:p>
      <w:pPr>
        <w:numPr>
          <w:ilvl w:val="0"/>
          <w:numId w:val="0"/>
        </w:numPr>
        <w:spacing w:line="360" w:lineRule="auto"/>
        <w:outlineLvl w:val="9"/>
        <w:rPr>
          <w:rFonts w:hint="default" w:ascii="黑体" w:hAnsi="黑体" w:eastAsia="黑体" w:cs="黑体"/>
          <w:sz w:val="28"/>
          <w:szCs w:val="28"/>
          <w:lang w:val="en-US" w:eastAsia="zh-CN"/>
        </w:rPr>
      </w:pPr>
    </w:p>
    <w:p>
      <w:pPr>
        <w:spacing w:line="360" w:lineRule="auto"/>
        <w:ind w:firstLine="480" w:firstLineChars="200"/>
        <w:outlineLvl w:val="9"/>
        <w:rPr>
          <w:rFonts w:hint="eastAsia" w:ascii="宋体" w:hAnsi="宋体" w:eastAsia="宋体" w:cs="宋体"/>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3"/>
        <w:snapToGrid w:val="0"/>
      </w:pPr>
      <w:r>
        <w:rPr>
          <w:rStyle w:val="7"/>
        </w:rPr>
        <w:footnoteRef/>
      </w:r>
      <w:r>
        <w:t xml:space="preserve"> </w:t>
      </w:r>
      <w:r>
        <w:rPr>
          <w:rFonts w:hint="eastAsia" w:ascii="楷体" w:hAnsi="楷体" w:eastAsia="楷体" w:cs="楷体"/>
          <w:b w:val="0"/>
          <w:bCs w:val="0"/>
          <w:sz w:val="18"/>
          <w:szCs w:val="18"/>
          <w:lang w:val="en-US" w:eastAsia="zh-CN"/>
        </w:rPr>
        <w:t>尹少淳, 段鹏. 新版课程标准解析与教学指导. 美术[M]. 北京师范大学出版社, 2011.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F4378D"/>
    <w:multiLevelType w:val="singleLevel"/>
    <w:tmpl w:val="A8F4378D"/>
    <w:lvl w:ilvl="0" w:tentative="0">
      <w:start w:val="1"/>
      <w:numFmt w:val="chineseCounting"/>
      <w:suff w:val="nothing"/>
      <w:lvlText w:val="%1、"/>
      <w:lvlJc w:val="left"/>
      <w:rPr>
        <w:rFonts w:hint="eastAsia"/>
      </w:rPr>
    </w:lvl>
  </w:abstractNum>
  <w:abstractNum w:abstractNumId="1">
    <w:nsid w:val="11FE8A34"/>
    <w:multiLevelType w:val="singleLevel"/>
    <w:tmpl w:val="11FE8A34"/>
    <w:lvl w:ilvl="0" w:tentative="0">
      <w:start w:val="1"/>
      <w:numFmt w:val="chineseCounting"/>
      <w:suff w:val="nothing"/>
      <w:lvlText w:val="（%1）"/>
      <w:lvlJc w:val="left"/>
      <w:rPr>
        <w:rFonts w:hint="eastAsia"/>
      </w:rPr>
    </w:lvl>
  </w:abstractNum>
  <w:abstractNum w:abstractNumId="2">
    <w:nsid w:val="316F36AD"/>
    <w:multiLevelType w:val="singleLevel"/>
    <w:tmpl w:val="316F36AD"/>
    <w:lvl w:ilvl="0" w:tentative="0">
      <w:start w:val="1"/>
      <w:numFmt w:val="decimal"/>
      <w:lvlText w:val="%1."/>
      <w:lvlJc w:val="left"/>
      <w:pPr>
        <w:ind w:left="425" w:hanging="425"/>
      </w:pPr>
      <w:rPr>
        <w:rFonts w:hint="default"/>
      </w:rPr>
    </w:lvl>
  </w:abstractNum>
  <w:abstractNum w:abstractNumId="3">
    <w:nsid w:val="5CE98939"/>
    <w:multiLevelType w:val="singleLevel"/>
    <w:tmpl w:val="5CE98939"/>
    <w:lvl w:ilvl="0" w:tentative="0">
      <w:start w:val="2"/>
      <w:numFmt w:val="chineseCounting"/>
      <w:suff w:val="nothing"/>
      <w:lvlText w:val="（%1）"/>
      <w:lvlJc w:val="left"/>
      <w:rPr>
        <w:rFonts w:hint="eastAsia"/>
      </w:rPr>
    </w:lvl>
  </w:abstractNum>
  <w:abstractNum w:abstractNumId="4">
    <w:nsid w:val="60F25044"/>
    <w:multiLevelType w:val="singleLevel"/>
    <w:tmpl w:val="60F25044"/>
    <w:lvl w:ilvl="0" w:tentative="0">
      <w:start w:val="1"/>
      <w:numFmt w:val="chineseCounting"/>
      <w:suff w:val="space"/>
      <w:lvlText w:val="（%1）"/>
      <w:lvlJc w:val="left"/>
      <w:rPr>
        <w:rFonts w:hint="eastAsia"/>
      </w:rPr>
    </w:lvl>
  </w:abstractNum>
  <w:abstractNum w:abstractNumId="5">
    <w:nsid w:val="73BBF26D"/>
    <w:multiLevelType w:val="singleLevel"/>
    <w:tmpl w:val="73BBF26D"/>
    <w:lvl w:ilvl="0" w:tentative="0">
      <w:start w:val="1"/>
      <w:numFmt w:val="decimal"/>
      <w:lvlText w:val="%1."/>
      <w:lvlJc w:val="left"/>
      <w:pPr>
        <w:tabs>
          <w:tab w:val="left" w:pos="312"/>
        </w:tabs>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3YTQ0ZWI2NWJkMzRkNDIwMDM1ODkxZDU0OTJlMGYifQ=="/>
  </w:docVars>
  <w:rsids>
    <w:rsidRoot w:val="00000000"/>
    <w:rsid w:val="69810F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pPr>
      <w:widowControl/>
      <w:spacing w:after="100" w:afterAutospacing="1" w:line="480" w:lineRule="exact"/>
      <w:ind w:firstLine="100" w:firstLineChars="100"/>
      <w:jc w:val="left"/>
    </w:pPr>
    <w:rPr>
      <w:rFonts w:ascii="宋体" w:hAnsi="Courier New"/>
      <w:kern w:val="0"/>
      <w:sz w:val="20"/>
      <w:szCs w:val="21"/>
      <w:lang w:eastAsia="en-US"/>
    </w:rPr>
  </w:style>
  <w:style w:type="paragraph" w:styleId="3">
    <w:name w:val="footnote text"/>
    <w:basedOn w:val="1"/>
    <w:qFormat/>
    <w:uiPriority w:val="0"/>
    <w:pPr>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otnote reference"/>
    <w:basedOn w:val="6"/>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1\AppData\Local\Temp\wps.EB5144\Workbook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sz="1800" b="1">
                        <a:solidFill>
                          <a:schemeClr val="dk1"/>
                        </a:solidFill>
                        <a:latin typeface="+mn-lt"/>
                        <a:ea typeface="+mn-ea"/>
                        <a:cs typeface="+mn-cs"/>
                      </a:rPr>
                      <a:t>30%</a:t>
                    </a:r>
                    <a:endParaRPr sz="18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sz="1800" b="1">
                        <a:solidFill>
                          <a:schemeClr val="dk1"/>
                        </a:solidFill>
                        <a:latin typeface="+mn-lt"/>
                        <a:ea typeface="+mn-ea"/>
                        <a:cs typeface="+mn-cs"/>
                      </a:rPr>
                      <a:t>45</a:t>
                    </a:r>
                    <a:r>
                      <a:rPr lang="en-US" altLang="zh-CN" sz="1800" b="1">
                        <a:solidFill>
                          <a:schemeClr val="dk1"/>
                        </a:solidFill>
                        <a:latin typeface="+mn-lt"/>
                        <a:ea typeface="+mn-ea"/>
                        <a:cs typeface="+mn-cs"/>
                      </a:rPr>
                      <a:t>%</a:t>
                    </a:r>
                    <a:endParaRPr lang="en-US" altLang="zh-CN" sz="18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118362252591871"/>
                  <c:y val="0.1433884991146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lang="en-US" altLang="zh-CN" sz="1600" b="1">
                        <a:solidFill>
                          <a:schemeClr val="dk1"/>
                        </a:solidFill>
                        <a:latin typeface="+mn-lt"/>
                        <a:ea typeface="+mn-ea"/>
                        <a:cs typeface="+mn-cs"/>
                      </a:rPr>
                      <a:t>15</a:t>
                    </a:r>
                    <a:r>
                      <a:rPr sz="1600" b="1">
                        <a:solidFill>
                          <a:schemeClr val="dk1"/>
                        </a:solidFill>
                        <a:latin typeface="+mn-lt"/>
                        <a:ea typeface="+mn-ea"/>
                        <a:cs typeface="+mn-cs"/>
                      </a:rPr>
                      <a:t>%</a:t>
                    </a:r>
                    <a:endParaRPr sz="1600" b="1">
                      <a:solidFill>
                        <a:schemeClr val="dk1"/>
                      </a:solidFill>
                      <a:latin typeface="+mn-lt"/>
                      <a:ea typeface="+mn-ea"/>
                      <a:cs typeface="+mn-cs"/>
                    </a:endParaRPr>
                  </a:p>
                  <a:p>
                    <a:pPr defTabSz="914400">
                      <a:defRPr lang="zh-CN" sz="900" b="0" i="0" u="none" strike="noStrike" kern="1200" baseline="0">
                        <a:solidFill>
                          <a:schemeClr val="dk1"/>
                        </a:solidFill>
                        <a:latin typeface="+mn-lt"/>
                        <a:ea typeface="+mn-ea"/>
                        <a:cs typeface="+mn-cs"/>
                      </a:defRPr>
                    </a:pPr>
                    <a:endParaRPr sz="14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9166666666667"/>
                  <c:y val="0.12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lang="en-US" altLang="zh-CN" sz="1400" b="1">
                        <a:solidFill>
                          <a:schemeClr val="dk1"/>
                        </a:solidFill>
                        <a:latin typeface="+mn-lt"/>
                        <a:ea typeface="+mn-ea"/>
                        <a:cs typeface="+mn-cs"/>
                      </a:rPr>
                      <a:t>10</a:t>
                    </a:r>
                    <a:r>
                      <a:rPr sz="1400" b="1">
                        <a:solidFill>
                          <a:schemeClr val="dk1"/>
                        </a:solidFill>
                        <a:latin typeface="+mn-lt"/>
                        <a:ea typeface="+mn-ea"/>
                        <a:cs typeface="+mn-cs"/>
                      </a:rPr>
                      <a:t>%</a:t>
                    </a:r>
                    <a:endParaRPr sz="14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[Workbook1.xlsx]Sheet1!$A$2:$A$5</c:f>
              <c:strCache>
                <c:ptCount val="4"/>
                <c:pt idx="0">
                  <c:v>非常喜欢</c:v>
                </c:pt>
                <c:pt idx="1">
                  <c:v>喜欢</c:v>
                </c:pt>
                <c:pt idx="2">
                  <c:v>一般</c:v>
                </c:pt>
                <c:pt idx="3">
                  <c:v>不感兴趣</c:v>
                </c:pt>
              </c:strCache>
            </c:strRef>
          </c:cat>
          <c:val>
            <c:numRef>
              <c:f>[Workbook1.xlsx]Sheet1!$B$2:$B$5</c:f>
              <c:numCache>
                <c:formatCode>General</c:formatCode>
                <c:ptCount val="4"/>
                <c:pt idx="0">
                  <c:v>30</c:v>
                </c:pt>
                <c:pt idx="1">
                  <c:v>45</c:v>
                </c:pt>
                <c:pt idx="2">
                  <c:v>15</c:v>
                </c:pt>
                <c:pt idx="3">
                  <c:v>10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12700" cap="flat" cmpd="sng" algn="ctr">
      <a:solidFill>
        <a:schemeClr val="dk1"/>
      </a:solidFill>
      <a:prstDash val="solid"/>
      <a:miter lim="800000"/>
    </a:ln>
    <a:effectLst/>
    <a:sp3d>
      <a:extrusionClr>
        <a:srgbClr val="FFFFFF"/>
      </a:extrusionClr>
      <a:contourClr>
        <a:srgbClr val="FFFFFF"/>
      </a:contourClr>
    </a:sp3d>
  </c:spPr>
  <c:txPr>
    <a:bodyPr/>
    <a:lstStyle/>
    <a:p>
      <a:pPr>
        <a:defRPr lang="zh-CN">
          <a:solidFill>
            <a:schemeClr val="dk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10967979389"/>
          <c:y val="0.0549313358302122"/>
          <c:w val="0.88836952521163"/>
          <c:h val="0.824818976279651"/>
        </c:manualLayout>
      </c:layout>
      <c:barChart>
        <c:barDir val="col"/>
        <c:grouping val="stack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非常愿意</c:v>
                </c:pt>
                <c:pt idx="1">
                  <c:v>可以接受</c:v>
                </c:pt>
                <c:pt idx="2">
                  <c:v>一般</c:v>
                </c:pt>
              </c:strCache>
            </c:strRef>
          </c:cat>
          <c:val>
            <c:numRef>
              <c:f>Sheet1!$B$2:$B$5</c:f>
              <c:numCache>
                <c:formatCode>0%</c:formatCode>
                <c:ptCount val="4"/>
                <c:pt idx="0">
                  <c:v>0.68</c:v>
                </c:pt>
                <c:pt idx="1">
                  <c:v>0.22</c:v>
                </c:pt>
                <c:pt idx="2">
                  <c:v>0.1</c:v>
                </c:pt>
              </c:numCache>
            </c:numRef>
          </c:val>
        </c:ser>
        <c:ser>
          <c:idx val="1"/>
          <c:order val="1"/>
          <c:tx>
            <c:strRef>
              <c:f>Sheet1!$C$1</c:f>
              <c:strCache>
                <c:ptCount val="1"/>
                <c:pt idx="0">
                  <c:v>系列 2</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非常愿意</c:v>
                </c:pt>
                <c:pt idx="1">
                  <c:v>可以接受</c:v>
                </c:pt>
                <c:pt idx="2">
                  <c:v>一般</c:v>
                </c:pt>
              </c:strCache>
            </c:strRef>
          </c:cat>
          <c:val>
            <c:numRef>
              <c:f>Sheet1!$C$2:$C$5</c:f>
              <c:numCache>
                <c:formatCode>General</c:formatCode>
                <c:ptCount val="4"/>
              </c:numCache>
            </c:numRef>
          </c:val>
        </c:ser>
        <c:ser>
          <c:idx val="2"/>
          <c:order val="2"/>
          <c:tx>
            <c:strRef>
              <c:f>Sheet1!$D$1</c:f>
              <c:strCache>
                <c:ptCount val="1"/>
                <c:pt idx="0">
                  <c:v>系列 3</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非常愿意</c:v>
                </c:pt>
                <c:pt idx="1">
                  <c:v>可以接受</c:v>
                </c:pt>
                <c:pt idx="2">
                  <c:v>一般</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overlap val="100"/>
        <c:axId val="996043448"/>
        <c:axId val="753212653"/>
      </c:barChart>
      <c:catAx>
        <c:axId val="99604344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753212653"/>
        <c:crosses val="autoZero"/>
        <c:auto val="1"/>
        <c:lblAlgn val="ctr"/>
        <c:lblOffset val="100"/>
        <c:noMultiLvlLbl val="0"/>
      </c:catAx>
      <c:valAx>
        <c:axId val="75321265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996043448"/>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a:sp3d>
      <a:extrusionClr>
        <a:srgbClr val="FFFFFF"/>
      </a:extrusionClr>
      <a:contourClr>
        <a:srgbClr val="FFFFFF"/>
      </a:contourClr>
    </a:sp3d>
  </c:spPr>
  <c:txPr>
    <a:bodyPr/>
    <a:lstStyle/>
    <a:p>
      <a:pPr>
        <a:defRPr lang="zh-CN">
          <a:solidFill>
            <a:schemeClr val="dk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48110761209972"/>
                  <c:y val="-0.152966487740107"/>
                </c:manualLayout>
              </c:layout>
              <c:tx>
                <c:rich>
                  <a:bodyPr rot="0" spcFirstLastPara="0" vertOverflow="ellipsis" vert="horz" wrap="square" lIns="38100" tIns="19050" rIns="38100" bIns="19050" anchor="ctr" anchorCtr="1"/>
                  <a:lstStyle/>
                  <a:p>
                    <a:pPr defTabSz="914400">
                      <a:defRPr lang="zh-CN" sz="1400" b="0" i="0" u="none" strike="noStrike" kern="1200" baseline="0">
                        <a:solidFill>
                          <a:schemeClr val="dk1"/>
                        </a:solidFill>
                        <a:latin typeface="+mn-lt"/>
                        <a:ea typeface="+mn-ea"/>
                        <a:cs typeface="+mn-cs"/>
                      </a:defRPr>
                    </a:pPr>
                    <a:r>
                      <a:rPr sz="1400" b="1">
                        <a:solidFill>
                          <a:schemeClr val="dk1"/>
                        </a:solidFill>
                        <a:latin typeface="+mn-lt"/>
                        <a:ea typeface="+mn-ea"/>
                        <a:cs typeface="+mn-cs"/>
                      </a:rPr>
                      <a:t>71%</a:t>
                    </a:r>
                    <a:endParaRPr sz="14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35877655975098"/>
                  <c:y val="0.145319813988871"/>
                </c:manualLayout>
              </c:layout>
              <c:tx>
                <c:rich>
                  <a:bodyPr rot="0" spcFirstLastPara="0" vertOverflow="ellipsis" vert="horz" wrap="square" lIns="38100" tIns="19050" rIns="38100" bIns="19050" anchor="ctr" anchorCtr="1"/>
                  <a:lstStyle/>
                  <a:p>
                    <a:pPr defTabSz="914400">
                      <a:defRPr lang="zh-CN" sz="1400" b="0" i="0" u="none" strike="noStrike" kern="1200" baseline="0">
                        <a:solidFill>
                          <a:schemeClr val="dk1"/>
                        </a:solidFill>
                        <a:latin typeface="+mn-lt"/>
                        <a:ea typeface="+mn-ea"/>
                        <a:cs typeface="+mn-cs"/>
                      </a:defRPr>
                    </a:pPr>
                    <a:r>
                      <a:rPr sz="1400" b="1">
                        <a:solidFill>
                          <a:schemeClr val="dk1"/>
                        </a:solidFill>
                        <a:latin typeface="+mn-lt"/>
                        <a:ea typeface="+mn-ea"/>
                        <a:cs typeface="+mn-cs"/>
                      </a:rPr>
                      <a:t>29%</a:t>
                    </a:r>
                    <a:endParaRPr sz="1400" b="1">
                      <a:solidFill>
                        <a:schemeClr val="dk1"/>
                      </a:solidFill>
                      <a:latin typeface="+mn-lt"/>
                      <a:ea typeface="+mn-ea"/>
                      <a:cs typeface="+mn-cs"/>
                    </a:endParaRP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dk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会</c:v>
                </c:pt>
                <c:pt idx="1">
                  <c:v>不会</c:v>
                </c:pt>
              </c:strCache>
            </c:strRef>
          </c:cat>
          <c:val>
            <c:numRef>
              <c:f>Sheet1!$B$2:$B$5</c:f>
              <c:numCache>
                <c:formatCode>0%</c:formatCode>
                <c:ptCount val="4"/>
                <c:pt idx="0">
                  <c:v>0.71</c:v>
                </c:pt>
                <c:pt idx="1">
                  <c:v>0.29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800" b="0" i="0" u="none" strike="noStrike" kern="1200" baseline="0">
                <a:solidFill>
                  <a:schemeClr val="dk1"/>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dk1"/>
                </a:solidFill>
                <a:latin typeface="+mn-lt"/>
                <a:ea typeface="+mn-ea"/>
                <a:cs typeface="+mn-cs"/>
              </a:defRPr>
            </a:pPr>
          </a:p>
        </c:txPr>
      </c:legendEntry>
      <c:legendEntry>
        <c:idx val="2"/>
        <c:delete val="1"/>
      </c:legendEntry>
      <c:legendEntry>
        <c:idx val="3"/>
        <c:delete val="1"/>
      </c:legendEntry>
      <c:layout>
        <c:manualLayout>
          <c:xMode val="edge"/>
          <c:yMode val="edge"/>
          <c:x val="0.413023383869636"/>
          <c:y val="0.829023031521991"/>
        </c:manualLayout>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dk1"/>
              </a:solidFill>
              <a:latin typeface="+mn-lt"/>
              <a:ea typeface="+mn-ea"/>
              <a:cs typeface="+mn-cs"/>
            </a:defRPr>
          </a:pPr>
        </a:p>
      </c:txPr>
    </c:legend>
    <c:plotVisOnly val="1"/>
    <c:dispBlanksAs val="gap"/>
    <c:showDLblsOverMax val="0"/>
  </c:chart>
  <c:spPr>
    <a:solidFill>
      <a:schemeClr val="lt1"/>
    </a:solidFill>
    <a:ln w="12700" cap="flat" cmpd="sng" algn="ctr">
      <a:solidFill>
        <a:schemeClr val="dk1"/>
      </a:solidFill>
      <a:prstDash val="solid"/>
      <a:miter lim="800000"/>
    </a:ln>
    <a:effectLst/>
    <a:sp3d>
      <a:extrusionClr>
        <a:srgbClr val="FFFFFF"/>
      </a:extrusionClr>
      <a:contourClr>
        <a:srgbClr val="FFFFFF"/>
      </a:contourClr>
    </a:sp3d>
  </c:spPr>
  <c:txPr>
    <a:bodyPr/>
    <a:lstStyle/>
    <a:p>
      <a:pPr>
        <a:defRPr lang="zh-CN" sz="800">
          <a:solidFill>
            <a:schemeClr val="dk1"/>
          </a:solidFill>
          <a:latin typeface="+mn-lt"/>
          <a:ea typeface="+mn-ea"/>
          <a:cs typeface="+mn-c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0" i="0" u="none" strike="noStrike" kern="1200" spc="0" baseline="0">
                <a:solidFill>
                  <a:schemeClr val="dk1"/>
                </a:solidFill>
                <a:latin typeface="+mn-lt"/>
                <a:ea typeface="+mn-ea"/>
                <a:cs typeface="+mn-cs"/>
              </a:defRPr>
            </a:pPr>
            <a:r>
              <a:rPr sz="1080">
                <a:solidFill>
                  <a:schemeClr val="dk1"/>
                </a:solidFill>
                <a:latin typeface="+mn-lt"/>
                <a:ea typeface="+mn-ea"/>
                <a:cs typeface="+mn-cs"/>
              </a:rPr>
              <a:t>你更喜欢上哪种形式的美术课？</a:t>
            </a:r>
            <a:endParaRPr sz="1080">
              <a:solidFill>
                <a:schemeClr val="dk1"/>
              </a:solidFill>
              <a:latin typeface="+mn-lt"/>
              <a:ea typeface="+mn-ea"/>
              <a:cs typeface="+mn-cs"/>
            </a:endParaR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delete val="1"/>
          </c:dLbls>
          <c:cat>
            <c:strRef>
              <c:f>Sheet1!$A$2:$A$5</c:f>
              <c:strCache>
                <c:ptCount val="4"/>
                <c:pt idx="0">
                  <c:v>综合材料</c:v>
                </c:pt>
                <c:pt idx="1">
                  <c:v>绘画</c:v>
                </c:pt>
              </c:strCache>
            </c:strRef>
          </c:cat>
          <c:val>
            <c:numRef>
              <c:f>Sheet1!$B$2:$B$5</c:f>
              <c:numCache>
                <c:formatCode>0%</c:formatCode>
                <c:ptCount val="4"/>
                <c:pt idx="0">
                  <c:v>0.65</c:v>
                </c:pt>
                <c:pt idx="1">
                  <c:v>0.35</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综合材料</c:v>
                </c:pt>
                <c:pt idx="1">
                  <c:v>绘画</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综合材料</c:v>
                </c:pt>
                <c:pt idx="1">
                  <c:v>绘画</c:v>
                </c:pt>
              </c:strCache>
            </c:strRef>
          </c:cat>
          <c:val>
            <c:numRef>
              <c:f>Sheet1!$D$2:$D$5</c:f>
              <c:numCache>
                <c:formatCode>General</c:formatCode>
                <c:ptCount val="4"/>
              </c:numCache>
            </c:numRef>
          </c:val>
        </c:ser>
        <c:dLbls>
          <c:showLegendKey val="0"/>
          <c:showVal val="1"/>
          <c:showCatName val="0"/>
          <c:showSerName val="0"/>
          <c:showPercent val="0"/>
          <c:showBubbleSize val="0"/>
        </c:dLbls>
        <c:gapWidth val="75"/>
        <c:overlap val="100"/>
        <c:axId val="36562019"/>
        <c:axId val="763244436"/>
      </c:barChart>
      <c:catAx>
        <c:axId val="365620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763244436"/>
        <c:crosses val="autoZero"/>
        <c:auto val="1"/>
        <c:lblAlgn val="ctr"/>
        <c:lblOffset val="100"/>
        <c:noMultiLvlLbl val="0"/>
      </c:catAx>
      <c:valAx>
        <c:axId val="763244436"/>
        <c:scaling>
          <c:orientation val="minMax"/>
        </c:scaling>
        <c:delete val="0"/>
        <c:axPos val="l"/>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36562019"/>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a:sp3d>
      <a:extrusionClr>
        <a:srgbClr val="FFFFFF"/>
      </a:extrusionClr>
      <a:contourClr>
        <a:srgbClr val="FFFFFF"/>
      </a:contourClr>
    </a:sp3d>
  </c:spPr>
  <c:txPr>
    <a:bodyPr/>
    <a:lstStyle/>
    <a:p>
      <a:pPr>
        <a:defRPr lang="zh-CN" sz="900">
          <a:solidFill>
            <a:schemeClr val="dk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683301861343404"/>
          <c:y val="0.109378928840835"/>
          <c:w val="0.8778"/>
          <c:h val="0.716566666666667"/>
        </c:manualLayout>
      </c:layout>
      <c:barChart>
        <c:barDir val="bar"/>
        <c:grouping val="stacked"/>
        <c:varyColors val="0"/>
        <c:ser>
          <c:idx val="0"/>
          <c:order val="0"/>
          <c:tx>
            <c:strRef>
              <c:f>Sheet1!$B$1</c:f>
              <c:strCache>
                <c:ptCount val="1"/>
                <c:pt idx="0">
                  <c:v>变废为宝</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tx2">
                          <a:lumMod val="35000"/>
                          <a:lumOff val="65000"/>
                        </a:schemeClr>
                      </a:solidFill>
                    </a:ln>
                    <a:effectLst/>
                  </c:spPr>
                </c15:leaderLines>
              </c:ext>
            </c:extLst>
          </c:dLbls>
          <c:cat>
            <c:numRef>
              <c:f>Sheet1!$A$2:$A$5</c:f>
              <c:numCache>
                <c:formatCode>0%</c:formatCode>
                <c:ptCount val="4"/>
                <c:pt idx="0" c:formatCode="0%">
                  <c:v>0.41</c:v>
                </c:pt>
                <c:pt idx="1" c:formatCode="0%">
                  <c:v>0.29</c:v>
                </c:pt>
                <c:pt idx="2" c:formatCode="0%">
                  <c:v>0.22</c:v>
                </c:pt>
                <c:pt idx="3" c:formatCode="0%">
                  <c:v>0.08</c:v>
                </c:pt>
              </c:numCache>
            </c:numRef>
          </c:cat>
          <c:val>
            <c:numRef>
              <c:f>Sheet1!$B$2:$B$5</c:f>
              <c:numCache>
                <c:formatCode>General</c:formatCode>
                <c:ptCount val="4"/>
                <c:pt idx="0">
                  <c:v>0</c:v>
                </c:pt>
                <c:pt idx="1">
                  <c:v>0</c:v>
                </c:pt>
                <c:pt idx="2">
                  <c:v>0</c:v>
                </c:pt>
                <c:pt idx="3">
                  <c:v>0</c:v>
                </c:pt>
              </c:numCache>
            </c:numRef>
          </c:val>
        </c:ser>
        <c:ser>
          <c:idx val="1"/>
          <c:order val="1"/>
          <c:tx>
            <c:strRef>
              <c:f>Sheet1!$C$1</c:f>
              <c:strCache>
                <c:ptCount val="1"/>
                <c:pt idx="0">
                  <c:v>培养环保理念</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a:solidFill>
                          <a:schemeClr val="dk1"/>
                        </a:solidFill>
                        <a:latin typeface="+mn-lt"/>
                        <a:ea typeface="+mn-ea"/>
                        <a:cs typeface="+mn-cs"/>
                      </a:rPr>
                      <a:t>变废为宝</a:t>
                    </a:r>
                    <a:endParaRPr>
                      <a:solidFill>
                        <a:schemeClr val="dk1"/>
                      </a:solidFill>
                      <a:latin typeface="+mn-lt"/>
                      <a:ea typeface="+mn-ea"/>
                      <a:cs typeface="+mn-cs"/>
                    </a:endParaRPr>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a:solidFill>
                          <a:schemeClr val="dk1"/>
                        </a:solidFill>
                        <a:latin typeface="+mn-lt"/>
                        <a:ea typeface="+mn-ea"/>
                        <a:cs typeface="+mn-cs"/>
                      </a:rPr>
                      <a:t>培养环保理念</a:t>
                    </a:r>
                    <a:endParaRPr>
                      <a:solidFill>
                        <a:schemeClr val="dk1"/>
                      </a:solidFill>
                      <a:latin typeface="+mn-lt"/>
                      <a:ea typeface="+mn-ea"/>
                      <a:cs typeface="+mn-cs"/>
                    </a:endParaRPr>
                  </a:p>
                </c:rich>
              </c:tx>
              <c:dLblPos val="ctr"/>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a:solidFill>
                          <a:schemeClr val="dk1"/>
                        </a:solidFill>
                        <a:latin typeface="+mn-lt"/>
                        <a:ea typeface="+mn-ea"/>
                        <a:cs typeface="+mn-cs"/>
                      </a:rPr>
                      <a:t>提高动手能力</a:t>
                    </a:r>
                    <a:endParaRPr>
                      <a:solidFill>
                        <a:schemeClr val="dk1"/>
                      </a:solidFill>
                      <a:latin typeface="+mn-lt"/>
                      <a:ea typeface="+mn-ea"/>
                      <a:cs typeface="+mn-cs"/>
                    </a:endParaRPr>
                  </a:p>
                </c:rich>
              </c:tx>
              <c:dLblPos val="ctr"/>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solidFill>
                        <a:latin typeface="+mn-lt"/>
                        <a:ea typeface="+mn-ea"/>
                        <a:cs typeface="+mn-cs"/>
                      </a:defRPr>
                    </a:pPr>
                    <a:r>
                      <a:rPr>
                        <a:solidFill>
                          <a:schemeClr val="dk1"/>
                        </a:solidFill>
                        <a:latin typeface="+mn-lt"/>
                        <a:ea typeface="+mn-ea"/>
                        <a:cs typeface="+mn-cs"/>
                      </a:rPr>
                      <a:t>加强对材料认识</a:t>
                    </a:r>
                    <a:endParaRPr>
                      <a:solidFill>
                        <a:schemeClr val="dk1"/>
                      </a:solidFill>
                      <a:latin typeface="+mn-lt"/>
                      <a:ea typeface="+mn-ea"/>
                      <a:cs typeface="+mn-cs"/>
                    </a:endParaRPr>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2">
                          <a:lumMod val="35000"/>
                          <a:lumOff val="65000"/>
                        </a:schemeClr>
                      </a:solidFill>
                    </a:ln>
                    <a:effectLst/>
                  </c:spPr>
                </c15:leaderLines>
              </c:ext>
            </c:extLst>
          </c:dLbls>
          <c:cat>
            <c:numRef>
              <c:f>Sheet1!$A$2:$A$5</c:f>
              <c:numCache>
                <c:formatCode>0%</c:formatCode>
                <c:ptCount val="4"/>
                <c:pt idx="0" c:formatCode="0%">
                  <c:v>0.41</c:v>
                </c:pt>
                <c:pt idx="1" c:formatCode="0%">
                  <c:v>0.29</c:v>
                </c:pt>
                <c:pt idx="2" c:formatCode="0%">
                  <c:v>0.22</c:v>
                </c:pt>
                <c:pt idx="3" c:formatCode="0%">
                  <c:v>0.08</c:v>
                </c:pt>
              </c:numCache>
            </c:numRef>
          </c:cat>
          <c:val>
            <c:numRef>
              <c:f>Sheet1!$C$2:$C$5</c:f>
              <c:numCache>
                <c:formatCode>General</c:formatCode>
                <c:ptCount val="4"/>
                <c:pt idx="0">
                  <c:v>41</c:v>
                </c:pt>
                <c:pt idx="1">
                  <c:v>29</c:v>
                </c:pt>
                <c:pt idx="2">
                  <c:v>22</c:v>
                </c:pt>
                <c:pt idx="3">
                  <c:v>8</c:v>
                </c:pt>
              </c:numCache>
            </c:numRef>
          </c:val>
        </c:ser>
        <c:ser>
          <c:idx val="2"/>
          <c:order val="2"/>
          <c:tx>
            <c:strRef>
              <c:f>Sheet1!$D$1</c:f>
              <c:strCache>
                <c:ptCount val="1"/>
                <c:pt idx="0">
                  <c:v>提高动手能力</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tx2">
                          <a:lumMod val="35000"/>
                          <a:lumOff val="65000"/>
                        </a:schemeClr>
                      </a:solidFill>
                    </a:ln>
                    <a:effectLst/>
                  </c:spPr>
                </c15:leaderLines>
              </c:ext>
            </c:extLst>
          </c:dLbls>
          <c:cat>
            <c:numRef>
              <c:f>Sheet1!$A$2:$A$5</c:f>
              <c:numCache>
                <c:formatCode>0%</c:formatCode>
                <c:ptCount val="4"/>
                <c:pt idx="0" c:formatCode="0%">
                  <c:v>0.41</c:v>
                </c:pt>
                <c:pt idx="1" c:formatCode="0%">
                  <c:v>0.29</c:v>
                </c:pt>
                <c:pt idx="2" c:formatCode="0%">
                  <c:v>0.22</c:v>
                </c:pt>
                <c:pt idx="3" c:formatCode="0%">
                  <c:v>0.08</c:v>
                </c:pt>
              </c:numCache>
            </c:numRef>
          </c:cat>
          <c:val>
            <c:numRef>
              <c:f>Sheet1!$D$2:$D$5</c:f>
              <c:numCache>
                <c:formatCode>General</c:formatCode>
                <c:ptCount val="4"/>
              </c:numCache>
            </c:numRef>
          </c:val>
        </c:ser>
        <c:dLbls>
          <c:showLegendKey val="0"/>
          <c:showVal val="1"/>
          <c:showCatName val="0"/>
          <c:showSerName val="0"/>
          <c:showPercent val="0"/>
          <c:showBubbleSize val="0"/>
        </c:dLbls>
        <c:gapWidth val="150"/>
        <c:overlap val="100"/>
        <c:axId val="774384276"/>
        <c:axId val="707293461"/>
      </c:barChart>
      <c:catAx>
        <c:axId val="774384276"/>
        <c:scaling>
          <c:orientation val="minMax"/>
        </c:scaling>
        <c:delete val="0"/>
        <c:axPos val="l"/>
        <c:majorTickMark val="none"/>
        <c:minorTickMark val="none"/>
        <c:tickLblPos val="nextTo"/>
        <c:spPr>
          <a:noFill/>
          <a:ln w="9525" cap="flat" cmpd="sng" algn="ctr">
            <a:solidFill>
              <a:schemeClr val="tx2">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707293461"/>
        <c:crosses val="autoZero"/>
        <c:auto val="1"/>
        <c:lblAlgn val="ctr"/>
        <c:lblOffset val="100"/>
        <c:noMultiLvlLbl val="0"/>
      </c:catAx>
      <c:valAx>
        <c:axId val="707293461"/>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solidFill>
                <a:latin typeface="+mn-lt"/>
                <a:ea typeface="+mn-ea"/>
                <a:cs typeface="+mn-cs"/>
              </a:defRPr>
            </a:pPr>
          </a:p>
        </c:txPr>
        <c:crossAx val="774384276"/>
        <c:crosses val="autoZero"/>
        <c:crossBetween val="between"/>
      </c:valAx>
      <c:spPr>
        <a:noFill/>
        <a:ln>
          <a:noFill/>
        </a:ln>
        <a:effectLst/>
      </c:spPr>
    </c:plotArea>
    <c:plotVisOnly val="1"/>
    <c:dispBlanksAs val="gap"/>
    <c:showDLblsOverMax val="0"/>
  </c:chart>
  <c:spPr>
    <a:solidFill>
      <a:schemeClr val="lt1"/>
    </a:solidFill>
    <a:ln w="12700" cap="flat" cmpd="sng" algn="ctr">
      <a:solidFill>
        <a:schemeClr val="dk1"/>
      </a:solidFill>
      <a:prstDash val="solid"/>
      <a:miter lim="800000"/>
    </a:ln>
    <a:effectLst/>
    <a:sp3d>
      <a:extrusionClr>
        <a:srgbClr val="FFFFFF"/>
      </a:extrusionClr>
      <a:contourClr>
        <a:srgbClr val="FFFFFF"/>
      </a:contourClr>
    </a:sp3d>
  </c:spPr>
  <c:txPr>
    <a:bodyPr/>
    <a:lstStyle/>
    <a:p>
      <a:pPr>
        <a:defRPr lang="zh-CN">
          <a:solidFill>
            <a:schemeClr val="dk1"/>
          </a:solidFill>
          <a:latin typeface="+mn-lt"/>
          <a:ea typeface="+mn-ea"/>
          <a:cs typeface="+mn-cs"/>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0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5158</Words>
  <Characters>5173</Characters>
  <Lines>0</Lines>
  <Paragraphs>0</Paragraphs>
  <TotalTime>1</TotalTime>
  <ScaleCrop>false</ScaleCrop>
  <LinksUpToDate>false</LinksUpToDate>
  <CharactersWithSpaces>5224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2023-03-19T15:08:00Z</dcterms:created>
  <dc:creator>Cxh.</dc:creator>
  <cp:lastModifiedBy>WPS_1478772955</cp:lastModifiedBy>
  <dcterms:modified xsi:type="dcterms:W3CDTF">2023-04-12T02:35:56Z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59F9804B1CD3481BB216559B6E7DEB21</vt:lpwstr>
  </property>
</Properties>
</file>