
<file path=[Content_Types].xml><?xml version="1.0" encoding="utf-8"?>
<Types xmlns="http://schemas.openxmlformats.org/package/2006/content-types">
  <Default Extension="wmf" ContentType="image/x-wm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b/>
          <w:bCs/>
          <w:sz w:val="36"/>
          <w:szCs w:val="36"/>
        </w:rPr>
      </w:pPr>
      <w:r>
        <w:rPr>
          <w:rFonts w:ascii="Times New Roman" w:hAnsi="Times New Roman" w:eastAsia="黑体" w:cs="Times New Roman"/>
          <w:b/>
          <w:bCs/>
          <w:sz w:val="36"/>
          <w:szCs w:val="36"/>
        </w:rPr>
        <w:t>基于</w:t>
      </w:r>
      <w:r>
        <w:rPr>
          <w:rFonts w:hint="eastAsia" w:ascii="Times New Roman" w:hAnsi="Times New Roman" w:eastAsia="黑体" w:cs="Times New Roman"/>
          <w:b/>
          <w:bCs/>
          <w:sz w:val="36"/>
          <w:szCs w:val="36"/>
        </w:rPr>
        <w:t>教学评一体化</w:t>
      </w:r>
      <w:r>
        <w:rPr>
          <w:rFonts w:ascii="Times New Roman" w:hAnsi="Times New Roman" w:eastAsia="黑体" w:cs="Times New Roman"/>
          <w:b/>
          <w:bCs/>
          <w:sz w:val="36"/>
          <w:szCs w:val="36"/>
        </w:rPr>
        <w:t>的初中英语听</w:t>
      </w:r>
      <w:r>
        <w:rPr>
          <w:rFonts w:hint="eastAsia" w:ascii="Times New Roman" w:hAnsi="Times New Roman" w:eastAsia="黑体" w:cs="Times New Roman"/>
          <w:b/>
          <w:bCs/>
          <w:sz w:val="36"/>
          <w:szCs w:val="36"/>
        </w:rPr>
        <w:t>说教学</w:t>
      </w:r>
      <w:r>
        <w:rPr>
          <w:rFonts w:ascii="Times New Roman" w:hAnsi="Times New Roman" w:eastAsia="黑体" w:cs="Times New Roman"/>
          <w:b/>
          <w:bCs/>
          <w:sz w:val="36"/>
          <w:szCs w:val="36"/>
        </w:rPr>
        <w:t>设计与实践</w:t>
      </w:r>
    </w:p>
    <w:p>
      <w:pPr>
        <w:spacing w:line="360" w:lineRule="auto"/>
        <w:jc w:val="center"/>
        <w:rPr>
          <w:rFonts w:ascii="宋体" w:hAnsi="宋体" w:eastAsia="宋体" w:cs="宋体"/>
          <w:sz w:val="24"/>
          <w:szCs w:val="24"/>
        </w:rPr>
      </w:pPr>
      <w:r>
        <w:rPr>
          <w:rFonts w:hint="eastAsia" w:ascii="宋体" w:hAnsi="宋体" w:eastAsia="宋体" w:cs="宋体"/>
          <w:sz w:val="24"/>
          <w:szCs w:val="24"/>
        </w:rPr>
        <w:t>（上海市田林第二中学）</w:t>
      </w:r>
    </w:p>
    <w:p>
      <w:pPr>
        <w:spacing w:line="360" w:lineRule="auto"/>
        <w:jc w:val="center"/>
        <w:rPr>
          <w:rFonts w:ascii="宋体" w:hAnsi="宋体" w:eastAsia="宋体" w:cs="宋体"/>
          <w:sz w:val="24"/>
          <w:szCs w:val="24"/>
        </w:rPr>
      </w:pPr>
      <w:r>
        <w:rPr>
          <w:rFonts w:hint="eastAsia" w:ascii="宋体" w:hAnsi="宋体" w:eastAsia="宋体" w:cs="宋体"/>
          <w:sz w:val="24"/>
          <w:szCs w:val="24"/>
        </w:rPr>
        <w:t>金宏宇</w:t>
      </w:r>
    </w:p>
    <w:p>
      <w:pPr>
        <w:spacing w:line="360" w:lineRule="auto"/>
        <w:ind w:firstLine="482" w:firstLineChars="200"/>
        <w:rPr>
          <w:rFonts w:asciiTheme="minorEastAsia" w:hAnsiTheme="minorEastAsia"/>
          <w:sz w:val="24"/>
          <w:szCs w:val="24"/>
        </w:rPr>
      </w:pPr>
      <w:r>
        <w:rPr>
          <w:rFonts w:hint="eastAsia"/>
          <w:b/>
          <w:sz w:val="24"/>
          <w:szCs w:val="24"/>
        </w:rPr>
        <w:t>摘要：</w:t>
      </w:r>
      <w:r>
        <w:rPr>
          <w:rFonts w:hint="eastAsia" w:asciiTheme="minorEastAsia" w:hAnsiTheme="minorEastAsia"/>
          <w:sz w:val="24"/>
          <w:szCs w:val="24"/>
        </w:rPr>
        <w:t>在英语教学中，听和说分别是重要的输入和输出环节。听说水平的高低在一定程度上反映了一个学生的英语整体水平，它们也是学生进行英语语言交际的重要手段。2022年出版的新课标也对初中英语听说提出了更高的要求。因此，为了提升学生的听说能力，笔者尝试将新课标提出的教学评一体化应用到牛津英语</w:t>
      </w:r>
      <w:r>
        <w:rPr>
          <w:rFonts w:ascii="Times New Roman" w:hAnsi="Times New Roman" w:cs="Times New Roman"/>
          <w:sz w:val="24"/>
          <w:szCs w:val="24"/>
        </w:rPr>
        <w:t xml:space="preserve">8AU7 </w:t>
      </w:r>
      <w:r>
        <w:rPr>
          <w:rFonts w:ascii="Times New Roman" w:hAnsi="Times New Roman" w:cs="Times New Roman"/>
          <w:i/>
          <w:sz w:val="24"/>
          <w:szCs w:val="24"/>
        </w:rPr>
        <w:t>Captain King’s life and work</w:t>
      </w:r>
      <w:r>
        <w:rPr>
          <w:rFonts w:hint="eastAsia" w:asciiTheme="minorEastAsia" w:hAnsiTheme="minorEastAsia"/>
          <w:sz w:val="24"/>
          <w:szCs w:val="24"/>
        </w:rPr>
        <w:t>中，通过应用信息资源、学习支架、多种评价方式和学习活动观以探究提高初中英语听说教学效率的方法。</w:t>
      </w:r>
    </w:p>
    <w:p>
      <w:pPr>
        <w:spacing w:line="360" w:lineRule="auto"/>
        <w:ind w:firstLine="482" w:firstLineChars="200"/>
        <w:rPr>
          <w:sz w:val="24"/>
          <w:szCs w:val="24"/>
        </w:rPr>
      </w:pPr>
      <w:r>
        <w:rPr>
          <w:rFonts w:hint="eastAsia"/>
          <w:b/>
          <w:sz w:val="24"/>
          <w:szCs w:val="24"/>
        </w:rPr>
        <w:t>关键词：</w:t>
      </w:r>
      <w:r>
        <w:rPr>
          <w:rFonts w:hint="eastAsia"/>
          <w:sz w:val="24"/>
          <w:szCs w:val="24"/>
        </w:rPr>
        <w:t>教学评一体化；</w:t>
      </w:r>
      <w:r>
        <w:rPr>
          <w:sz w:val="24"/>
          <w:szCs w:val="24"/>
        </w:rPr>
        <w:t>初中英语；听</w:t>
      </w:r>
      <w:r>
        <w:rPr>
          <w:rFonts w:hint="eastAsia"/>
          <w:sz w:val="24"/>
          <w:szCs w:val="24"/>
        </w:rPr>
        <w:t>说；教学</w:t>
      </w:r>
      <w:r>
        <w:rPr>
          <w:sz w:val="24"/>
          <w:szCs w:val="24"/>
        </w:rPr>
        <w:t>设计</w:t>
      </w:r>
    </w:p>
    <w:p>
      <w:pPr>
        <w:spacing w:line="360" w:lineRule="auto"/>
        <w:rPr>
          <w:rFonts w:ascii="Times New Roman" w:hAnsi="Times New Roman" w:eastAsia="黑体" w:cs="Times New Roman"/>
          <w:b/>
          <w:bCs/>
          <w:sz w:val="30"/>
          <w:szCs w:val="30"/>
        </w:rPr>
      </w:pPr>
      <w:r>
        <w:rPr>
          <w:rFonts w:hint="eastAsia" w:ascii="Times New Roman" w:hAnsi="Times New Roman" w:eastAsia="黑体" w:cs="Times New Roman"/>
          <w:b/>
          <w:bCs/>
          <w:sz w:val="30"/>
          <w:szCs w:val="30"/>
        </w:rPr>
        <w:t>一、研究背景</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（一）新课标对初中英语听说</w:t>
      </w:r>
      <w:r>
        <w:rPr>
          <w:rFonts w:hint="eastAsia" w:ascii="Times New Roman" w:hAnsi="Times New Roman" w:eastAsia="黑体" w:cs="Times New Roman"/>
          <w:b/>
          <w:bCs/>
          <w:sz w:val="28"/>
          <w:szCs w:val="28"/>
          <w:lang w:eastAsia="zh-Hans"/>
        </w:rPr>
        <w:t>及教学评一体化</w:t>
      </w:r>
      <w:r>
        <w:rPr>
          <w:rFonts w:hint="eastAsia" w:ascii="Times New Roman" w:hAnsi="Times New Roman" w:eastAsia="黑体" w:cs="Times New Roman"/>
          <w:b/>
          <w:bCs/>
          <w:sz w:val="28"/>
          <w:szCs w:val="28"/>
        </w:rPr>
        <w:t>的要求</w:t>
      </w:r>
    </w:p>
    <w:p>
      <w:pPr>
        <w:spacing w:line="360" w:lineRule="auto"/>
        <w:ind w:firstLine="480" w:firstLineChars="200"/>
        <w:rPr>
          <w:sz w:val="24"/>
          <w:szCs w:val="24"/>
        </w:rPr>
      </w:pPr>
      <w:r>
        <w:rPr>
          <w:rFonts w:hint="eastAsia" w:asciiTheme="minorEastAsia" w:hAnsiTheme="minorEastAsia"/>
          <w:sz w:val="24"/>
          <w:szCs w:val="24"/>
        </w:rPr>
        <w:t>2022年4月教育部发布了新的《义务教育英语课程标准》（2022年版）。新课标要求在听说教学中学生能围绕相关主题，运用所学语言，与他人进行日常交流，语音、语调、用词基本正确，</w:t>
      </w:r>
      <w:r>
        <w:rPr>
          <w:rFonts w:hint="eastAsia"/>
          <w:sz w:val="24"/>
          <w:szCs w:val="24"/>
        </w:rPr>
        <w:t>表达比较连贯；能选用不同句式结构和时态，描述和介绍身边的人、事物或事件，表达情感、态度、观点和意图等。</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lang w:eastAsia="zh-Hans"/>
        </w:rPr>
        <w:t>对于教学评一体化</w:t>
      </w:r>
      <w:r>
        <w:rPr>
          <w:rFonts w:asciiTheme="minorEastAsia" w:hAnsiTheme="minorEastAsia"/>
          <w:sz w:val="24"/>
          <w:szCs w:val="24"/>
          <w:lang w:eastAsia="zh-Hans"/>
        </w:rPr>
        <w:t>，</w:t>
      </w:r>
      <w:r>
        <w:rPr>
          <w:rFonts w:hint="eastAsia" w:asciiTheme="minorEastAsia" w:hAnsiTheme="minorEastAsia"/>
          <w:sz w:val="24"/>
          <w:szCs w:val="24"/>
          <w:lang w:eastAsia="zh-Hans"/>
        </w:rPr>
        <w:t>新课标的要求有</w:t>
      </w:r>
      <w:r>
        <w:rPr>
          <w:rFonts w:hint="eastAsia" w:asciiTheme="minorEastAsia" w:hAnsiTheme="minorEastAsia"/>
          <w:sz w:val="24"/>
          <w:szCs w:val="24"/>
        </w:rPr>
        <w:t>坚持将评价贯穿英语课程教与学的全过程</w:t>
      </w:r>
      <w:r>
        <w:rPr>
          <w:rFonts w:asciiTheme="minorEastAsia" w:hAnsiTheme="minorEastAsia"/>
          <w:sz w:val="24"/>
          <w:szCs w:val="24"/>
        </w:rPr>
        <w:t>。</w:t>
      </w:r>
      <w:r>
        <w:rPr>
          <w:rFonts w:hint="eastAsia" w:asciiTheme="minorEastAsia" w:hAnsiTheme="minorEastAsia"/>
          <w:sz w:val="24"/>
          <w:szCs w:val="24"/>
        </w:rPr>
        <w:t>注重发挥学生的主观能动性</w:t>
      </w:r>
      <w:r>
        <w:rPr>
          <w:rFonts w:asciiTheme="minorEastAsia" w:hAnsiTheme="minorEastAsia"/>
          <w:sz w:val="24"/>
          <w:szCs w:val="24"/>
        </w:rPr>
        <w:t>，</w:t>
      </w:r>
      <w:r>
        <w:rPr>
          <w:rFonts w:hint="eastAsia" w:asciiTheme="minorEastAsia" w:hAnsiTheme="minorEastAsia"/>
          <w:sz w:val="24"/>
          <w:szCs w:val="24"/>
        </w:rPr>
        <w:t>引导学生成为各类评价活动的设计者、参与者和合作者</w:t>
      </w:r>
      <w:r>
        <w:rPr>
          <w:rFonts w:asciiTheme="minorEastAsia" w:hAnsiTheme="minorEastAsia"/>
          <w:sz w:val="24"/>
          <w:szCs w:val="24"/>
        </w:rPr>
        <w:t>，</w:t>
      </w:r>
      <w:r>
        <w:rPr>
          <w:rFonts w:hint="eastAsia" w:asciiTheme="minorEastAsia" w:hAnsiTheme="minorEastAsia"/>
          <w:sz w:val="24"/>
          <w:szCs w:val="24"/>
        </w:rPr>
        <w:t>自觉运用评价结果改进学习</w:t>
      </w:r>
      <w:r>
        <w:rPr>
          <w:rFonts w:asciiTheme="minorEastAsia" w:hAnsiTheme="minorEastAsia"/>
          <w:sz w:val="24"/>
          <w:szCs w:val="24"/>
        </w:rPr>
        <w:t>。</w:t>
      </w:r>
      <w:r>
        <w:rPr>
          <w:rFonts w:hint="eastAsia" w:asciiTheme="minorEastAsia" w:hAnsiTheme="minorEastAsia"/>
          <w:sz w:val="24"/>
          <w:szCs w:val="24"/>
        </w:rPr>
        <w:t>注重引导教师科学运用评价手段与结果</w:t>
      </w:r>
      <w:r>
        <w:rPr>
          <w:rFonts w:asciiTheme="minorEastAsia" w:hAnsiTheme="minorEastAsia"/>
          <w:sz w:val="24"/>
          <w:szCs w:val="24"/>
        </w:rPr>
        <w:t>，</w:t>
      </w:r>
      <w:r>
        <w:rPr>
          <w:rFonts w:hint="eastAsia" w:asciiTheme="minorEastAsia" w:hAnsiTheme="minorEastAsia"/>
          <w:sz w:val="24"/>
          <w:szCs w:val="24"/>
        </w:rPr>
        <w:t>针对学生学习表现及时提供反馈与帮助</w:t>
      </w:r>
      <w:r>
        <w:rPr>
          <w:rFonts w:asciiTheme="minorEastAsia" w:hAnsiTheme="minorEastAsia"/>
          <w:sz w:val="24"/>
          <w:szCs w:val="24"/>
        </w:rPr>
        <w:t>，</w:t>
      </w:r>
      <w:r>
        <w:rPr>
          <w:rFonts w:hint="eastAsia" w:asciiTheme="minorEastAsia" w:hAnsiTheme="minorEastAsia"/>
          <w:sz w:val="24"/>
          <w:szCs w:val="24"/>
        </w:rPr>
        <w:t>反思教学行为和效果</w:t>
      </w:r>
      <w:r>
        <w:rPr>
          <w:rFonts w:asciiTheme="minorEastAsia" w:hAnsiTheme="minorEastAsia"/>
          <w:sz w:val="24"/>
          <w:szCs w:val="24"/>
        </w:rPr>
        <w:t>，</w:t>
      </w:r>
      <w:r>
        <w:rPr>
          <w:rFonts w:hint="eastAsia" w:asciiTheme="minorEastAsia" w:hAnsiTheme="minorEastAsia"/>
          <w:sz w:val="24"/>
          <w:szCs w:val="24"/>
        </w:rPr>
        <w:t>教学相长</w:t>
      </w:r>
      <w:r>
        <w:rPr>
          <w:rFonts w:asciiTheme="minorEastAsia" w:hAnsiTheme="minorEastAsia"/>
          <w:sz w:val="24"/>
          <w:szCs w:val="24"/>
        </w:rPr>
        <w:t>。</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基于以上要求</w:t>
      </w:r>
      <w:r>
        <w:rPr>
          <w:rFonts w:asciiTheme="minorEastAsia" w:hAnsiTheme="minorEastAsia"/>
          <w:sz w:val="24"/>
          <w:szCs w:val="24"/>
          <w:lang w:eastAsia="zh-Hans"/>
        </w:rPr>
        <w:t>，</w:t>
      </w:r>
      <w:r>
        <w:rPr>
          <w:rFonts w:hint="eastAsia" w:asciiTheme="minorEastAsia" w:hAnsiTheme="minorEastAsia"/>
          <w:sz w:val="24"/>
          <w:szCs w:val="24"/>
          <w:lang w:eastAsia="zh-Hans"/>
        </w:rPr>
        <w:t>笔者认为教师应当结合信息资源、学习支架、多种评价方式和学习活动观实现教学评一体化下的初中英语听说教学</w:t>
      </w:r>
      <w:r>
        <w:rPr>
          <w:rFonts w:asciiTheme="minorEastAsia" w:hAnsiTheme="minorEastAsia"/>
          <w:sz w:val="24"/>
          <w:szCs w:val="24"/>
          <w:lang w:eastAsia="zh-Hans"/>
        </w:rPr>
        <w:t>，</w:t>
      </w:r>
      <w:r>
        <w:rPr>
          <w:rFonts w:hint="eastAsia" w:asciiTheme="minorEastAsia" w:hAnsiTheme="minorEastAsia"/>
          <w:sz w:val="24"/>
          <w:szCs w:val="24"/>
          <w:lang w:eastAsia="zh-Hans"/>
        </w:rPr>
        <w:t>帮助学生解决听说问题</w:t>
      </w:r>
      <w:r>
        <w:rPr>
          <w:rFonts w:asciiTheme="minorEastAsia" w:hAnsiTheme="minorEastAsia"/>
          <w:sz w:val="24"/>
          <w:szCs w:val="24"/>
          <w:lang w:eastAsia="zh-Hans"/>
        </w:rPr>
        <w:t>，</w:t>
      </w:r>
      <w:r>
        <w:rPr>
          <w:rFonts w:hint="eastAsia" w:asciiTheme="minorEastAsia" w:hAnsiTheme="minorEastAsia"/>
          <w:sz w:val="24"/>
          <w:szCs w:val="24"/>
          <w:lang w:eastAsia="zh-Hans"/>
        </w:rPr>
        <w:t>提升听说能力</w:t>
      </w:r>
      <w:r>
        <w:rPr>
          <w:rFonts w:asciiTheme="minorEastAsia" w:hAnsiTheme="minorEastAsia"/>
          <w:sz w:val="24"/>
          <w:szCs w:val="24"/>
          <w:lang w:eastAsia="zh-Hans"/>
        </w:rPr>
        <w:t>。</w:t>
      </w:r>
    </w:p>
    <w:p>
      <w:pPr>
        <w:spacing w:line="360" w:lineRule="auto"/>
        <w:rPr>
          <w:rFonts w:ascii="Times New Roman" w:hAnsi="Times New Roman" w:eastAsia="黑体" w:cs="Times New Roman"/>
          <w:b/>
          <w:bCs/>
          <w:sz w:val="28"/>
          <w:szCs w:val="28"/>
          <w:lang w:eastAsia="zh-Hans"/>
        </w:rPr>
      </w:pPr>
      <w:r>
        <w:rPr>
          <w:rFonts w:hint="eastAsia" w:ascii="Times New Roman" w:hAnsi="Times New Roman" w:eastAsia="黑体" w:cs="Times New Roman"/>
          <w:b/>
          <w:bCs/>
          <w:sz w:val="28"/>
          <w:szCs w:val="28"/>
        </w:rPr>
        <w:t>（二）初中英语听说</w:t>
      </w:r>
      <w:r>
        <w:rPr>
          <w:rFonts w:hint="eastAsia" w:ascii="Times New Roman" w:hAnsi="Times New Roman" w:eastAsia="黑体" w:cs="Times New Roman"/>
          <w:b/>
          <w:bCs/>
          <w:sz w:val="28"/>
          <w:szCs w:val="28"/>
          <w:lang w:eastAsia="zh-Hans"/>
        </w:rPr>
        <w:t>教学</w:t>
      </w:r>
      <w:r>
        <w:rPr>
          <w:rFonts w:hint="eastAsia" w:ascii="Times New Roman" w:hAnsi="Times New Roman" w:eastAsia="黑体" w:cs="Times New Roman"/>
          <w:b/>
          <w:bCs/>
          <w:sz w:val="28"/>
          <w:szCs w:val="28"/>
        </w:rPr>
        <w:t>现</w:t>
      </w:r>
      <w:r>
        <w:rPr>
          <w:rFonts w:hint="eastAsia" w:ascii="Times New Roman" w:hAnsi="Times New Roman" w:eastAsia="黑体" w:cs="Times New Roman"/>
          <w:b/>
          <w:bCs/>
          <w:sz w:val="28"/>
          <w:szCs w:val="28"/>
          <w:lang w:eastAsia="zh-Hans"/>
        </w:rPr>
        <w:t>状</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lang w:eastAsia="zh-Hans"/>
        </w:rPr>
        <w:t>目前</w:t>
      </w:r>
      <w:r>
        <w:rPr>
          <w:rFonts w:asciiTheme="minorEastAsia" w:hAnsiTheme="minorEastAsia"/>
          <w:sz w:val="24"/>
          <w:szCs w:val="24"/>
          <w:lang w:eastAsia="zh-Hans"/>
        </w:rPr>
        <w:t>，</w:t>
      </w:r>
      <w:r>
        <w:rPr>
          <w:rFonts w:hint="eastAsia" w:asciiTheme="minorEastAsia" w:hAnsiTheme="minorEastAsia"/>
          <w:sz w:val="24"/>
          <w:szCs w:val="24"/>
          <w:lang w:eastAsia="zh-Hans"/>
        </w:rPr>
        <w:t>学生在</w:t>
      </w:r>
      <w:r>
        <w:rPr>
          <w:rFonts w:hint="eastAsia" w:asciiTheme="minorEastAsia" w:hAnsiTheme="minorEastAsia"/>
          <w:sz w:val="24"/>
          <w:szCs w:val="24"/>
        </w:rPr>
        <w:t>初中英语</w:t>
      </w:r>
      <w:r>
        <w:rPr>
          <w:rFonts w:hint="eastAsia" w:asciiTheme="minorEastAsia" w:hAnsiTheme="minorEastAsia"/>
          <w:sz w:val="24"/>
          <w:szCs w:val="24"/>
          <w:lang w:eastAsia="zh-Hans"/>
        </w:rPr>
        <w:t>听说学习中的主要问题为</w:t>
      </w:r>
      <w:r>
        <w:rPr>
          <w:rFonts w:hint="eastAsia" w:asciiTheme="minorEastAsia" w:hAnsiTheme="minorEastAsia"/>
          <w:sz w:val="24"/>
          <w:szCs w:val="24"/>
        </w:rPr>
        <w:t>：听前状态散漫，没有做好充分的听力准备或不知道该如何进行听力准备</w:t>
      </w:r>
      <w:r>
        <w:rPr>
          <w:rFonts w:asciiTheme="minorEastAsia" w:hAnsiTheme="minorEastAsia"/>
          <w:sz w:val="24"/>
          <w:szCs w:val="24"/>
        </w:rPr>
        <w:t>；</w:t>
      </w:r>
      <w:r>
        <w:rPr>
          <w:rFonts w:hint="eastAsia" w:asciiTheme="minorEastAsia" w:hAnsiTheme="minorEastAsia"/>
          <w:sz w:val="24"/>
          <w:szCs w:val="24"/>
        </w:rPr>
        <w:t>听中听不懂，笔记不会记、记录不了关键信息</w:t>
      </w:r>
      <w:r>
        <w:rPr>
          <w:rFonts w:asciiTheme="minorEastAsia" w:hAnsiTheme="minorEastAsia"/>
          <w:sz w:val="24"/>
          <w:szCs w:val="24"/>
        </w:rPr>
        <w:t>；</w:t>
      </w:r>
      <w:r>
        <w:rPr>
          <w:rFonts w:hint="eastAsia" w:asciiTheme="minorEastAsia" w:hAnsiTheme="minorEastAsia"/>
          <w:sz w:val="24"/>
          <w:szCs w:val="24"/>
        </w:rPr>
        <w:t>听后复述等口头表达组织困难</w:t>
      </w:r>
      <w:r>
        <w:rPr>
          <w:rFonts w:asciiTheme="minorEastAsia" w:hAnsiTheme="minorEastAsia"/>
          <w:sz w:val="24"/>
          <w:szCs w:val="24"/>
        </w:rPr>
        <w:t>。</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而笔者在听说课中践行新课标教学评一体化要求时</w:t>
      </w:r>
      <w:r>
        <w:rPr>
          <w:rFonts w:asciiTheme="minorEastAsia" w:hAnsiTheme="minorEastAsia"/>
          <w:sz w:val="24"/>
          <w:szCs w:val="24"/>
          <w:lang w:eastAsia="zh-Hans"/>
        </w:rPr>
        <w:t>，</w:t>
      </w:r>
      <w:r>
        <w:rPr>
          <w:rFonts w:hint="eastAsia" w:asciiTheme="minorEastAsia" w:hAnsiTheme="minorEastAsia"/>
          <w:sz w:val="24"/>
          <w:szCs w:val="24"/>
          <w:lang w:eastAsia="zh-Hans"/>
        </w:rPr>
        <w:t>也发现了</w:t>
      </w:r>
      <w:r>
        <w:rPr>
          <w:rFonts w:hint="eastAsia" w:asciiTheme="minorEastAsia" w:hAnsiTheme="minorEastAsia"/>
          <w:sz w:val="24"/>
          <w:szCs w:val="24"/>
        </w:rPr>
        <w:t>教学评三者</w:t>
      </w:r>
      <w:r>
        <w:rPr>
          <w:rFonts w:hint="eastAsia" w:asciiTheme="minorEastAsia" w:hAnsiTheme="minorEastAsia"/>
          <w:sz w:val="24"/>
          <w:szCs w:val="24"/>
          <w:lang w:eastAsia="zh-Hans"/>
        </w:rPr>
        <w:t>各自独立</w:t>
      </w:r>
      <w:r>
        <w:rPr>
          <w:rFonts w:asciiTheme="minorEastAsia" w:hAnsiTheme="minorEastAsia"/>
          <w:sz w:val="24"/>
          <w:szCs w:val="24"/>
          <w:lang w:eastAsia="zh-Hans"/>
        </w:rPr>
        <w:t>，</w:t>
      </w:r>
      <w:r>
        <w:rPr>
          <w:rFonts w:hint="eastAsia" w:asciiTheme="minorEastAsia" w:hAnsiTheme="minorEastAsia"/>
          <w:sz w:val="24"/>
          <w:szCs w:val="24"/>
        </w:rPr>
        <w:t>不能互相促进</w:t>
      </w:r>
      <w:r>
        <w:rPr>
          <w:rFonts w:asciiTheme="minorEastAsia" w:hAnsiTheme="minorEastAsia"/>
          <w:sz w:val="24"/>
          <w:szCs w:val="24"/>
        </w:rPr>
        <w:t>；</w:t>
      </w:r>
      <w:r>
        <w:rPr>
          <w:rFonts w:hint="eastAsia" w:asciiTheme="minorEastAsia" w:hAnsiTheme="minorEastAsia"/>
          <w:sz w:val="24"/>
          <w:szCs w:val="24"/>
          <w:lang w:eastAsia="zh-Hans"/>
        </w:rPr>
        <w:t>教学过程中给予学生的支架不够</w:t>
      </w:r>
      <w:r>
        <w:rPr>
          <w:rFonts w:asciiTheme="minorEastAsia" w:hAnsiTheme="minorEastAsia"/>
          <w:sz w:val="24"/>
          <w:szCs w:val="24"/>
          <w:lang w:eastAsia="zh-Hans"/>
        </w:rPr>
        <w:t>，</w:t>
      </w:r>
      <w:r>
        <w:rPr>
          <w:rFonts w:hint="eastAsia" w:asciiTheme="minorEastAsia" w:hAnsiTheme="minorEastAsia"/>
          <w:sz w:val="24"/>
          <w:szCs w:val="24"/>
          <w:lang w:eastAsia="zh-Hans"/>
        </w:rPr>
        <w:t>让他们缺少学习抓手</w:t>
      </w:r>
      <w:r>
        <w:rPr>
          <w:rFonts w:asciiTheme="minorEastAsia" w:hAnsiTheme="minorEastAsia"/>
          <w:sz w:val="24"/>
          <w:szCs w:val="24"/>
          <w:lang w:eastAsia="zh-Hans"/>
        </w:rPr>
        <w:t>；</w:t>
      </w:r>
      <w:r>
        <w:rPr>
          <w:rFonts w:hint="eastAsia" w:asciiTheme="minorEastAsia" w:hAnsiTheme="minorEastAsia"/>
          <w:sz w:val="24"/>
          <w:szCs w:val="24"/>
        </w:rPr>
        <w:t>课堂教学评价过于单一，</w:t>
      </w:r>
      <w:r>
        <w:rPr>
          <w:rFonts w:hint="eastAsia" w:asciiTheme="minorEastAsia" w:hAnsiTheme="minorEastAsia"/>
          <w:sz w:val="24"/>
          <w:szCs w:val="24"/>
          <w:lang w:eastAsia="zh-Hans"/>
        </w:rPr>
        <w:t>不能起到诊断</w:t>
      </w:r>
      <w:r>
        <w:rPr>
          <w:rFonts w:hint="eastAsia" w:asciiTheme="minorEastAsia" w:hAnsiTheme="minorEastAsia"/>
          <w:sz w:val="24"/>
          <w:szCs w:val="24"/>
        </w:rPr>
        <w:t>作用</w:t>
      </w:r>
      <w:r>
        <w:rPr>
          <w:rFonts w:hint="eastAsia" w:asciiTheme="minorEastAsia" w:hAnsiTheme="minorEastAsia"/>
          <w:sz w:val="24"/>
          <w:szCs w:val="24"/>
          <w:lang w:eastAsia="zh-Hans"/>
        </w:rPr>
        <w:t>这些问题</w:t>
      </w:r>
      <w:r>
        <w:rPr>
          <w:rFonts w:asciiTheme="minorEastAsia" w:hAnsiTheme="minorEastAsia"/>
          <w:sz w:val="24"/>
          <w:szCs w:val="24"/>
          <w:lang w:eastAsia="zh-Hans"/>
        </w:rPr>
        <w:t>。</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由此，本文将结合牛津英语</w:t>
      </w:r>
      <w:r>
        <w:rPr>
          <w:rFonts w:ascii="Times New Roman Regular" w:hAnsi="Times New Roman Regular" w:cs="Times New Roman Regular"/>
          <w:sz w:val="24"/>
          <w:szCs w:val="24"/>
        </w:rPr>
        <w:t xml:space="preserve">8AU7 </w:t>
      </w:r>
      <w:r>
        <w:rPr>
          <w:rFonts w:ascii="Times New Roman Italic" w:hAnsi="Times New Roman Italic" w:cs="Times New Roman Italic"/>
          <w:i/>
          <w:iCs/>
          <w:sz w:val="24"/>
          <w:szCs w:val="24"/>
        </w:rPr>
        <w:t>Captain King’s life and work</w:t>
      </w:r>
      <w:r>
        <w:rPr>
          <w:rFonts w:hint="eastAsia" w:asciiTheme="minorEastAsia" w:hAnsiTheme="minorEastAsia"/>
          <w:sz w:val="24"/>
          <w:szCs w:val="24"/>
        </w:rPr>
        <w:t>这一</w:t>
      </w:r>
      <w:r>
        <w:rPr>
          <w:rFonts w:hint="eastAsia" w:asciiTheme="minorEastAsia" w:hAnsiTheme="minorEastAsia"/>
          <w:sz w:val="24"/>
          <w:szCs w:val="24"/>
          <w:lang w:eastAsia="zh-Hans"/>
        </w:rPr>
        <w:t>听说</w:t>
      </w:r>
      <w:r>
        <w:rPr>
          <w:rFonts w:hint="eastAsia" w:asciiTheme="minorEastAsia" w:hAnsiTheme="minorEastAsia"/>
          <w:sz w:val="24"/>
          <w:szCs w:val="24"/>
        </w:rPr>
        <w:t>课例阐述相关的实践和探索。</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30"/>
          <w:szCs w:val="30"/>
        </w:rPr>
        <w:t>二、教学评一体化在初中英语听说课堂的实践</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本听说课属于人与自然话题中的宇宙探索语篇，主题为</w:t>
      </w:r>
      <w:r>
        <w:rPr>
          <w:rFonts w:ascii="Times New Roman" w:hAnsi="Times New Roman" w:cs="Times New Roman"/>
          <w:i/>
          <w:sz w:val="24"/>
          <w:szCs w:val="24"/>
        </w:rPr>
        <w:t>Captain King’s life and work，</w:t>
      </w:r>
      <w:r>
        <w:rPr>
          <w:rFonts w:hint="eastAsia" w:asciiTheme="minorEastAsia" w:hAnsiTheme="minorEastAsia"/>
          <w:sz w:val="24"/>
          <w:szCs w:val="24"/>
        </w:rPr>
        <w:t>内容讲述了</w:t>
      </w:r>
      <w:r>
        <w:rPr>
          <w:rFonts w:ascii="Times New Roman" w:hAnsi="Times New Roman" w:cs="Times New Roman"/>
          <w:i/>
          <w:sz w:val="24"/>
          <w:szCs w:val="24"/>
        </w:rPr>
        <w:t>Captain King</w:t>
      </w:r>
      <w:r>
        <w:rPr>
          <w:rFonts w:hint="eastAsia" w:asciiTheme="minorEastAsia" w:hAnsiTheme="minorEastAsia"/>
          <w:sz w:val="24"/>
          <w:szCs w:val="24"/>
        </w:rPr>
        <w:t>的工作和生活，主人公与主阅读一致，有利于学生迅速沉浸入听力环境，知晓其日常生活、工作状态，过往的经历和对未来的计划。教学重点为让学生根据时间标志词和动词知晓</w:t>
      </w:r>
      <w:r>
        <w:rPr>
          <w:rFonts w:ascii="Times New Roman" w:hAnsi="Times New Roman" w:cs="Times New Roman"/>
          <w:i/>
          <w:sz w:val="24"/>
          <w:szCs w:val="24"/>
        </w:rPr>
        <w:t>Captain King</w:t>
      </w:r>
      <w:r>
        <w:rPr>
          <w:rFonts w:hint="eastAsia" w:asciiTheme="minorEastAsia" w:hAnsiTheme="minorEastAsia"/>
          <w:sz w:val="24"/>
          <w:szCs w:val="24"/>
        </w:rPr>
        <w:t>过去现在和未来的生活与工作。教学难点是让学生将所学知识迁移，能够用正确的时态描述日常生活与工作。</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w:t>
      </w:r>
      <w:r>
        <w:rPr>
          <w:rFonts w:hint="eastAsia" w:ascii="Times New Roman" w:hAnsi="Times New Roman" w:eastAsia="黑体" w:cs="Times New Roman"/>
          <w:b/>
          <w:bCs/>
          <w:sz w:val="28"/>
          <w:szCs w:val="28"/>
          <w:lang w:eastAsia="zh-Hans"/>
        </w:rPr>
        <w:t>一</w:t>
      </w:r>
      <w:r>
        <w:rPr>
          <w:rFonts w:hint="eastAsia" w:ascii="Times New Roman" w:hAnsi="Times New Roman" w:eastAsia="黑体" w:cs="Times New Roman"/>
          <w:b/>
          <w:bCs/>
          <w:sz w:val="28"/>
          <w:szCs w:val="28"/>
        </w:rPr>
        <w:t>）基于课程标准的教学目标及评价思考</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笔者</w:t>
      </w:r>
      <w:r>
        <w:rPr>
          <w:rFonts w:hint="eastAsia" w:asciiTheme="minorEastAsia" w:hAnsiTheme="minorEastAsia"/>
          <w:sz w:val="24"/>
          <w:szCs w:val="24"/>
          <w:lang w:eastAsia="zh-Hans"/>
        </w:rPr>
        <w:t>在</w:t>
      </w:r>
      <w:r>
        <w:rPr>
          <w:rFonts w:hint="eastAsia" w:asciiTheme="minorEastAsia" w:hAnsiTheme="minorEastAsia"/>
          <w:sz w:val="24"/>
          <w:szCs w:val="24"/>
        </w:rPr>
        <w:t>课程标准基础上，分析单元</w:t>
      </w:r>
      <w:r>
        <w:rPr>
          <w:rFonts w:asciiTheme="minorEastAsia" w:hAnsiTheme="minorEastAsia"/>
          <w:sz w:val="24"/>
          <w:szCs w:val="24"/>
        </w:rPr>
        <w:t>、</w:t>
      </w:r>
      <w:r>
        <w:rPr>
          <w:rFonts w:hint="eastAsia" w:asciiTheme="minorEastAsia" w:hAnsiTheme="minorEastAsia"/>
          <w:sz w:val="24"/>
          <w:szCs w:val="24"/>
        </w:rPr>
        <w:t>教材内容</w:t>
      </w:r>
      <w:r>
        <w:rPr>
          <w:rFonts w:hint="eastAsia" w:asciiTheme="minorEastAsia" w:hAnsiTheme="minorEastAsia"/>
          <w:sz w:val="24"/>
          <w:szCs w:val="24"/>
          <w:lang w:eastAsia="zh-Hans"/>
        </w:rPr>
        <w:t>和</w:t>
      </w:r>
      <w:r>
        <w:rPr>
          <w:rFonts w:hint="eastAsia" w:asciiTheme="minorEastAsia" w:hAnsiTheme="minorEastAsia"/>
          <w:sz w:val="24"/>
          <w:szCs w:val="24"/>
        </w:rPr>
        <w:t>学生学情，确立单元目标后设定了</w:t>
      </w:r>
      <w:r>
        <w:rPr>
          <w:rFonts w:hint="eastAsia" w:asciiTheme="minorEastAsia" w:hAnsiTheme="minorEastAsia"/>
          <w:sz w:val="24"/>
          <w:szCs w:val="24"/>
          <w:lang w:eastAsia="zh-Hans"/>
        </w:rPr>
        <w:t>以</w:t>
      </w:r>
      <w:r>
        <w:rPr>
          <w:rFonts w:hint="eastAsia" w:asciiTheme="minorEastAsia" w:hAnsiTheme="minorEastAsia"/>
          <w:sz w:val="24"/>
          <w:szCs w:val="24"/>
        </w:rPr>
        <w:t>下与听说相关的课时教学目标：1.学生能够捕捉听力中的相关事实信息，知晓</w:t>
      </w:r>
      <w:r>
        <w:rPr>
          <w:rFonts w:ascii="Times New Roman Italic" w:hAnsi="Times New Roman Italic" w:cs="Times New Roman Italic"/>
          <w:i/>
          <w:iCs/>
          <w:sz w:val="24"/>
          <w:szCs w:val="24"/>
        </w:rPr>
        <w:t>Captain King</w:t>
      </w:r>
      <w:r>
        <w:rPr>
          <w:rFonts w:hint="eastAsia" w:asciiTheme="minorEastAsia" w:hAnsiTheme="minorEastAsia"/>
          <w:sz w:val="24"/>
          <w:szCs w:val="24"/>
        </w:rPr>
        <w:t>的生活工作内容。2.学生能够通过听力中动词的变化辨别语句的不同时态。3.学生能够运用恰当的时态表述他人的生活与工作，提升英语口语表达技巧。</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lang w:eastAsia="zh-Hans"/>
        </w:rPr>
        <w:t>教学</w:t>
      </w:r>
      <w:r>
        <w:rPr>
          <w:rFonts w:hint="eastAsia" w:asciiTheme="minorEastAsia" w:hAnsiTheme="minorEastAsia"/>
          <w:sz w:val="24"/>
          <w:szCs w:val="24"/>
        </w:rPr>
        <w:t>目标的明确为学生本节课的学习和教师在课堂上的教学引导和教学评价都提供了导向</w:t>
      </w:r>
      <w:r>
        <w:rPr>
          <w:rFonts w:asciiTheme="minorEastAsia" w:hAnsiTheme="minorEastAsia"/>
          <w:sz w:val="24"/>
          <w:szCs w:val="24"/>
          <w:lang w:eastAsia="zh-Hans"/>
        </w:rPr>
        <w:t>，</w:t>
      </w:r>
      <w:r>
        <w:rPr>
          <w:rFonts w:hint="eastAsia" w:asciiTheme="minorEastAsia" w:hAnsiTheme="minorEastAsia"/>
          <w:sz w:val="24"/>
          <w:szCs w:val="24"/>
          <w:lang w:eastAsia="zh-Hans"/>
        </w:rPr>
        <w:t>由此笔者也</w:t>
      </w:r>
      <w:r>
        <w:rPr>
          <w:rFonts w:hint="eastAsia" w:asciiTheme="minorEastAsia" w:hAnsiTheme="minorEastAsia"/>
          <w:sz w:val="24"/>
          <w:szCs w:val="24"/>
        </w:rPr>
        <w:t>将</w:t>
      </w:r>
      <w:r>
        <w:rPr>
          <w:rFonts w:hint="eastAsia" w:asciiTheme="minorEastAsia" w:hAnsiTheme="minorEastAsia"/>
          <w:sz w:val="24"/>
          <w:szCs w:val="24"/>
          <w:lang w:eastAsia="zh-Hans"/>
        </w:rPr>
        <w:t>课时评价</w:t>
      </w:r>
      <w:r>
        <w:rPr>
          <w:rFonts w:hint="eastAsia" w:asciiTheme="minorEastAsia" w:hAnsiTheme="minorEastAsia"/>
          <w:sz w:val="24"/>
          <w:szCs w:val="24"/>
        </w:rPr>
        <w:t>思路制定</w:t>
      </w:r>
      <w:r>
        <w:rPr>
          <w:rFonts w:hint="eastAsia" w:asciiTheme="minorEastAsia" w:hAnsiTheme="minorEastAsia"/>
          <w:sz w:val="24"/>
          <w:szCs w:val="24"/>
          <w:lang w:eastAsia="zh-Hans"/>
        </w:rPr>
        <w:t>如下</w:t>
      </w:r>
      <w:r>
        <w:rPr>
          <w:rFonts w:asciiTheme="minorEastAsia" w:hAnsiTheme="minorEastAsia"/>
          <w:sz w:val="24"/>
          <w:szCs w:val="24"/>
          <w:lang w:eastAsia="zh-Hans"/>
        </w:rPr>
        <w:t>：1</w:t>
      </w:r>
      <w:r>
        <w:rPr>
          <w:rFonts w:hint="eastAsia" w:asciiTheme="minorEastAsia" w:hAnsiTheme="minorEastAsia"/>
          <w:sz w:val="24"/>
          <w:szCs w:val="24"/>
          <w:lang w:eastAsia="zh-Hans"/>
        </w:rPr>
        <w:t>.通过在学案中记录下听力中的关键信息</w:t>
      </w:r>
      <w:r>
        <w:rPr>
          <w:rFonts w:asciiTheme="minorEastAsia" w:hAnsiTheme="minorEastAsia"/>
          <w:sz w:val="24"/>
          <w:szCs w:val="24"/>
          <w:lang w:eastAsia="zh-Hans"/>
        </w:rPr>
        <w:t>，</w:t>
      </w:r>
      <w:r>
        <w:rPr>
          <w:rFonts w:hint="eastAsia" w:asciiTheme="minorEastAsia" w:hAnsiTheme="minorEastAsia"/>
          <w:sz w:val="24"/>
          <w:szCs w:val="24"/>
          <w:lang w:eastAsia="zh-Hans"/>
        </w:rPr>
        <w:t>让学生知晓主人公</w:t>
      </w:r>
      <w:r>
        <w:rPr>
          <w:rFonts w:hint="eastAsia" w:asciiTheme="minorEastAsia" w:hAnsiTheme="minorEastAsia"/>
          <w:sz w:val="24"/>
          <w:szCs w:val="24"/>
        </w:rPr>
        <w:t>的生活工作内容</w:t>
      </w:r>
      <w:r>
        <w:rPr>
          <w:rFonts w:asciiTheme="minorEastAsia" w:hAnsiTheme="minorEastAsia"/>
          <w:sz w:val="24"/>
          <w:szCs w:val="24"/>
        </w:rPr>
        <w:t>。2</w:t>
      </w:r>
      <w:r>
        <w:rPr>
          <w:rFonts w:hint="eastAsia" w:asciiTheme="minorEastAsia" w:hAnsiTheme="minorEastAsia"/>
          <w:sz w:val="24"/>
          <w:szCs w:val="24"/>
          <w:lang w:eastAsia="zh-Hans"/>
        </w:rPr>
        <w:t>.通过在听力笔记中归纳动词不同的形态特征让学生正确判断时态</w:t>
      </w:r>
      <w:r>
        <w:rPr>
          <w:rFonts w:asciiTheme="minorEastAsia" w:hAnsiTheme="minorEastAsia"/>
          <w:sz w:val="24"/>
          <w:szCs w:val="24"/>
          <w:lang w:eastAsia="zh-Hans"/>
        </w:rPr>
        <w:t>。3</w:t>
      </w:r>
      <w:r>
        <w:rPr>
          <w:rFonts w:hint="eastAsia" w:asciiTheme="minorEastAsia" w:hAnsiTheme="minorEastAsia"/>
          <w:sz w:val="24"/>
          <w:szCs w:val="24"/>
          <w:lang w:eastAsia="zh-Hans"/>
        </w:rPr>
        <w:t>.通过角色扮演的产出活动让学生将本课所学迁移</w:t>
      </w:r>
      <w:r>
        <w:rPr>
          <w:rFonts w:hint="eastAsia" w:asciiTheme="minorEastAsia" w:hAnsiTheme="minorEastAsia"/>
          <w:sz w:val="24"/>
          <w:szCs w:val="24"/>
        </w:rPr>
        <w:t>至</w:t>
      </w:r>
      <w:r>
        <w:rPr>
          <w:rFonts w:hint="eastAsia" w:asciiTheme="minorEastAsia" w:hAnsiTheme="minorEastAsia"/>
          <w:sz w:val="24"/>
          <w:szCs w:val="24"/>
          <w:lang w:eastAsia="zh-Hans"/>
        </w:rPr>
        <w:t>不同场景</w:t>
      </w:r>
      <w:r>
        <w:rPr>
          <w:rFonts w:asciiTheme="minorEastAsia" w:hAnsiTheme="minorEastAsia"/>
          <w:sz w:val="24"/>
          <w:szCs w:val="24"/>
          <w:lang w:eastAsia="zh-Hans"/>
        </w:rPr>
        <w:t>，</w:t>
      </w:r>
      <w:r>
        <w:rPr>
          <w:rFonts w:hint="eastAsia" w:asciiTheme="minorEastAsia" w:hAnsiTheme="minorEastAsia"/>
          <w:sz w:val="24"/>
          <w:szCs w:val="24"/>
          <w:lang w:eastAsia="zh-Hans"/>
        </w:rPr>
        <w:t>选</w:t>
      </w:r>
      <w:r>
        <w:rPr>
          <w:rFonts w:hint="eastAsia" w:asciiTheme="minorEastAsia" w:hAnsiTheme="minorEastAsia"/>
          <w:sz w:val="24"/>
          <w:szCs w:val="24"/>
        </w:rPr>
        <w:t>用恰当的时态</w:t>
      </w:r>
      <w:r>
        <w:rPr>
          <w:rFonts w:hint="eastAsia" w:asciiTheme="minorEastAsia" w:hAnsiTheme="minorEastAsia"/>
          <w:sz w:val="24"/>
          <w:szCs w:val="24"/>
          <w:lang w:eastAsia="zh-Hans"/>
        </w:rPr>
        <w:t>进行口语</w:t>
      </w:r>
      <w:r>
        <w:rPr>
          <w:rFonts w:hint="eastAsia" w:asciiTheme="minorEastAsia" w:hAnsiTheme="minorEastAsia"/>
          <w:sz w:val="24"/>
          <w:szCs w:val="24"/>
        </w:rPr>
        <w:t>表述</w:t>
      </w:r>
      <w:r>
        <w:rPr>
          <w:rFonts w:asciiTheme="minorEastAsia" w:hAnsiTheme="minorEastAsia"/>
          <w:sz w:val="24"/>
          <w:szCs w:val="24"/>
        </w:rPr>
        <w:t>。</w:t>
      </w:r>
      <w:r>
        <w:rPr>
          <w:rFonts w:hint="eastAsia" w:asciiTheme="minorEastAsia" w:hAnsiTheme="minorEastAsia"/>
          <w:sz w:val="24"/>
          <w:szCs w:val="24"/>
        </w:rPr>
        <w:t>后续的教学评</w:t>
      </w:r>
      <w:r>
        <w:rPr>
          <w:rFonts w:hint="eastAsia" w:asciiTheme="minorEastAsia" w:hAnsiTheme="minorEastAsia"/>
          <w:sz w:val="24"/>
          <w:szCs w:val="24"/>
          <w:lang w:eastAsia="zh-Hans"/>
        </w:rPr>
        <w:t>一体化实践</w:t>
      </w:r>
      <w:r>
        <w:rPr>
          <w:rFonts w:hint="eastAsia" w:asciiTheme="minorEastAsia" w:hAnsiTheme="minorEastAsia"/>
          <w:sz w:val="24"/>
          <w:szCs w:val="24"/>
        </w:rPr>
        <w:t>都将围绕着</w:t>
      </w:r>
      <w:r>
        <w:rPr>
          <w:rFonts w:hint="eastAsia" w:asciiTheme="minorEastAsia" w:hAnsiTheme="minorEastAsia"/>
          <w:sz w:val="24"/>
          <w:szCs w:val="24"/>
          <w:lang w:eastAsia="zh-Hans"/>
        </w:rPr>
        <w:t>以上</w:t>
      </w:r>
      <w:r>
        <w:rPr>
          <w:rFonts w:hint="eastAsia" w:asciiTheme="minorEastAsia" w:hAnsiTheme="minorEastAsia"/>
          <w:sz w:val="24"/>
          <w:szCs w:val="24"/>
        </w:rPr>
        <w:t>目标展开。</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（二）基于教学目标的教学活动设计</w:t>
      </w:r>
      <w:r>
        <w:rPr>
          <w:rFonts w:hint="eastAsia" w:ascii="Times New Roman" w:hAnsi="Times New Roman" w:eastAsia="黑体" w:cs="Times New Roman"/>
          <w:b/>
          <w:bCs/>
          <w:sz w:val="28"/>
          <w:szCs w:val="28"/>
          <w:lang w:eastAsia="zh-Hans"/>
        </w:rPr>
        <w:t>及评价探究</w:t>
      </w:r>
    </w:p>
    <w:p>
      <w:pPr>
        <w:spacing w:line="360" w:lineRule="auto"/>
        <w:ind w:firstLine="480" w:firstLineChars="200"/>
        <w:rPr>
          <w:rFonts w:asciiTheme="minorEastAsia" w:hAnsiTheme="minorEastAsia" w:cstheme="minorEastAsia"/>
          <w:sz w:val="24"/>
          <w:szCs w:val="24"/>
          <w:lang w:eastAsia="zh-Hans"/>
        </w:rPr>
      </w:pPr>
      <w:r>
        <w:rPr>
          <w:rFonts w:hint="eastAsia" w:asciiTheme="minorEastAsia" w:hAnsiTheme="minorEastAsia" w:cstheme="minorEastAsia"/>
          <w:sz w:val="24"/>
          <w:szCs w:val="24"/>
          <w:lang w:eastAsia="zh-Hans"/>
        </w:rPr>
        <w:t>在探究教学评一体化背景下初中英语听说教学策略过程中</w:t>
      </w:r>
      <w:r>
        <w:rPr>
          <w:rFonts w:asciiTheme="minorEastAsia" w:hAnsiTheme="minorEastAsia" w:cstheme="minorEastAsia"/>
          <w:sz w:val="24"/>
          <w:szCs w:val="24"/>
          <w:lang w:eastAsia="zh-Hans"/>
        </w:rPr>
        <w:t>，</w:t>
      </w:r>
      <w:r>
        <w:rPr>
          <w:rFonts w:hint="eastAsia" w:asciiTheme="minorEastAsia" w:hAnsiTheme="minorEastAsia" w:cstheme="minorEastAsia"/>
          <w:sz w:val="24"/>
          <w:szCs w:val="24"/>
          <w:lang w:eastAsia="zh-Hans"/>
        </w:rPr>
        <w:t>笔者主要通过搭建各类学习支架实现教学目标</w:t>
      </w:r>
      <w:r>
        <w:rPr>
          <w:rFonts w:asciiTheme="minorEastAsia" w:hAnsiTheme="minorEastAsia" w:cstheme="minorEastAsia"/>
          <w:sz w:val="24"/>
          <w:szCs w:val="24"/>
          <w:lang w:eastAsia="zh-Hans"/>
        </w:rPr>
        <w:t>，</w:t>
      </w:r>
      <w:r>
        <w:rPr>
          <w:rFonts w:hint="eastAsia" w:asciiTheme="minorEastAsia" w:hAnsiTheme="minorEastAsia" w:cstheme="minorEastAsia"/>
          <w:sz w:val="24"/>
          <w:szCs w:val="24"/>
          <w:lang w:eastAsia="zh-Hans"/>
        </w:rPr>
        <w:t>其中评价活动主要聚焦在听</w:t>
      </w:r>
      <w:r>
        <w:rPr>
          <w:rFonts w:asciiTheme="minorEastAsia" w:hAnsiTheme="minorEastAsia" w:cstheme="minorEastAsia"/>
          <w:sz w:val="24"/>
          <w:szCs w:val="24"/>
          <w:lang w:eastAsia="zh-Hans"/>
        </w:rPr>
        <w:t>、</w:t>
      </w:r>
      <w:r>
        <w:rPr>
          <w:rFonts w:hint="eastAsia" w:asciiTheme="minorEastAsia" w:hAnsiTheme="minorEastAsia" w:cstheme="minorEastAsia"/>
          <w:sz w:val="24"/>
          <w:szCs w:val="24"/>
          <w:lang w:eastAsia="zh-Hans"/>
        </w:rPr>
        <w:t>说前导入以外的活动中</w:t>
      </w:r>
      <w:r>
        <w:rPr>
          <w:rFonts w:asciiTheme="minorEastAsia" w:hAnsiTheme="minorEastAsia" w:cstheme="minorEastAsia"/>
          <w:sz w:val="24"/>
          <w:szCs w:val="24"/>
          <w:lang w:eastAsia="zh-Hans"/>
        </w:rPr>
        <w:t>。</w:t>
      </w:r>
    </w:p>
    <w:p>
      <w:pPr>
        <w:spacing w:line="360" w:lineRule="auto"/>
        <w:ind w:firstLine="482" w:firstLineChars="200"/>
        <w:rPr>
          <w:rFonts w:ascii="Times New Roman" w:hAnsi="Times New Roman" w:eastAsia="黑体" w:cs="Times New Roman"/>
          <w:b/>
          <w:bCs/>
          <w:sz w:val="24"/>
          <w:szCs w:val="24"/>
        </w:rPr>
      </w:pPr>
      <w:r>
        <w:rPr>
          <w:rFonts w:hint="eastAsia" w:ascii="Times New Roman" w:hAnsi="Times New Roman" w:eastAsia="黑体" w:cs="Times New Roman"/>
          <w:b/>
          <w:bCs/>
          <w:sz w:val="24"/>
          <w:szCs w:val="24"/>
        </w:rPr>
        <w:t>1.创设情境支架，激发学生兴趣</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本课时课本内容仅有一张表格（如图1），很多同学面对这样的听力任务觉得枯燥乏味，没有听下去的欲望。因而笔者对所给内容进行了新的扩充调整设计。</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在听前导入环节</w:t>
      </w:r>
      <w:r>
        <w:rPr>
          <w:rFonts w:asciiTheme="minorEastAsia" w:hAnsiTheme="minorEastAsia"/>
          <w:sz w:val="24"/>
          <w:szCs w:val="24"/>
          <w:lang w:eastAsia="zh-Hans"/>
        </w:rPr>
        <w:t>，</w:t>
      </w:r>
      <w:r>
        <w:rPr>
          <w:rFonts w:hint="eastAsia" w:asciiTheme="minorEastAsia" w:hAnsiTheme="minorEastAsia"/>
          <w:sz w:val="24"/>
          <w:szCs w:val="24"/>
          <w:lang w:eastAsia="zh-Hans"/>
        </w:rPr>
        <w:t>笔者设计</w:t>
      </w:r>
      <w:r>
        <w:rPr>
          <w:rFonts w:ascii="Times New Roman Italic" w:hAnsi="Times New Roman Italic" w:cs="Times New Roman Italic"/>
          <w:i/>
          <w:iCs/>
          <w:sz w:val="24"/>
          <w:szCs w:val="24"/>
          <w:lang w:eastAsia="zh-Hans"/>
        </w:rPr>
        <w:t>Captain King</w:t>
      </w:r>
      <w:r>
        <w:rPr>
          <w:rFonts w:hint="eastAsia" w:asciiTheme="minorEastAsia" w:hAnsiTheme="minorEastAsia"/>
          <w:sz w:val="24"/>
          <w:szCs w:val="24"/>
          <w:lang w:eastAsia="zh-Hans"/>
        </w:rPr>
        <w:t>的</w:t>
      </w:r>
      <w:r>
        <w:rPr>
          <w:rFonts w:ascii="Times New Roman" w:hAnsi="Times New Roman" w:cs="Times New Roman"/>
          <w:sz w:val="24"/>
          <w:szCs w:val="24"/>
          <w:lang w:eastAsia="zh-Hans"/>
        </w:rPr>
        <w:t>Ted</w:t>
      </w:r>
      <w:r>
        <w:rPr>
          <w:rFonts w:hint="eastAsia" w:asciiTheme="minorEastAsia" w:hAnsiTheme="minorEastAsia"/>
          <w:sz w:val="24"/>
          <w:szCs w:val="24"/>
          <w:lang w:eastAsia="zh-Hans"/>
        </w:rPr>
        <w:t>演讲场景（如图2），因</w:t>
      </w:r>
      <w:r>
        <w:rPr>
          <w:rFonts w:hint="eastAsia" w:ascii="Times New Roman Italic" w:hAnsi="Times New Roman Italic" w:cs="Times New Roman Italic"/>
          <w:i/>
          <w:iCs/>
          <w:sz w:val="24"/>
          <w:szCs w:val="24"/>
          <w:lang w:eastAsia="zh-Hans"/>
        </w:rPr>
        <w:t>Captain King</w:t>
      </w:r>
      <w:r>
        <w:rPr>
          <w:rFonts w:hint="eastAsia" w:ascii="Times New Roman Italic" w:hAnsi="Times New Roman Italic" w:cs="Times New Roman Italic"/>
          <w:sz w:val="24"/>
          <w:szCs w:val="24"/>
          <w:lang w:eastAsia="zh-Hans"/>
        </w:rPr>
        <w:t>是主课文的主角</w:t>
      </w:r>
      <w:r>
        <w:rPr>
          <w:rFonts w:hint="eastAsia" w:asciiTheme="minorEastAsia" w:hAnsiTheme="minorEastAsia"/>
          <w:sz w:val="24"/>
          <w:szCs w:val="24"/>
          <w:lang w:eastAsia="zh-Hans"/>
        </w:rPr>
        <w:t>，同学们对人物有一定了解，而Ted也是初中生比较熟悉的平台，以这种方式引入话题可以激活已知，引发学生兴趣，消除他们的畏难情绪，让他们做好听力准备。</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在说前导入环节，笔者则创设了</w:t>
      </w:r>
      <w:r>
        <w:rPr>
          <w:rFonts w:ascii="Times New Roman Italic" w:hAnsi="Times New Roman Italic" w:cs="Times New Roman Italic"/>
          <w:i/>
          <w:iCs/>
          <w:sz w:val="24"/>
          <w:szCs w:val="24"/>
          <w:lang w:eastAsia="zh-Hans"/>
        </w:rPr>
        <w:t>Gorkella</w:t>
      </w:r>
      <w:r>
        <w:rPr>
          <w:rFonts w:hint="eastAsia" w:asciiTheme="minorEastAsia" w:hAnsiTheme="minorEastAsia"/>
          <w:sz w:val="24"/>
          <w:szCs w:val="24"/>
          <w:lang w:eastAsia="zh-Hans"/>
        </w:rPr>
        <w:t>再次到访上海的场景（如图3）</w:t>
      </w:r>
      <w:r>
        <w:rPr>
          <w:rFonts w:asciiTheme="minorEastAsia" w:hAnsiTheme="minorEastAsia"/>
          <w:sz w:val="24"/>
          <w:szCs w:val="24"/>
          <w:lang w:eastAsia="zh-Hans"/>
        </w:rPr>
        <w:t>，</w:t>
      </w:r>
      <w:r>
        <w:rPr>
          <w:rFonts w:hint="eastAsia" w:asciiTheme="minorEastAsia" w:hAnsiTheme="minorEastAsia"/>
          <w:sz w:val="24"/>
          <w:szCs w:val="24"/>
          <w:lang w:eastAsia="zh-Hans"/>
        </w:rPr>
        <w:t>设计我校新闻社学生采访她日常生活的任务，因我校本来有新闻社，班里很多同学也曾当过一日小记者为校报提供素材，这会让他们减轻听后口语表达的不安感，也为本课时口语表述提供背景，增强教学的趣味性和语言真实性，帮助学生应用所学内容在日常生活中可能遇到的真实采访场景中进行表述。</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2835"/>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left w:val="nil"/>
              <w:bottom w:val="nil"/>
              <w:right w:val="nil"/>
            </w:tcBorders>
          </w:tcPr>
          <w:p>
            <w:pPr>
              <w:spacing w:line="360" w:lineRule="auto"/>
            </w:pPr>
            <w:r>
              <w:drawing>
                <wp:inline distT="0" distB="0" distL="0" distR="0">
                  <wp:extent cx="1947545" cy="1253490"/>
                  <wp:effectExtent l="0" t="0" r="825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52744" cy="1257020"/>
                          </a:xfrm>
                          <a:prstGeom prst="rect">
                            <a:avLst/>
                          </a:prstGeom>
                        </pic:spPr>
                      </pic:pic>
                    </a:graphicData>
                  </a:graphic>
                </wp:inline>
              </w:drawing>
            </w:r>
          </w:p>
        </w:tc>
        <w:tc>
          <w:tcPr>
            <w:tcW w:w="2835" w:type="dxa"/>
            <w:tcBorders>
              <w:top w:val="nil"/>
              <w:left w:val="nil"/>
              <w:bottom w:val="nil"/>
              <w:right w:val="nil"/>
            </w:tcBorders>
          </w:tcPr>
          <w:p>
            <w:pPr>
              <w:spacing w:line="360" w:lineRule="auto"/>
            </w:pPr>
            <w:r>
              <w:drawing>
                <wp:inline distT="0" distB="0" distL="0" distR="0">
                  <wp:extent cx="2115185" cy="1192530"/>
                  <wp:effectExtent l="0" t="0" r="18415"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15365" cy="1192663"/>
                          </a:xfrm>
                          <a:prstGeom prst="rect">
                            <a:avLst/>
                          </a:prstGeom>
                        </pic:spPr>
                      </pic:pic>
                    </a:graphicData>
                  </a:graphic>
                </wp:inline>
              </w:drawing>
            </w:r>
          </w:p>
        </w:tc>
        <w:tc>
          <w:tcPr>
            <w:tcW w:w="2977" w:type="dxa"/>
            <w:tcBorders>
              <w:top w:val="nil"/>
              <w:left w:val="nil"/>
              <w:bottom w:val="nil"/>
              <w:right w:val="nil"/>
            </w:tcBorders>
          </w:tcPr>
          <w:p>
            <w:pPr>
              <w:spacing w:line="360" w:lineRule="auto"/>
            </w:pPr>
            <w:r>
              <w:drawing>
                <wp:inline distT="0" distB="0" distL="0" distR="0">
                  <wp:extent cx="2107565" cy="1184910"/>
                  <wp:effectExtent l="0" t="0" r="635"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8795" cy="1185658"/>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left w:val="nil"/>
              <w:bottom w:val="nil"/>
              <w:right w:val="nil"/>
            </w:tcBorders>
          </w:tcPr>
          <w:p>
            <w:pPr>
              <w:spacing w:line="360" w:lineRule="auto"/>
              <w:jc w:val="center"/>
              <w:rPr>
                <w:sz w:val="24"/>
                <w:szCs w:val="24"/>
              </w:rPr>
            </w:pPr>
            <w:r>
              <w:rPr>
                <w:sz w:val="24"/>
                <w:szCs w:val="24"/>
              </w:rPr>
              <w:t>图</w:t>
            </w:r>
            <w:r>
              <w:rPr>
                <w:rFonts w:hint="eastAsia"/>
                <w:sz w:val="24"/>
                <w:szCs w:val="24"/>
              </w:rPr>
              <w:t>1</w:t>
            </w:r>
          </w:p>
        </w:tc>
        <w:tc>
          <w:tcPr>
            <w:tcW w:w="2835" w:type="dxa"/>
            <w:tcBorders>
              <w:top w:val="nil"/>
              <w:left w:val="nil"/>
              <w:bottom w:val="nil"/>
              <w:right w:val="nil"/>
            </w:tcBorders>
          </w:tcPr>
          <w:p>
            <w:pPr>
              <w:spacing w:line="360" w:lineRule="auto"/>
              <w:jc w:val="center"/>
              <w:rPr>
                <w:sz w:val="24"/>
                <w:szCs w:val="24"/>
              </w:rPr>
            </w:pPr>
            <w:r>
              <w:rPr>
                <w:sz w:val="24"/>
                <w:szCs w:val="24"/>
              </w:rPr>
              <w:t>图</w:t>
            </w:r>
            <w:r>
              <w:rPr>
                <w:rFonts w:hint="eastAsia"/>
                <w:sz w:val="24"/>
                <w:szCs w:val="24"/>
              </w:rPr>
              <w:t>2</w:t>
            </w:r>
          </w:p>
        </w:tc>
        <w:tc>
          <w:tcPr>
            <w:tcW w:w="2977" w:type="dxa"/>
            <w:tcBorders>
              <w:top w:val="nil"/>
              <w:left w:val="nil"/>
              <w:bottom w:val="nil"/>
              <w:right w:val="nil"/>
            </w:tcBorders>
          </w:tcPr>
          <w:p>
            <w:pPr>
              <w:spacing w:line="360" w:lineRule="auto"/>
              <w:jc w:val="center"/>
              <w:rPr>
                <w:sz w:val="24"/>
                <w:szCs w:val="24"/>
              </w:rPr>
            </w:pPr>
            <w:r>
              <w:rPr>
                <w:sz w:val="24"/>
                <w:szCs w:val="24"/>
              </w:rPr>
              <w:t>图</w:t>
            </w:r>
            <w:r>
              <w:rPr>
                <w:rFonts w:hint="eastAsia"/>
                <w:sz w:val="24"/>
                <w:szCs w:val="24"/>
              </w:rPr>
              <w:t>3</w:t>
            </w:r>
          </w:p>
        </w:tc>
      </w:tr>
    </w:tbl>
    <w:p>
      <w:pPr>
        <w:numPr>
          <w:ilvl w:val="0"/>
          <w:numId w:val="1"/>
        </w:numPr>
        <w:spacing w:line="360" w:lineRule="auto"/>
        <w:rPr>
          <w:rFonts w:ascii="Times New Roman" w:hAnsi="Times New Roman" w:eastAsia="黑体" w:cs="Times New Roman"/>
          <w:b/>
          <w:bCs/>
          <w:sz w:val="24"/>
          <w:szCs w:val="24"/>
          <w:lang w:eastAsia="zh-Hans"/>
        </w:rPr>
      </w:pPr>
      <w:r>
        <w:rPr>
          <w:rFonts w:hint="eastAsia" w:ascii="Times New Roman" w:hAnsi="Times New Roman" w:eastAsia="黑体" w:cs="Times New Roman"/>
          <w:b/>
          <w:bCs/>
          <w:sz w:val="24"/>
          <w:szCs w:val="24"/>
        </w:rPr>
        <w:t>铺设任务支架，提供学习抓手</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为了让学生顺利听懂听力内容，达成教学目标1，笔者设计了层层递进的听中教学任务，为同学们提供学习抓手，稳步提升他们听中获取信息的能力。</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第一个听中任务需要学生听</w:t>
      </w:r>
      <w:r>
        <w:rPr>
          <w:rFonts w:ascii="Times New Roman Italic" w:hAnsi="Times New Roman Italic" w:cs="Times New Roman Italic"/>
          <w:i/>
          <w:iCs/>
          <w:sz w:val="24"/>
          <w:szCs w:val="24"/>
          <w:lang w:eastAsia="zh-Hans"/>
        </w:rPr>
        <w:t>Captain Kin</w:t>
      </w:r>
      <w:r>
        <w:rPr>
          <w:rFonts w:hint="eastAsia" w:asciiTheme="minorEastAsia" w:hAnsiTheme="minorEastAsia"/>
          <w:i/>
          <w:iCs/>
          <w:sz w:val="24"/>
          <w:szCs w:val="24"/>
          <w:lang w:eastAsia="zh-Hans"/>
        </w:rPr>
        <w:t>g</w:t>
      </w:r>
      <w:r>
        <w:rPr>
          <w:rFonts w:hint="eastAsia" w:asciiTheme="minorEastAsia" w:hAnsiTheme="minorEastAsia"/>
          <w:sz w:val="24"/>
          <w:szCs w:val="24"/>
          <w:lang w:eastAsia="zh-Hans"/>
        </w:rPr>
        <w:t>演讲音频并填空补全其日常生活介绍。其中，学生所填词汇以简单动词词组为主，帮助同学们建立听力自信并知晓主人公日常生活和工作的内容。</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第二个听中任务需要学生听</w:t>
      </w:r>
      <w:r>
        <w:rPr>
          <w:rFonts w:hint="eastAsia" w:asciiTheme="minorEastAsia" w:hAnsiTheme="minorEastAsia"/>
          <w:i/>
          <w:iCs/>
          <w:sz w:val="24"/>
          <w:szCs w:val="24"/>
          <w:lang w:eastAsia="zh-Hans"/>
        </w:rPr>
        <w:t>Captain King</w:t>
      </w:r>
      <w:r>
        <w:rPr>
          <w:rFonts w:hint="eastAsia" w:asciiTheme="minorEastAsia" w:hAnsiTheme="minorEastAsia"/>
          <w:sz w:val="24"/>
          <w:szCs w:val="24"/>
          <w:lang w:eastAsia="zh-Hans"/>
        </w:rPr>
        <w:t>过去生活和工作的演讲片段并回答相关问题。这一听中活动也给予学生一定答题框架，但框架辅助会逐渐减少，学生由填空式回答渐进到</w:t>
      </w:r>
      <w:r>
        <w:rPr>
          <w:rFonts w:hint="eastAsia" w:asciiTheme="minorEastAsia" w:hAnsiTheme="minorEastAsia"/>
          <w:sz w:val="24"/>
          <w:szCs w:val="24"/>
        </w:rPr>
        <w:t>自行</w:t>
      </w:r>
      <w:r>
        <w:rPr>
          <w:rFonts w:hint="eastAsia" w:asciiTheme="minorEastAsia" w:hAnsiTheme="minorEastAsia"/>
          <w:sz w:val="24"/>
          <w:szCs w:val="24"/>
          <w:lang w:eastAsia="zh-Hans"/>
        </w:rPr>
        <w:t>概括整合，帮助他们走出仅会</w:t>
      </w:r>
      <w:r>
        <w:rPr>
          <w:rFonts w:hint="eastAsia" w:asciiTheme="minorEastAsia" w:hAnsiTheme="minorEastAsia"/>
          <w:sz w:val="24"/>
          <w:szCs w:val="24"/>
        </w:rPr>
        <w:t>获取简单信息</w:t>
      </w:r>
      <w:r>
        <w:rPr>
          <w:rFonts w:hint="eastAsia" w:asciiTheme="minorEastAsia" w:hAnsiTheme="minorEastAsia"/>
          <w:sz w:val="24"/>
          <w:szCs w:val="24"/>
          <w:lang w:eastAsia="zh-Hans"/>
        </w:rPr>
        <w:t>并记录的舒适区，</w:t>
      </w:r>
      <w:r>
        <w:rPr>
          <w:rFonts w:hint="eastAsia" w:asciiTheme="minorEastAsia" w:hAnsiTheme="minorEastAsia"/>
          <w:sz w:val="24"/>
          <w:szCs w:val="24"/>
        </w:rPr>
        <w:t>知晓</w:t>
      </w:r>
      <w:r>
        <w:rPr>
          <w:rFonts w:hint="eastAsia" w:asciiTheme="minorEastAsia" w:hAnsiTheme="minorEastAsia"/>
          <w:sz w:val="24"/>
          <w:szCs w:val="24"/>
          <w:lang w:eastAsia="zh-Hans"/>
        </w:rPr>
        <w:t>主人公过去生活和工作的信息。</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最后一个听中任务需要学生观看</w:t>
      </w:r>
      <w:r>
        <w:rPr>
          <w:rFonts w:ascii="Times New Roman Italic" w:hAnsi="Times New Roman Italic" w:cs="Times New Roman Italic"/>
          <w:i/>
          <w:iCs/>
          <w:sz w:val="24"/>
          <w:szCs w:val="24"/>
          <w:lang w:eastAsia="zh-Hans"/>
        </w:rPr>
        <w:t>Gork</w:t>
      </w:r>
      <w:r>
        <w:rPr>
          <w:rFonts w:hint="eastAsia" w:asciiTheme="minorEastAsia" w:hAnsiTheme="minorEastAsia"/>
          <w:sz w:val="24"/>
          <w:szCs w:val="24"/>
          <w:lang w:eastAsia="zh-Hans"/>
        </w:rPr>
        <w:t>日常生活与工作介绍视频并在学案中记笔记</w:t>
      </w:r>
      <w:r>
        <w:rPr>
          <w:rFonts w:asciiTheme="minorEastAsia" w:hAnsiTheme="minorEastAsia"/>
          <w:sz w:val="24"/>
          <w:szCs w:val="24"/>
          <w:lang w:eastAsia="zh-Hans"/>
        </w:rPr>
        <w:t>（</w:t>
      </w:r>
      <w:r>
        <w:rPr>
          <w:rFonts w:hint="eastAsia" w:asciiTheme="minorEastAsia" w:hAnsiTheme="minorEastAsia"/>
          <w:sz w:val="24"/>
          <w:szCs w:val="24"/>
          <w:lang w:eastAsia="zh-Hans"/>
        </w:rPr>
        <w:t>如下流程图所示</w:t>
      </w:r>
      <w:r>
        <w:rPr>
          <w:rFonts w:asciiTheme="minorEastAsia" w:hAnsiTheme="minorEastAsia"/>
          <w:sz w:val="24"/>
          <w:szCs w:val="24"/>
          <w:lang w:eastAsia="zh-Hans"/>
        </w:rPr>
        <w:t>）</w:t>
      </w:r>
      <w:r>
        <w:rPr>
          <w:rFonts w:hint="eastAsia" w:asciiTheme="minorEastAsia" w:hAnsiTheme="minorEastAsia"/>
          <w:sz w:val="24"/>
          <w:szCs w:val="24"/>
          <w:lang w:eastAsia="zh-Hans"/>
        </w:rPr>
        <w:t>。这一任务在学生获取</w:t>
      </w:r>
      <w:r>
        <w:rPr>
          <w:rFonts w:ascii="Times New Roman Italic" w:hAnsi="Times New Roman Italic" w:cs="Times New Roman Italic"/>
          <w:i/>
          <w:iCs/>
          <w:sz w:val="24"/>
          <w:szCs w:val="24"/>
          <w:lang w:eastAsia="zh-Hans"/>
        </w:rPr>
        <w:t>Captain King</w:t>
      </w:r>
      <w:r>
        <w:rPr>
          <w:rFonts w:hint="eastAsia" w:asciiTheme="minorEastAsia" w:hAnsiTheme="minorEastAsia"/>
          <w:sz w:val="24"/>
          <w:szCs w:val="24"/>
          <w:lang w:eastAsia="zh-Hans"/>
        </w:rPr>
        <w:t>三部分工作生活内容后展开，笔者引入主课文另一主角</w:t>
      </w:r>
      <w:r>
        <w:rPr>
          <w:rFonts w:ascii="Times New Roman Italic" w:hAnsi="Times New Roman Italic" w:cs="Times New Roman Italic"/>
          <w:i/>
          <w:sz w:val="24"/>
          <w:szCs w:val="24"/>
          <w:lang w:eastAsia="zh-Hans"/>
        </w:rPr>
        <w:t>Gork</w:t>
      </w:r>
      <w:r>
        <w:rPr>
          <w:rFonts w:hint="eastAsia" w:asciiTheme="minorEastAsia" w:hAnsiTheme="minorEastAsia"/>
          <w:sz w:val="24"/>
          <w:szCs w:val="24"/>
          <w:lang w:eastAsia="zh-Hans"/>
        </w:rPr>
        <w:t>，补充其日常生活与工作介绍视频，希望在前几个听力任务的基础上，学生可以模仿学案思路，内化应用信息，此任务不需要学生完整记录</w:t>
      </w:r>
      <w:r>
        <w:rPr>
          <w:rFonts w:ascii="Times New Roman Italic" w:hAnsi="Times New Roman Italic" w:cs="Times New Roman Italic"/>
          <w:i/>
          <w:iCs/>
          <w:sz w:val="24"/>
          <w:szCs w:val="24"/>
          <w:lang w:eastAsia="zh-Hans"/>
        </w:rPr>
        <w:t>Gork</w:t>
      </w:r>
      <w:r>
        <w:rPr>
          <w:rFonts w:hint="eastAsia" w:asciiTheme="minorEastAsia" w:hAnsiTheme="minorEastAsia"/>
          <w:sz w:val="24"/>
          <w:szCs w:val="24"/>
          <w:lang w:eastAsia="zh-Hans"/>
        </w:rPr>
        <w:t>过去、现在和未来的工作与生活，任选某一时间段即可。</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为检测教学目标1是否成功通过上述几个教学任务得到落实，笔者在教学活动后设计了一系列的评价活动。每个听力任务中，音频或视频都会播放两遍，学生有自行评价修正，检查有无需要补充信息并完善拼写等的机会。之后笔者以问答形式检测学生是否获得目标信息。当学生答错时，老师及时安排学生重听相关内容进行修正。在最后一个听力任务的笔记评价中，老师和同学以讨论形式对投影上学生的笔记进行评价。针对有错误的表述，及时给学生提供引导。最后，学生根据全班的讨论结果完善自己的笔记。</w:t>
      </w:r>
    </w:p>
    <w:p>
      <w:pPr>
        <w:spacing w:line="360" w:lineRule="auto"/>
        <w:ind w:firstLine="480" w:firstLineChars="200"/>
        <w:rPr>
          <w:rFonts w:asciiTheme="minorEastAsia" w:hAnsiTheme="minorEastAsia"/>
          <w:sz w:val="24"/>
          <w:szCs w:val="24"/>
          <w:lang w:eastAsia="zh-Hans"/>
        </w:rPr>
      </w:pPr>
      <w:r>
        <w:rPr>
          <w:rFonts w:asciiTheme="minorEastAsia" w:hAnsiTheme="minorEastAsia"/>
          <w:sz w:val="24"/>
          <w:szCs w:val="24"/>
        </w:rPr>
        <w:drawing>
          <wp:inline distT="0" distB="0" distL="114300" distR="114300">
            <wp:extent cx="5073015" cy="1242695"/>
            <wp:effectExtent l="0" t="0" r="13335" b="0"/>
            <wp:docPr id="3" name="图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pPr>
        <w:spacing w:line="360" w:lineRule="auto"/>
        <w:jc w:val="center"/>
        <w:rPr>
          <w:rFonts w:asciiTheme="minorEastAsia" w:hAnsiTheme="minorEastAsia"/>
          <w:sz w:val="24"/>
          <w:szCs w:val="24"/>
          <w:lang w:eastAsia="zh-Hans"/>
        </w:rPr>
      </w:pPr>
      <w:r>
        <w:rPr>
          <w:rFonts w:asciiTheme="minorEastAsia" w:hAnsiTheme="minorEastAsia"/>
          <w:sz w:val="24"/>
          <w:szCs w:val="24"/>
          <w:lang w:eastAsia="zh-Hans"/>
        </w:rPr>
        <w:t>（</w:t>
      </w:r>
      <w:r>
        <w:rPr>
          <w:rFonts w:hint="eastAsia" w:asciiTheme="minorEastAsia" w:hAnsiTheme="minorEastAsia"/>
          <w:sz w:val="24"/>
          <w:szCs w:val="24"/>
          <w:lang w:eastAsia="zh-Hans"/>
        </w:rPr>
        <w:t>任务支架流程图</w:t>
      </w:r>
      <w:r>
        <w:rPr>
          <w:rFonts w:asciiTheme="minorEastAsia" w:hAnsiTheme="minorEastAsia"/>
          <w:sz w:val="24"/>
          <w:szCs w:val="24"/>
          <w:lang w:eastAsia="zh-Hans"/>
        </w:rPr>
        <w:t>）</w:t>
      </w:r>
    </w:p>
    <w:p>
      <w:pPr>
        <w:numPr>
          <w:ilvl w:val="0"/>
          <w:numId w:val="1"/>
        </w:numPr>
        <w:spacing w:line="360" w:lineRule="auto"/>
        <w:rPr>
          <w:rFonts w:ascii="Times New Roman" w:hAnsi="Times New Roman" w:eastAsia="黑体" w:cs="Times New Roman"/>
          <w:b/>
          <w:bCs/>
          <w:sz w:val="24"/>
          <w:szCs w:val="24"/>
          <w:lang w:eastAsia="zh-Hans"/>
        </w:rPr>
      </w:pPr>
      <w:r>
        <w:rPr>
          <w:rFonts w:hint="eastAsia" w:ascii="Times New Roman" w:hAnsi="Times New Roman" w:eastAsia="黑体" w:cs="Times New Roman"/>
          <w:b/>
          <w:bCs/>
          <w:sz w:val="24"/>
          <w:szCs w:val="24"/>
          <w:lang w:eastAsia="zh-Hans"/>
        </w:rPr>
        <w:t>搭建引导性</w:t>
      </w:r>
      <w:r>
        <w:rPr>
          <w:rFonts w:hint="eastAsia" w:ascii="Times New Roman" w:hAnsi="Times New Roman" w:eastAsia="黑体" w:cs="Times New Roman"/>
          <w:b/>
          <w:bCs/>
          <w:sz w:val="24"/>
          <w:szCs w:val="24"/>
        </w:rPr>
        <w:t>支架，</w:t>
      </w:r>
      <w:r>
        <w:rPr>
          <w:rFonts w:hint="eastAsia" w:ascii="Times New Roman" w:hAnsi="Times New Roman" w:eastAsia="黑体" w:cs="Times New Roman"/>
          <w:b/>
          <w:bCs/>
          <w:sz w:val="24"/>
          <w:szCs w:val="24"/>
          <w:lang w:eastAsia="zh-Hans"/>
        </w:rPr>
        <w:t>归纳时态特征</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为了让学生能够通过听力中动词的变化辨别语句的不同时态，笔者在学生学案中加入了时态归纳栏（如图</w:t>
      </w:r>
      <w:r>
        <w:rPr>
          <w:rFonts w:asciiTheme="minorEastAsia" w:hAnsiTheme="minorEastAsia"/>
          <w:sz w:val="24"/>
          <w:szCs w:val="24"/>
          <w:lang w:eastAsia="zh-Hans"/>
        </w:rPr>
        <w:t>4</w:t>
      </w:r>
      <w:r>
        <w:rPr>
          <w:rFonts w:hint="eastAsia" w:asciiTheme="minorEastAsia" w:hAnsiTheme="minorEastAsia"/>
          <w:sz w:val="24"/>
          <w:szCs w:val="24"/>
          <w:lang w:eastAsia="zh-Hans"/>
        </w:rPr>
        <w:t>红圈内所示），配合课堂引导，帮助学生归纳不同时态的特征。</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由于学生在</w:t>
      </w:r>
      <w:r>
        <w:rPr>
          <w:rFonts w:ascii="Times New Roman" w:hAnsi="Times New Roman" w:cs="Times New Roman"/>
          <w:sz w:val="24"/>
          <w:szCs w:val="24"/>
          <w:lang w:eastAsia="zh-Hans"/>
        </w:rPr>
        <w:t>8AU2、U3、U6</w:t>
      </w:r>
      <w:r>
        <w:rPr>
          <w:rFonts w:hint="eastAsia" w:asciiTheme="minorEastAsia" w:hAnsiTheme="minorEastAsia"/>
          <w:sz w:val="24"/>
          <w:szCs w:val="24"/>
          <w:lang w:eastAsia="zh-Hans"/>
        </w:rPr>
        <w:t>的语法部分已对一般现在时、一般过去时和一般将来时进行过系统学习，本课时只要帮助他们唤起已知时态知识，清晰时态特点与结构。对此，笔者在学生完成</w:t>
      </w:r>
      <w:r>
        <w:rPr>
          <w:rFonts w:ascii="Times New Roman Italic" w:hAnsi="Times New Roman Italic" w:cs="Times New Roman Italic"/>
          <w:i/>
          <w:iCs/>
          <w:sz w:val="24"/>
          <w:szCs w:val="24"/>
          <w:lang w:eastAsia="zh-Hans"/>
        </w:rPr>
        <w:t>Captain King</w:t>
      </w:r>
      <w:r>
        <w:rPr>
          <w:rFonts w:hint="eastAsia" w:asciiTheme="minorEastAsia" w:hAnsiTheme="minorEastAsia"/>
          <w:sz w:val="24"/>
          <w:szCs w:val="24"/>
          <w:lang w:eastAsia="zh-Hans"/>
        </w:rPr>
        <w:t>三部分工作生活听力任务后引导学生先将学案的三部分内容与</w:t>
      </w:r>
      <w:r>
        <w:rPr>
          <w:rFonts w:ascii="Times New Roman" w:hAnsi="Times New Roman" w:cs="Times New Roman"/>
          <w:sz w:val="24"/>
          <w:szCs w:val="24"/>
          <w:lang w:eastAsia="zh-Hans"/>
        </w:rPr>
        <w:t>now、past、future</w:t>
      </w:r>
      <w:r>
        <w:rPr>
          <w:rFonts w:hint="eastAsia" w:asciiTheme="minorEastAsia" w:hAnsiTheme="minorEastAsia"/>
          <w:sz w:val="24"/>
          <w:szCs w:val="24"/>
          <w:lang w:eastAsia="zh-Hans"/>
        </w:rPr>
        <w:t>三个时间代表词对应，再通读句子总结不同时态的动词结构。</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时态虽不是本课时的学习重点，但要突破本堂课的重难点，实现学生自主表达，时态的重要性不言而喻。在笔者搭建了引导性支架，帮助学生归纳时态特征后，又依据课前预设的教学目标2设计了评价活动。笔者通过分析学生在学案上归纳的表现可以判断学生对于时态的熟悉程度。此后，笔者又设计了听录音复述活动作为对时态掌握程度的再次检测。此活动中，学生需要观看</w:t>
      </w:r>
      <w:r>
        <w:rPr>
          <w:rFonts w:ascii="Times New Roman Italic" w:hAnsi="Times New Roman Italic" w:cs="Times New Roman Italic"/>
          <w:i/>
          <w:iCs/>
          <w:sz w:val="24"/>
          <w:szCs w:val="24"/>
          <w:lang w:eastAsia="zh-Hans"/>
        </w:rPr>
        <w:t>Gork’s life and work</w:t>
      </w:r>
      <w:r>
        <w:rPr>
          <w:rFonts w:hint="eastAsia" w:asciiTheme="minorEastAsia" w:hAnsiTheme="minorEastAsia"/>
          <w:sz w:val="24"/>
          <w:szCs w:val="24"/>
          <w:lang w:eastAsia="zh-Hans"/>
        </w:rPr>
        <w:t>纪录片，并在听后借助笔记，任选一个时态完成对应的简要复述。由此，笔者检测到大部分学生对于时态的区分和特征掌握都没有问题，然而在自行表述时容易因为紧张、粗心等原因把时态混用。因而在</w:t>
      </w:r>
      <w:r>
        <w:rPr>
          <w:rFonts w:ascii="Times New Roman" w:hAnsi="Times New Roman" w:cs="Times New Roman"/>
          <w:sz w:val="24"/>
          <w:szCs w:val="24"/>
          <w:lang w:eastAsia="zh-Hans"/>
        </w:rPr>
        <w:t>post task</w:t>
      </w:r>
      <w:r>
        <w:rPr>
          <w:rFonts w:hint="eastAsia" w:asciiTheme="minorEastAsia" w:hAnsiTheme="minorEastAsia"/>
          <w:sz w:val="24"/>
          <w:szCs w:val="24"/>
          <w:lang w:eastAsia="zh-Hans"/>
        </w:rPr>
        <w:t>环节的教学中需要多提醒同学们关注表达时是否用对时态。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9" w:hRule="atLeast"/>
        </w:trPr>
        <w:tc>
          <w:tcPr>
            <w:tcW w:w="4741" w:type="dxa"/>
          </w:tcPr>
          <w:p>
            <w:pPr>
              <w:spacing w:line="360" w:lineRule="auto"/>
              <w:rPr>
                <w:sz w:val="24"/>
                <w:szCs w:val="24"/>
                <w:lang w:eastAsia="zh-Hans"/>
              </w:rPr>
            </w:pPr>
            <w:r>
              <w:rPr>
                <w:sz w:val="30"/>
              </w:rPr>
              <w:drawing>
                <wp:inline distT="0" distB="0" distL="114300" distR="114300">
                  <wp:extent cx="2914650" cy="2025015"/>
                  <wp:effectExtent l="0" t="0" r="0" b="0"/>
                  <wp:docPr id="4" name="图片 4" descr="WX20230518-210845@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X20230518-210845@2x"/>
                          <pic:cNvPicPr>
                            <a:picLocks noChangeAspect="1"/>
                          </pic:cNvPicPr>
                        </pic:nvPicPr>
                        <pic:blipFill>
                          <a:blip r:embed="rId12"/>
                          <a:stretch>
                            <a:fillRect/>
                          </a:stretch>
                        </pic:blipFill>
                        <pic:spPr>
                          <a:xfrm>
                            <a:off x="0" y="0"/>
                            <a:ext cx="2929777" cy="203554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4741" w:type="dxa"/>
          </w:tcPr>
          <w:p>
            <w:pPr>
              <w:spacing w:line="360" w:lineRule="auto"/>
              <w:jc w:val="center"/>
              <w:rPr>
                <w:sz w:val="24"/>
                <w:szCs w:val="24"/>
                <w:lang w:eastAsia="zh-Hans"/>
              </w:rPr>
            </w:pPr>
            <w:r>
              <w:rPr>
                <w:rFonts w:hint="eastAsia" w:ascii="宋体" w:hAnsi="宋体" w:eastAsia="宋体" w:cs="宋体"/>
                <w:sz w:val="24"/>
                <w:szCs w:val="24"/>
                <w:lang w:eastAsia="zh-Hans"/>
              </w:rPr>
              <w:t>图</w:t>
            </w:r>
            <w:r>
              <w:rPr>
                <w:rFonts w:ascii="宋体" w:hAnsi="宋体" w:eastAsia="宋体" w:cs="宋体"/>
                <w:sz w:val="24"/>
                <w:szCs w:val="24"/>
                <w:lang w:eastAsia="zh-Hans"/>
              </w:rPr>
              <w:t>4</w:t>
            </w:r>
          </w:p>
        </w:tc>
      </w:tr>
    </w:tbl>
    <w:p>
      <w:pPr>
        <w:spacing w:line="360" w:lineRule="auto"/>
        <w:ind w:firstLine="482" w:firstLineChars="200"/>
        <w:rPr>
          <w:rFonts w:ascii="Times New Roman" w:hAnsi="Times New Roman" w:eastAsia="黑体" w:cs="Times New Roman"/>
          <w:b/>
          <w:bCs/>
          <w:sz w:val="24"/>
          <w:szCs w:val="24"/>
        </w:rPr>
      </w:pPr>
      <w:r>
        <w:rPr>
          <w:rFonts w:ascii="Times New Roman" w:hAnsi="Times New Roman" w:eastAsia="黑体" w:cs="Times New Roman"/>
          <w:b/>
          <w:bCs/>
          <w:sz w:val="24"/>
          <w:szCs w:val="24"/>
        </w:rPr>
        <w:t>4</w:t>
      </w:r>
      <w:r>
        <w:rPr>
          <w:rFonts w:hint="eastAsia" w:ascii="Times New Roman" w:hAnsi="Times New Roman" w:eastAsia="黑体" w:cs="Times New Roman"/>
          <w:b/>
          <w:bCs/>
          <w:sz w:val="24"/>
          <w:szCs w:val="24"/>
          <w:lang w:eastAsia="zh-Hans"/>
        </w:rPr>
        <w:t>.</w:t>
      </w:r>
      <w:r>
        <w:rPr>
          <w:rFonts w:hint="eastAsia" w:ascii="Times New Roman" w:hAnsi="Times New Roman" w:eastAsia="黑体" w:cs="Times New Roman"/>
          <w:b/>
          <w:bCs/>
          <w:sz w:val="24"/>
          <w:szCs w:val="24"/>
        </w:rPr>
        <w:t>搭建协作支架，丰富课堂活动</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对于大部分中学生而言，长时间的听力输入、完成听力任务会让他们感到疲倦，学生的注意力也难免会偏移。因而为了让他们在听后能够运用恰当的时态进行产出，提升英语口语表达技巧。笔者在课堂中加入了听后协作活动。</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在此活动中，学生需要组成四人小组，扮演三位校园小记者（分别采访</w:t>
      </w:r>
      <w:r>
        <w:rPr>
          <w:rFonts w:ascii="Times New Roman Italic" w:hAnsi="Times New Roman Italic" w:cs="Times New Roman Italic"/>
          <w:i/>
          <w:iCs/>
          <w:sz w:val="24"/>
          <w:szCs w:val="24"/>
          <w:lang w:eastAsia="zh-Hans"/>
        </w:rPr>
        <w:t>Gorkella</w:t>
      </w:r>
      <w:r>
        <w:rPr>
          <w:rFonts w:hint="eastAsia" w:asciiTheme="minorEastAsia" w:hAnsiTheme="minorEastAsia"/>
          <w:sz w:val="24"/>
          <w:szCs w:val="24"/>
          <w:lang w:eastAsia="zh-Hans"/>
        </w:rPr>
        <w:t>现在、过去和未来的生活）以及被采访者</w:t>
      </w:r>
      <w:r>
        <w:rPr>
          <w:rFonts w:ascii="Times New Roman Italic" w:hAnsi="Times New Roman Italic" w:cs="Times New Roman Italic"/>
          <w:i/>
          <w:iCs/>
          <w:sz w:val="24"/>
          <w:szCs w:val="24"/>
          <w:lang w:eastAsia="zh-Hans"/>
        </w:rPr>
        <w:t>Gorkella</w:t>
      </w:r>
      <w:r>
        <w:rPr>
          <w:rFonts w:hint="eastAsia" w:asciiTheme="minorEastAsia" w:hAnsiTheme="minorEastAsia"/>
          <w:sz w:val="24"/>
          <w:szCs w:val="24"/>
          <w:lang w:eastAsia="zh-Hans"/>
        </w:rPr>
        <w:t>，并选用恰当的时态描述他人的生活与工作（如图</w:t>
      </w:r>
      <w:r>
        <w:rPr>
          <w:rFonts w:asciiTheme="minorEastAsia" w:hAnsiTheme="minorEastAsia"/>
          <w:sz w:val="24"/>
          <w:szCs w:val="24"/>
          <w:lang w:eastAsia="zh-Hans"/>
        </w:rPr>
        <w:t>5</w:t>
      </w:r>
      <w:r>
        <w:rPr>
          <w:rFonts w:hint="eastAsia" w:asciiTheme="minorEastAsia" w:hAnsiTheme="minorEastAsia"/>
          <w:sz w:val="24"/>
          <w:szCs w:val="24"/>
          <w:lang w:eastAsia="zh-Hans"/>
        </w:rPr>
        <w:t>），以此提升英语口语表达技巧。</w:t>
      </w:r>
    </w:p>
    <w:p>
      <w:pPr>
        <w:spacing w:line="360" w:lineRule="auto"/>
        <w:ind w:firstLine="480" w:firstLineChars="200"/>
        <w:rPr>
          <w:rFonts w:asciiTheme="minorEastAsia" w:hAnsiTheme="minorEastAsia"/>
          <w:sz w:val="24"/>
          <w:szCs w:val="24"/>
          <w:lang w:eastAsia="zh-Hans"/>
        </w:rPr>
      </w:pPr>
      <w:r>
        <w:rPr>
          <w:rFonts w:hint="eastAsia" w:asciiTheme="minorEastAsia" w:hAnsiTheme="minorEastAsia"/>
          <w:sz w:val="24"/>
          <w:szCs w:val="24"/>
          <w:lang w:eastAsia="zh-Hans"/>
        </w:rPr>
        <w:t>为了检测学生是否能够紧跟教学内容，达成教学目标</w:t>
      </w:r>
      <w:r>
        <w:rPr>
          <w:rFonts w:asciiTheme="minorEastAsia" w:hAnsiTheme="minorEastAsia"/>
          <w:sz w:val="24"/>
          <w:szCs w:val="24"/>
          <w:lang w:eastAsia="zh-Hans"/>
        </w:rPr>
        <w:t>3</w:t>
      </w:r>
      <w:r>
        <w:rPr>
          <w:rFonts w:hint="eastAsia" w:asciiTheme="minorEastAsia" w:hAnsiTheme="minorEastAsia"/>
          <w:sz w:val="24"/>
          <w:szCs w:val="24"/>
          <w:lang w:eastAsia="zh-Hans"/>
        </w:rPr>
        <w:t>，笔者通过应用</w:t>
      </w:r>
      <w:r>
        <w:rPr>
          <w:rFonts w:ascii="Times New Roman" w:hAnsi="Times New Roman" w:cs="Times New Roman"/>
          <w:sz w:val="24"/>
          <w:szCs w:val="24"/>
          <w:lang w:eastAsia="zh-Hans"/>
        </w:rPr>
        <w:t>checklist</w:t>
      </w:r>
      <w:r>
        <w:rPr>
          <w:rFonts w:asciiTheme="minorEastAsia" w:hAnsiTheme="minorEastAsia"/>
          <w:sz w:val="24"/>
          <w:szCs w:val="24"/>
          <w:lang w:eastAsia="zh-Hans"/>
        </w:rPr>
        <w:t>（</w:t>
      </w:r>
      <w:r>
        <w:rPr>
          <w:rFonts w:hint="eastAsia" w:asciiTheme="minorEastAsia" w:hAnsiTheme="minorEastAsia"/>
          <w:sz w:val="24"/>
          <w:szCs w:val="24"/>
          <w:lang w:eastAsia="zh-Hans"/>
        </w:rPr>
        <w:t>如图</w:t>
      </w:r>
      <w:r>
        <w:rPr>
          <w:rFonts w:asciiTheme="minorEastAsia" w:hAnsiTheme="minorEastAsia"/>
          <w:sz w:val="24"/>
          <w:szCs w:val="24"/>
          <w:lang w:eastAsia="zh-Hans"/>
        </w:rPr>
        <w:t>6）</w:t>
      </w:r>
      <w:r>
        <w:rPr>
          <w:rFonts w:hint="eastAsia" w:asciiTheme="minorEastAsia" w:hAnsiTheme="minorEastAsia"/>
          <w:sz w:val="24"/>
          <w:szCs w:val="24"/>
          <w:lang w:eastAsia="zh-Hans"/>
        </w:rPr>
        <w:t>让学生以自评和互评的方式成为评价检测的主体</w:t>
      </w:r>
      <w:r>
        <w:rPr>
          <w:rFonts w:asciiTheme="minorEastAsia" w:hAnsiTheme="minorEastAsia"/>
          <w:sz w:val="24"/>
          <w:szCs w:val="24"/>
          <w:lang w:eastAsia="zh-Hans"/>
        </w:rPr>
        <w:t>。</w:t>
      </w:r>
      <w:r>
        <w:rPr>
          <w:rFonts w:hint="eastAsia" w:asciiTheme="minorEastAsia" w:hAnsiTheme="minorEastAsia"/>
          <w:sz w:val="24"/>
          <w:szCs w:val="24"/>
          <w:lang w:eastAsia="zh-Hans"/>
        </w:rPr>
        <w:t>其中前两条评价标准帮助学生把控</w:t>
      </w:r>
      <w:r>
        <w:rPr>
          <w:rFonts w:ascii="Times New Roman" w:hAnsi="Times New Roman" w:cs="Times New Roman"/>
          <w:sz w:val="24"/>
          <w:szCs w:val="24"/>
          <w:lang w:eastAsia="zh-Hans"/>
        </w:rPr>
        <w:t>role play</w:t>
      </w:r>
      <w:r>
        <w:rPr>
          <w:rFonts w:hint="eastAsia" w:asciiTheme="minorEastAsia" w:hAnsiTheme="minorEastAsia"/>
          <w:sz w:val="24"/>
          <w:szCs w:val="24"/>
          <w:lang w:eastAsia="zh-Hans"/>
        </w:rPr>
        <w:t>的内容和时态，检测学生在学完本课时之后是否能够正确迁移知识点，运用恰当的时态表述他人的生活与工作。后两条评价标准帮助学生把控交际背景，使学生有意识地沉浸在采访的环境中，在宇宙空间主题的畅想中。</w:t>
      </w:r>
    </w:p>
    <w:tbl>
      <w:tblPr>
        <w:tblStyle w:val="6"/>
        <w:tblW w:w="8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1"/>
        <w:gridCol w:w="5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1" w:type="dxa"/>
          </w:tcPr>
          <w:p>
            <w:pPr>
              <w:spacing w:line="360" w:lineRule="auto"/>
            </w:pPr>
            <w:r>
              <w:drawing>
                <wp:inline distT="0" distB="0" distL="0" distR="0">
                  <wp:extent cx="2376170" cy="1353185"/>
                  <wp:effectExtent l="0" t="0" r="11430" b="184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76170" cy="1353185"/>
                          </a:xfrm>
                          <a:prstGeom prst="rect">
                            <a:avLst/>
                          </a:prstGeom>
                        </pic:spPr>
                      </pic:pic>
                    </a:graphicData>
                  </a:graphic>
                </wp:inline>
              </w:drawing>
            </w:r>
          </w:p>
        </w:tc>
        <w:tc>
          <w:tcPr>
            <w:tcW w:w="5080" w:type="dxa"/>
          </w:tcPr>
          <w:p>
            <w:pPr>
              <w:spacing w:line="360" w:lineRule="auto"/>
            </w:pPr>
            <w:r>
              <w:drawing>
                <wp:inline distT="0" distB="0" distL="114300" distR="114300">
                  <wp:extent cx="3161030" cy="1189990"/>
                  <wp:effectExtent l="0" t="0" r="13970" b="3810"/>
                  <wp:docPr id="11" name="图片 11"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hecklist"/>
                          <pic:cNvPicPr>
                            <a:picLocks noChangeAspect="1"/>
                          </pic:cNvPicPr>
                        </pic:nvPicPr>
                        <pic:blipFill>
                          <a:blip r:embed="rId14"/>
                          <a:stretch>
                            <a:fillRect/>
                          </a:stretch>
                        </pic:blipFill>
                        <pic:spPr>
                          <a:xfrm>
                            <a:off x="0" y="0"/>
                            <a:ext cx="3161030" cy="11899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1" w:type="dxa"/>
          </w:tcPr>
          <w:p>
            <w:pPr>
              <w:spacing w:line="360" w:lineRule="auto"/>
              <w:jc w:val="center"/>
              <w:rPr>
                <w:sz w:val="24"/>
                <w:szCs w:val="24"/>
              </w:rPr>
            </w:pPr>
            <w:r>
              <w:rPr>
                <w:sz w:val="24"/>
                <w:szCs w:val="24"/>
              </w:rPr>
              <w:t>图5</w:t>
            </w:r>
          </w:p>
        </w:tc>
        <w:tc>
          <w:tcPr>
            <w:tcW w:w="5080" w:type="dxa"/>
          </w:tcPr>
          <w:p>
            <w:pPr>
              <w:spacing w:line="360" w:lineRule="auto"/>
              <w:jc w:val="center"/>
              <w:rPr>
                <w:sz w:val="24"/>
                <w:szCs w:val="24"/>
                <w:lang w:eastAsia="zh-Hans"/>
              </w:rPr>
            </w:pPr>
            <w:r>
              <w:rPr>
                <w:rFonts w:hint="eastAsia"/>
                <w:sz w:val="24"/>
                <w:szCs w:val="24"/>
                <w:lang w:eastAsia="zh-Hans"/>
              </w:rPr>
              <w:t>图</w:t>
            </w:r>
            <w:r>
              <w:rPr>
                <w:sz w:val="24"/>
                <w:szCs w:val="24"/>
                <w:lang w:eastAsia="zh-Hans"/>
              </w:rPr>
              <w:t>6</w:t>
            </w:r>
          </w:p>
        </w:tc>
      </w:tr>
    </w:tbl>
    <w:p>
      <w:pPr>
        <w:spacing w:line="360" w:lineRule="auto"/>
        <w:rPr>
          <w:rFonts w:ascii="Times New Roman" w:hAnsi="Times New Roman" w:eastAsia="黑体" w:cs="Times New Roman"/>
          <w:b/>
          <w:bCs/>
          <w:sz w:val="30"/>
          <w:szCs w:val="30"/>
        </w:rPr>
      </w:pPr>
      <w:r>
        <w:rPr>
          <w:rFonts w:hint="eastAsia" w:ascii="Times New Roman" w:hAnsi="Times New Roman" w:eastAsia="黑体" w:cs="Times New Roman"/>
          <w:b/>
          <w:bCs/>
          <w:sz w:val="30"/>
          <w:szCs w:val="30"/>
        </w:rPr>
        <w:t>三、</w:t>
      </w:r>
      <w:r>
        <w:rPr>
          <w:rFonts w:ascii="Times New Roman" w:hAnsi="Times New Roman" w:eastAsia="黑体" w:cs="Times New Roman"/>
          <w:b/>
          <w:bCs/>
          <w:sz w:val="30"/>
          <w:szCs w:val="30"/>
        </w:rPr>
        <w:t>基于</w:t>
      </w:r>
      <w:r>
        <w:rPr>
          <w:rFonts w:hint="eastAsia" w:ascii="Times New Roman" w:hAnsi="Times New Roman" w:eastAsia="黑体" w:cs="Times New Roman"/>
          <w:b/>
          <w:bCs/>
          <w:sz w:val="30"/>
          <w:szCs w:val="30"/>
        </w:rPr>
        <w:t>教学评一体化</w:t>
      </w:r>
      <w:r>
        <w:rPr>
          <w:rFonts w:ascii="Times New Roman" w:hAnsi="Times New Roman" w:eastAsia="黑体" w:cs="Times New Roman"/>
          <w:b/>
          <w:bCs/>
          <w:sz w:val="30"/>
          <w:szCs w:val="30"/>
        </w:rPr>
        <w:t>的初中英语听</w:t>
      </w:r>
      <w:r>
        <w:rPr>
          <w:rFonts w:hint="eastAsia" w:ascii="Times New Roman" w:hAnsi="Times New Roman" w:eastAsia="黑体" w:cs="Times New Roman"/>
          <w:b/>
          <w:bCs/>
          <w:sz w:val="30"/>
          <w:szCs w:val="30"/>
        </w:rPr>
        <w:t>说</w:t>
      </w:r>
      <w:r>
        <w:rPr>
          <w:rFonts w:ascii="Times New Roman" w:hAnsi="Times New Roman" w:eastAsia="黑体" w:cs="Times New Roman"/>
          <w:b/>
          <w:bCs/>
          <w:sz w:val="30"/>
          <w:szCs w:val="30"/>
        </w:rPr>
        <w:t>活动设计策略</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（一）运用信息资源创设真实情境</w:t>
      </w:r>
    </w:p>
    <w:p>
      <w:pPr>
        <w:spacing w:line="360" w:lineRule="auto"/>
        <w:ind w:firstLine="480" w:firstLineChars="200"/>
        <w:rPr>
          <w:sz w:val="24"/>
          <w:szCs w:val="24"/>
        </w:rPr>
      </w:pPr>
      <w:r>
        <w:rPr>
          <w:sz w:val="24"/>
          <w:szCs w:val="24"/>
        </w:rPr>
        <w:t>随着信息技术的飞速发展，我国已进入信息时代，如果听说课依然只有单一的讲解方式必然会显得枯燥乏味，学</w:t>
      </w:r>
      <w:r>
        <w:rPr>
          <w:rFonts w:hint="eastAsia"/>
          <w:sz w:val="24"/>
          <w:szCs w:val="24"/>
        </w:rPr>
        <w:t>生</w:t>
      </w:r>
      <w:r>
        <w:rPr>
          <w:sz w:val="24"/>
          <w:szCs w:val="24"/>
        </w:rPr>
        <w:t>的学习成果也会大打折扣。而</w:t>
      </w:r>
      <w:r>
        <w:rPr>
          <w:rFonts w:hint="eastAsia"/>
          <w:sz w:val="24"/>
          <w:szCs w:val="24"/>
        </w:rPr>
        <w:t>有效利用信息资源创设各种情境</w:t>
      </w:r>
      <w:r>
        <w:rPr>
          <w:sz w:val="24"/>
          <w:szCs w:val="24"/>
        </w:rPr>
        <w:t>可以帮助拉</w:t>
      </w:r>
      <w:r>
        <w:rPr>
          <w:rFonts w:hint="eastAsia"/>
          <w:sz w:val="24"/>
          <w:szCs w:val="24"/>
        </w:rPr>
        <w:t>近</w:t>
      </w:r>
      <w:r>
        <w:rPr>
          <w:sz w:val="24"/>
          <w:szCs w:val="24"/>
        </w:rPr>
        <w:t>学生</w:t>
      </w:r>
      <w:r>
        <w:rPr>
          <w:rFonts w:hint="eastAsia"/>
          <w:sz w:val="24"/>
          <w:szCs w:val="24"/>
        </w:rPr>
        <w:t>与听力文本之间的距离，提升他们听力学习的兴趣，同时基于现实生活的情境创设有助于学生联系实际，提升日常生活中英语交际的能力。</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（二）运用学习支架设计教学活动</w:t>
      </w:r>
    </w:p>
    <w:p>
      <w:pPr>
        <w:spacing w:line="360" w:lineRule="auto"/>
        <w:ind w:firstLine="480" w:firstLineChars="200"/>
        <w:rPr>
          <w:sz w:val="24"/>
          <w:szCs w:val="24"/>
        </w:rPr>
      </w:pPr>
      <w:r>
        <w:rPr>
          <w:rFonts w:hint="eastAsia"/>
          <w:sz w:val="24"/>
          <w:szCs w:val="24"/>
        </w:rPr>
        <w:t>学习支架是教师在学生的学习过程中，提供的一种临时性的支持和帮助，帮助学生穿越最近发展区，达到新的潜在的发展水平。对于听力任务，很多同学常常在听中面对大量文本茫然不知所措，而学习支架就能起到一个抓手的辅助作用。设计层层递进的支架型学习任务，让学生带着目的去听，在所给框架中表述，学生会发现自己慢慢地能从听力中获取所需要的信息，后续才能一步步脱离辅助升华听力水平。</w:t>
      </w:r>
    </w:p>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（三）运用多种评价方式监控输出质量</w:t>
      </w:r>
    </w:p>
    <w:p>
      <w:pPr>
        <w:spacing w:line="360" w:lineRule="auto"/>
        <w:ind w:firstLine="480" w:firstLineChars="200"/>
        <w:rPr>
          <w:rFonts w:hint="eastAsia" w:ascii="Times New Roman" w:hAnsi="Times New Roman" w:eastAsia="宋体"/>
          <w:sz w:val="24"/>
          <w:szCs w:val="24"/>
        </w:rPr>
      </w:pPr>
      <w:r>
        <w:rPr>
          <w:rFonts w:hint="eastAsia"/>
          <w:sz w:val="24"/>
          <w:szCs w:val="24"/>
        </w:rPr>
        <w:t>“评价”是指教师依据教学目标确定评价内容和评价标准，通过组织和引导学生完成以评目标为导向的多种评价活动，以此监控学生的学习过程，检测教与学的效果的活动。正如本听说课例中合理穿插</w:t>
      </w:r>
      <w:r>
        <w:rPr>
          <w:rFonts w:hint="eastAsia" w:ascii="Times New Roman" w:hAnsi="Times New Roman" w:eastAsia="宋体"/>
          <w:sz w:val="24"/>
          <w:szCs w:val="24"/>
        </w:rPr>
        <w:t>各种评价方式（如下表所示）可以</w:t>
      </w:r>
      <w:r>
        <w:rPr>
          <w:rFonts w:hint="eastAsia" w:ascii="Times New Roman" w:hAnsi="Times New Roman" w:eastAsia="宋体"/>
          <w:sz w:val="24"/>
          <w:szCs w:val="24"/>
          <w:lang w:eastAsia="zh-Hans"/>
        </w:rPr>
        <w:t>最大限度地发挥评价结果的诊断功能和促学功能，实现评价为教与学服务的目的。</w:t>
      </w:r>
    </w:p>
    <w:tbl>
      <w:tblPr>
        <w:tblStyle w:val="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276"/>
        <w:gridCol w:w="3260"/>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rPr>
                <w:rFonts w:ascii="Times New Roman" w:hAnsi="Times New Roman" w:eastAsia="宋体"/>
                <w:color w:val="000000" w:themeColor="text1"/>
                <w:sz w:val="24"/>
                <w:szCs w:val="24"/>
                <w:lang w:eastAsia="zh-Hans"/>
                <w14:textFill>
                  <w14:solidFill>
                    <w14:schemeClr w14:val="tx1"/>
                  </w14:solidFill>
                </w14:textFill>
              </w:rPr>
            </w:pPr>
            <w:bookmarkStart w:id="0" w:name="_GoBack"/>
            <w:bookmarkEnd w:id="0"/>
            <w:r>
              <w:rPr>
                <w:rFonts w:hint="eastAsia" w:ascii="Times New Roman" w:hAnsi="Times New Roman" w:eastAsia="宋体"/>
                <w:color w:val="000000" w:themeColor="text1"/>
                <w:sz w:val="24"/>
                <w:szCs w:val="24"/>
                <w14:textFill>
                  <w14:solidFill>
                    <w14:schemeClr w14:val="tx1"/>
                  </w14:solidFill>
                </w14:textFill>
              </w:rPr>
              <w:t>评价</w:t>
            </w:r>
            <w:r>
              <w:rPr>
                <w:rFonts w:hint="eastAsia" w:ascii="Times New Roman" w:hAnsi="Times New Roman" w:eastAsia="宋体"/>
                <w:color w:val="000000" w:themeColor="text1"/>
                <w:sz w:val="24"/>
                <w:szCs w:val="24"/>
                <w:lang w:eastAsia="zh-Hans"/>
                <w14:textFill>
                  <w14:solidFill>
                    <w14:schemeClr w14:val="tx1"/>
                  </w14:solidFill>
                </w14:textFill>
              </w:rPr>
              <w:t>者</w:t>
            </w:r>
          </w:p>
        </w:tc>
        <w:tc>
          <w:tcPr>
            <w:tcW w:w="1276" w:type="dxa"/>
          </w:tcPr>
          <w:p>
            <w:pPr>
              <w:spacing w:line="360" w:lineRule="auto"/>
              <w:rPr>
                <w:rFonts w:ascii="Times New Roman" w:hAnsi="Times New Roman" w:eastAsia="宋体"/>
                <w:color w:val="000000" w:themeColor="text1"/>
                <w:sz w:val="24"/>
                <w:szCs w:val="24"/>
                <w:lang w:eastAsia="zh-Hans"/>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评价</w:t>
            </w:r>
            <w:r>
              <w:rPr>
                <w:rFonts w:hint="eastAsia" w:ascii="Times New Roman" w:hAnsi="Times New Roman" w:eastAsia="宋体"/>
                <w:color w:val="000000" w:themeColor="text1"/>
                <w:sz w:val="24"/>
                <w:szCs w:val="24"/>
                <w:lang w:eastAsia="zh-Hans"/>
                <w14:textFill>
                  <w14:solidFill>
                    <w14:schemeClr w14:val="tx1"/>
                  </w14:solidFill>
                </w14:textFill>
              </w:rPr>
              <w:t>方式</w:t>
            </w:r>
          </w:p>
        </w:tc>
        <w:tc>
          <w:tcPr>
            <w:tcW w:w="3260" w:type="dxa"/>
          </w:tcPr>
          <w:p>
            <w:pPr>
              <w:spacing w:line="360" w:lineRule="auto"/>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评价内容</w:t>
            </w:r>
          </w:p>
        </w:tc>
        <w:tc>
          <w:tcPr>
            <w:tcW w:w="3544" w:type="dxa"/>
          </w:tcPr>
          <w:p>
            <w:pPr>
              <w:spacing w:line="360" w:lineRule="auto"/>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评价目的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959" w:type="dxa"/>
            <w:vMerge w:val="restart"/>
          </w:tcPr>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hint="eastAsia" w:ascii="Times New Roman" w:hAnsi="Times New Roman" w:eastAsia="宋体"/>
                <w:color w:val="000000" w:themeColor="text1"/>
                <w:sz w:val="24"/>
                <w:szCs w:val="24"/>
                <w14:textFill>
                  <w14:solidFill>
                    <w14:schemeClr w14:val="tx1"/>
                  </w14:solidFill>
                </w14:textFill>
              </w:rPr>
            </w:pPr>
          </w:p>
          <w:p>
            <w:pPr>
              <w:spacing w:line="360" w:lineRule="auto"/>
              <w:rPr>
                <w:rFonts w:hint="eastAsia"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14:textFill>
                  <w14:solidFill>
                    <w14:schemeClr w14:val="tx1"/>
                  </w14:solidFill>
                </w14:textFill>
              </w:rPr>
              <w:t>教师</w:t>
            </w:r>
          </w:p>
        </w:tc>
        <w:tc>
          <w:tcPr>
            <w:tcW w:w="1276" w:type="dxa"/>
          </w:tcPr>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14:textFill>
                  <w14:solidFill>
                    <w14:schemeClr w14:val="tx1"/>
                  </w14:solidFill>
                </w14:textFill>
              </w:rPr>
              <w:t>课堂提问</w:t>
            </w:r>
          </w:p>
        </w:tc>
        <w:tc>
          <w:tcPr>
            <w:tcW w:w="3260" w:type="dxa"/>
          </w:tcPr>
          <w:p>
            <w:pPr>
              <w:spacing w:line="360" w:lineRule="auto"/>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提出“</w:t>
            </w:r>
            <w:r>
              <w:rPr>
                <w:rFonts w:hint="eastAsia" w:ascii="Times New Roman" w:hAnsi="Times New Roman" w:eastAsia="宋体"/>
                <w:color w:val="000000" w:themeColor="text1"/>
                <w:sz w:val="24"/>
                <w:szCs w:val="24"/>
                <w14:textFill>
                  <w14:solidFill>
                    <w14:schemeClr w14:val="tx1"/>
                  </w14:solidFill>
                </w14:textFill>
              </w:rPr>
              <w:t>What does Captain King do？</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What did Captain King do？</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What will Captain King do？</w:t>
            </w:r>
            <w:r>
              <w:rPr>
                <w:rFonts w:ascii="Times New Roman" w:hAnsi="Times New Roman" w:eastAsia="宋体"/>
                <w:color w:val="000000" w:themeColor="text1"/>
                <w:sz w:val="24"/>
                <w:szCs w:val="24"/>
                <w14:textFill>
                  <w14:solidFill>
                    <w14:schemeClr w14:val="tx1"/>
                  </w14:solidFill>
                </w14:textFill>
              </w:rPr>
              <w:t>”几个问题，根据回答评价学生对听力中信息的获取情况。</w:t>
            </w:r>
          </w:p>
        </w:tc>
        <w:tc>
          <w:tcPr>
            <w:tcW w:w="3544" w:type="dxa"/>
          </w:tcPr>
          <w:p>
            <w:pPr>
              <w:spacing w:line="360" w:lineRule="auto"/>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检测</w:t>
            </w:r>
            <w:r>
              <w:rPr>
                <w:rFonts w:ascii="Times New Roman" w:hAnsi="Times New Roman" w:eastAsia="宋体"/>
                <w:color w:val="000000" w:themeColor="text1"/>
                <w:sz w:val="24"/>
                <w:szCs w:val="24"/>
                <w14:textFill>
                  <w14:solidFill>
                    <w14:schemeClr w14:val="tx1"/>
                  </w14:solidFill>
                </w14:textFill>
              </w:rPr>
              <w:t>学生是否能从听力中获取</w:t>
            </w:r>
            <w:r>
              <w:rPr>
                <w:rFonts w:hint="eastAsia" w:ascii="Times New Roman" w:hAnsi="Times New Roman" w:eastAsia="宋体"/>
                <w:i/>
                <w:color w:val="000000" w:themeColor="text1"/>
                <w:sz w:val="24"/>
                <w:szCs w:val="24"/>
                <w14:textFill>
                  <w14:solidFill>
                    <w14:schemeClr w14:val="tx1"/>
                  </w14:solidFill>
                </w14:textFill>
              </w:rPr>
              <w:t>Captain King</w:t>
            </w:r>
            <w:r>
              <w:rPr>
                <w:rFonts w:hint="eastAsia" w:ascii="Times New Roman" w:hAnsi="Times New Roman" w:eastAsia="宋体"/>
                <w:color w:val="000000" w:themeColor="text1"/>
                <w:sz w:val="24"/>
                <w:szCs w:val="24"/>
                <w14:textFill>
                  <w14:solidFill>
                    <w14:schemeClr w14:val="tx1"/>
                  </w14:solidFill>
                </w14:textFill>
              </w:rPr>
              <w:t>过去、现在、未来生活相关的信息。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pPr>
              <w:spacing w:line="360" w:lineRule="auto"/>
              <w:rPr>
                <w:rFonts w:ascii="Times New Roman" w:hAnsi="Times New Roman" w:eastAsia="宋体"/>
                <w:color w:val="FF0000"/>
                <w:sz w:val="24"/>
                <w:szCs w:val="24"/>
              </w:rPr>
            </w:pPr>
          </w:p>
        </w:tc>
        <w:tc>
          <w:tcPr>
            <w:tcW w:w="1276" w:type="dxa"/>
          </w:tcPr>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lang w:eastAsia="zh-Hans"/>
                <w14:textFill>
                  <w14:solidFill>
                    <w14:schemeClr w14:val="tx1"/>
                  </w14:solidFill>
                </w14:textFill>
              </w:rPr>
              <w:t>课内学案</w:t>
            </w:r>
          </w:p>
        </w:tc>
        <w:tc>
          <w:tcPr>
            <w:tcW w:w="3260" w:type="dxa"/>
          </w:tcPr>
          <w:p>
            <w:pPr>
              <w:spacing w:line="360" w:lineRule="auto"/>
              <w:rPr>
                <w:rFonts w:ascii="Times New Roman" w:hAnsi="Times New Roman" w:eastAsia="宋体"/>
                <w:color w:val="000000" w:themeColor="text1"/>
                <w:sz w:val="24"/>
                <w:szCs w:val="24"/>
                <w:lang w:eastAsia="zh-Hans"/>
                <w14:textFill>
                  <w14:solidFill>
                    <w14:schemeClr w14:val="tx1"/>
                  </w14:solidFill>
                </w14:textFill>
              </w:rPr>
            </w:pPr>
            <w:r>
              <w:rPr>
                <w:rFonts w:hint="eastAsia" w:ascii="Times New Roman" w:hAnsi="Times New Roman" w:eastAsia="宋体"/>
                <w:color w:val="000000" w:themeColor="text1"/>
                <w:sz w:val="24"/>
                <w:szCs w:val="24"/>
                <w:lang w:eastAsia="zh-Hans"/>
                <w14:textFill>
                  <w14:solidFill>
                    <w14:schemeClr w14:val="tx1"/>
                  </w14:solidFill>
                </w14:textFill>
              </w:rPr>
              <w:t>在学案中设计时态归纳填空</w:t>
            </w:r>
            <w:r>
              <w:rPr>
                <w:rFonts w:ascii="Times New Roman" w:hAnsi="Times New Roman" w:eastAsia="宋体"/>
                <w:color w:val="000000" w:themeColor="text1"/>
                <w:sz w:val="24"/>
                <w:szCs w:val="24"/>
                <w:lang w:eastAsia="zh-Hans"/>
                <w14:textFill>
                  <w14:solidFill>
                    <w14:schemeClr w14:val="tx1"/>
                  </w14:solidFill>
                </w14:textFill>
              </w:rPr>
              <w:t>，</w:t>
            </w:r>
            <w:r>
              <w:rPr>
                <w:rFonts w:hint="eastAsia" w:ascii="Times New Roman" w:hAnsi="Times New Roman" w:eastAsia="宋体"/>
                <w:color w:val="000000" w:themeColor="text1"/>
                <w:sz w:val="24"/>
                <w:szCs w:val="24"/>
                <w:lang w:eastAsia="zh-Hans"/>
                <w14:textFill>
                  <w14:solidFill>
                    <w14:schemeClr w14:val="tx1"/>
                  </w14:solidFill>
                </w14:textFill>
              </w:rPr>
              <w:t>通过学生写下的答案评价他们对一般现在时</w:t>
            </w:r>
            <w:r>
              <w:rPr>
                <w:rFonts w:ascii="Times New Roman" w:hAnsi="Times New Roman" w:eastAsia="宋体"/>
                <w:color w:val="000000" w:themeColor="text1"/>
                <w:sz w:val="24"/>
                <w:szCs w:val="24"/>
                <w:lang w:eastAsia="zh-Hans"/>
                <w14:textFill>
                  <w14:solidFill>
                    <w14:schemeClr w14:val="tx1"/>
                  </w14:solidFill>
                </w14:textFill>
              </w:rPr>
              <w:t>、</w:t>
            </w:r>
            <w:r>
              <w:rPr>
                <w:rFonts w:hint="eastAsia" w:ascii="Times New Roman" w:hAnsi="Times New Roman" w:eastAsia="宋体"/>
                <w:color w:val="000000" w:themeColor="text1"/>
                <w:sz w:val="24"/>
                <w:szCs w:val="24"/>
                <w:lang w:eastAsia="zh-Hans"/>
                <w14:textFill>
                  <w14:solidFill>
                    <w14:schemeClr w14:val="tx1"/>
                  </w14:solidFill>
                </w14:textFill>
              </w:rPr>
              <w:t>一般过去时和一般将来时的掌握情况</w:t>
            </w:r>
            <w:r>
              <w:rPr>
                <w:rFonts w:ascii="Times New Roman" w:hAnsi="Times New Roman" w:eastAsia="宋体"/>
                <w:color w:val="000000" w:themeColor="text1"/>
                <w:sz w:val="24"/>
                <w:szCs w:val="24"/>
                <w:lang w:eastAsia="zh-Hans"/>
                <w14:textFill>
                  <w14:solidFill>
                    <w14:schemeClr w14:val="tx1"/>
                  </w14:solidFill>
                </w14:textFill>
              </w:rPr>
              <w:t>。</w:t>
            </w:r>
          </w:p>
        </w:tc>
        <w:tc>
          <w:tcPr>
            <w:tcW w:w="3544" w:type="dxa"/>
          </w:tcPr>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lang w:eastAsia="zh-Hans"/>
                <w14:textFill>
                  <w14:solidFill>
                    <w14:schemeClr w14:val="tx1"/>
                  </w14:solidFill>
                </w14:textFill>
              </w:rPr>
              <w:t>检测</w:t>
            </w:r>
            <w:r>
              <w:rPr>
                <w:rFonts w:hint="eastAsia" w:ascii="Times New Roman" w:hAnsi="Times New Roman" w:eastAsia="宋体"/>
                <w:color w:val="000000" w:themeColor="text1"/>
                <w:sz w:val="24"/>
                <w:szCs w:val="24"/>
                <w14:textFill>
                  <w14:solidFill>
                    <w14:schemeClr w14:val="tx1"/>
                  </w14:solidFill>
                </w14:textFill>
              </w:rPr>
              <w:t>学生是否</w:t>
            </w:r>
            <w:r>
              <w:rPr>
                <w:rFonts w:hint="eastAsia"/>
                <w:color w:val="000000" w:themeColor="text1"/>
                <w:sz w:val="24"/>
                <w:szCs w:val="24"/>
                <w14:textFill>
                  <w14:solidFill>
                    <w14:schemeClr w14:val="tx1"/>
                  </w14:solidFill>
                </w14:textFill>
              </w:rPr>
              <w:t>能够通过听力中动词的变化辨别语句的不同时态</w:t>
            </w:r>
            <w:r>
              <w:rPr>
                <w:rFonts w:hint="eastAsia" w:ascii="Times New Roman" w:hAnsi="Times New Roman" w:eastAsia="宋体"/>
                <w:color w:val="000000" w:themeColor="text1"/>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pPr>
              <w:spacing w:line="360" w:lineRule="auto"/>
              <w:rPr>
                <w:rFonts w:ascii="Times New Roman" w:hAnsi="Times New Roman" w:eastAsia="宋体"/>
                <w:color w:val="FF0000"/>
                <w:sz w:val="24"/>
                <w:szCs w:val="24"/>
              </w:rPr>
            </w:pPr>
          </w:p>
        </w:tc>
        <w:tc>
          <w:tcPr>
            <w:tcW w:w="1276" w:type="dxa"/>
          </w:tcPr>
          <w:p>
            <w:pPr>
              <w:spacing w:line="360" w:lineRule="auto"/>
              <w:rPr>
                <w:rFonts w:ascii="Times New Roman" w:hAnsi="Times New Roman" w:eastAsia="宋体"/>
                <w:color w:val="000000" w:themeColor="text1"/>
                <w:sz w:val="24"/>
                <w:szCs w:val="24"/>
                <w:lang w:eastAsia="zh-Hans"/>
                <w14:textFill>
                  <w14:solidFill>
                    <w14:schemeClr w14:val="tx1"/>
                  </w14:solidFill>
                </w14:textFill>
              </w:rPr>
            </w:pPr>
            <w:r>
              <w:rPr>
                <w:rFonts w:hint="eastAsia" w:ascii="Times New Roman" w:hAnsi="Times New Roman" w:eastAsia="宋体"/>
                <w:color w:val="000000" w:themeColor="text1"/>
                <w:sz w:val="24"/>
                <w:szCs w:val="24"/>
                <w:lang w:eastAsia="zh-Hans"/>
                <w14:textFill>
                  <w14:solidFill>
                    <w14:schemeClr w14:val="tx1"/>
                  </w14:solidFill>
                </w14:textFill>
              </w:rPr>
              <w:t>言行反馈</w:t>
            </w:r>
          </w:p>
        </w:tc>
        <w:tc>
          <w:tcPr>
            <w:tcW w:w="3260" w:type="dxa"/>
          </w:tcPr>
          <w:p>
            <w:pPr>
              <w:spacing w:line="360" w:lineRule="auto"/>
              <w:rPr>
                <w:rFonts w:ascii="Times New Roman" w:hAnsi="Times New Roman" w:eastAsia="宋体"/>
                <w:color w:val="000000" w:themeColor="text1"/>
                <w:sz w:val="24"/>
                <w:szCs w:val="24"/>
                <w:lang w:eastAsia="zh-Hans"/>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对</w:t>
            </w:r>
            <w:r>
              <w:rPr>
                <w:rFonts w:hint="eastAsia" w:ascii="Times New Roman" w:hAnsi="Times New Roman" w:eastAsia="宋体"/>
                <w:color w:val="000000" w:themeColor="text1"/>
                <w:sz w:val="24"/>
                <w:szCs w:val="24"/>
                <w:lang w:eastAsia="zh-Hans"/>
                <w14:textFill>
                  <w14:solidFill>
                    <w14:schemeClr w14:val="tx1"/>
                  </w14:solidFill>
                </w14:textFill>
              </w:rPr>
              <w:t>教学活动中出色完成教学任务</w:t>
            </w:r>
            <w:r>
              <w:rPr>
                <w:rFonts w:ascii="Times New Roman" w:hAnsi="Times New Roman" w:eastAsia="宋体"/>
                <w:color w:val="000000" w:themeColor="text1"/>
                <w:sz w:val="24"/>
                <w:szCs w:val="24"/>
                <w:lang w:eastAsia="zh-Hans"/>
                <w14:textFill>
                  <w14:solidFill>
                    <w14:schemeClr w14:val="tx1"/>
                  </w14:solidFill>
                </w14:textFill>
              </w:rPr>
              <w:t>、</w:t>
            </w:r>
            <w:r>
              <w:rPr>
                <w:rFonts w:hint="eastAsia" w:ascii="Times New Roman" w:hAnsi="Times New Roman" w:eastAsia="宋体"/>
                <w:color w:val="000000" w:themeColor="text1"/>
                <w:sz w:val="24"/>
                <w:szCs w:val="24"/>
                <w:lang w:eastAsia="zh-Hans"/>
                <w14:textFill>
                  <w14:solidFill>
                    <w14:schemeClr w14:val="tx1"/>
                  </w14:solidFill>
                </w14:textFill>
              </w:rPr>
              <w:t>课堂问答及角色扮演表现出色的小组竖大拇指或带领全班鼓掌表达肯定</w:t>
            </w:r>
            <w:r>
              <w:rPr>
                <w:rFonts w:ascii="Times New Roman" w:hAnsi="Times New Roman" w:eastAsia="宋体"/>
                <w:color w:val="000000" w:themeColor="text1"/>
                <w:sz w:val="24"/>
                <w:szCs w:val="24"/>
                <w:lang w:eastAsia="zh-Hans"/>
                <w14:textFill>
                  <w14:solidFill>
                    <w14:schemeClr w14:val="tx1"/>
                  </w14:solidFill>
                </w14:textFill>
              </w:rPr>
              <w:t>；</w:t>
            </w:r>
            <w:r>
              <w:rPr>
                <w:rFonts w:hint="eastAsia" w:ascii="Times New Roman" w:hAnsi="Times New Roman" w:eastAsia="宋体"/>
                <w:color w:val="000000" w:themeColor="text1"/>
                <w:sz w:val="24"/>
                <w:szCs w:val="24"/>
                <w:lang w:eastAsia="zh-Hans"/>
                <w14:textFill>
                  <w14:solidFill>
                    <w14:schemeClr w14:val="tx1"/>
                  </w14:solidFill>
                </w14:textFill>
              </w:rPr>
              <w:t>对仍有瑕疵的回答或小组表现口头提出改进建议</w:t>
            </w:r>
            <w:r>
              <w:rPr>
                <w:rFonts w:ascii="Times New Roman" w:hAnsi="Times New Roman" w:eastAsia="宋体"/>
                <w:color w:val="000000" w:themeColor="text1"/>
                <w:sz w:val="24"/>
                <w:szCs w:val="24"/>
                <w:lang w:eastAsia="zh-Hans"/>
                <w14:textFill>
                  <w14:solidFill>
                    <w14:schemeClr w14:val="tx1"/>
                  </w14:solidFill>
                </w14:textFill>
              </w:rPr>
              <w:t>。</w:t>
            </w:r>
          </w:p>
        </w:tc>
        <w:tc>
          <w:tcPr>
            <w:tcW w:w="3544" w:type="dxa"/>
          </w:tcPr>
          <w:p>
            <w:pPr>
              <w:spacing w:line="360" w:lineRule="auto"/>
              <w:rPr>
                <w:rFonts w:ascii="Times New Roman" w:hAnsi="Times New Roman"/>
                <w:color w:val="000000" w:themeColor="text1"/>
                <w:sz w:val="24"/>
                <w:szCs w:val="24"/>
                <w:lang w:eastAsia="zh-Hans"/>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检测</w:t>
            </w:r>
            <w:r>
              <w:rPr>
                <w:rFonts w:hint="eastAsia"/>
                <w:sz w:val="24"/>
                <w:szCs w:val="24"/>
              </w:rPr>
              <w:t>学生</w:t>
            </w:r>
            <w:r>
              <w:rPr>
                <w:rFonts w:hint="eastAsia"/>
                <w:sz w:val="24"/>
                <w:szCs w:val="24"/>
                <w:lang w:eastAsia="zh-Hans"/>
              </w:rPr>
              <w:t>每一个教学任务完成情况和对指向目标的知识点的掌握情况</w:t>
            </w:r>
            <w:r>
              <w:rPr>
                <w:sz w:val="24"/>
                <w:szCs w:val="24"/>
                <w:lang w:eastAsia="zh-Hans"/>
              </w:rPr>
              <w:t>，</w:t>
            </w:r>
            <w:r>
              <w:rPr>
                <w:rFonts w:hint="eastAsia"/>
                <w:sz w:val="24"/>
                <w:szCs w:val="24"/>
                <w:lang w:eastAsia="zh-Hans"/>
              </w:rPr>
              <w:t>便于及时调整课堂节奏和进度</w:t>
            </w:r>
            <w:r>
              <w:rPr>
                <w:sz w:val="24"/>
                <w:szCs w:val="24"/>
                <w:lang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959" w:type="dxa"/>
            <w:vMerge w:val="restart"/>
          </w:tcPr>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14:textFill>
                  <w14:solidFill>
                    <w14:schemeClr w14:val="tx1"/>
                  </w14:solidFill>
                </w14:textFill>
              </w:rPr>
            </w:pPr>
          </w:p>
          <w:p>
            <w:pPr>
              <w:spacing w:line="360" w:lineRule="auto"/>
              <w:rPr>
                <w:rFonts w:hint="eastAsia" w:ascii="Times New Roman" w:hAnsi="Times New Roman" w:eastAsia="宋体"/>
                <w:color w:val="000000" w:themeColor="text1"/>
                <w:sz w:val="24"/>
                <w:szCs w:val="24"/>
                <w14:textFill>
                  <w14:solidFill>
                    <w14:schemeClr w14:val="tx1"/>
                  </w14:solidFill>
                </w14:textFill>
              </w:rPr>
            </w:pPr>
          </w:p>
          <w:p>
            <w:pPr>
              <w:spacing w:line="360" w:lineRule="auto"/>
              <w:rPr>
                <w:rFonts w:ascii="Times New Roman" w:hAnsi="Times New Roman" w:eastAsia="宋体"/>
                <w:color w:val="000000" w:themeColor="text1"/>
                <w:sz w:val="24"/>
                <w:szCs w:val="24"/>
                <w:lang w:eastAsia="zh-Hans"/>
                <w14:textFill>
                  <w14:solidFill>
                    <w14:schemeClr w14:val="tx1"/>
                  </w14:solidFill>
                </w14:textFill>
              </w:rPr>
            </w:pPr>
            <w:r>
              <w:rPr>
                <w:rFonts w:hint="eastAsia" w:ascii="Times New Roman" w:hAnsi="Times New Roman" w:eastAsia="宋体"/>
                <w:color w:val="000000" w:themeColor="text1"/>
                <w:sz w:val="24"/>
                <w:szCs w:val="24"/>
                <w:lang w:eastAsia="zh-Hans"/>
                <w14:textFill>
                  <w14:solidFill>
                    <w14:schemeClr w14:val="tx1"/>
                  </w14:solidFill>
                </w14:textFill>
              </w:rPr>
              <w:t>学生</w:t>
            </w:r>
          </w:p>
        </w:tc>
        <w:tc>
          <w:tcPr>
            <w:tcW w:w="1276" w:type="dxa"/>
          </w:tcPr>
          <w:p>
            <w:pPr>
              <w:spacing w:line="360" w:lineRule="auto"/>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eastAsia="zh-Hans"/>
                <w14:textFill>
                  <w14:solidFill>
                    <w14:schemeClr w14:val="tx1"/>
                  </w14:solidFill>
                </w14:textFill>
              </w:rPr>
              <w:t>自评</w:t>
            </w:r>
          </w:p>
        </w:tc>
        <w:tc>
          <w:tcPr>
            <w:tcW w:w="3260" w:type="dxa"/>
          </w:tcPr>
          <w:p>
            <w:pPr>
              <w:spacing w:line="360" w:lineRule="auto"/>
              <w:rPr>
                <w:rFonts w:ascii="Times New Roman" w:hAnsi="Times New Roman" w:eastAsia="宋体"/>
                <w:color w:val="FF0000"/>
                <w:sz w:val="24"/>
                <w:szCs w:val="24"/>
              </w:rPr>
            </w:pPr>
            <w:r>
              <w:rPr>
                <w:rFonts w:ascii="Times New Roman" w:hAnsi="Times New Roman" w:eastAsia="宋体"/>
                <w:color w:val="000000" w:themeColor="text1"/>
                <w:sz w:val="24"/>
                <w:szCs w:val="24"/>
                <w14:textFill>
                  <w14:solidFill>
                    <w14:schemeClr w14:val="tx1"/>
                  </w14:solidFill>
                </w14:textFill>
              </w:rPr>
              <w:t>R</w:t>
            </w:r>
            <w:r>
              <w:rPr>
                <w:rFonts w:hint="eastAsia" w:ascii="Times New Roman" w:hAnsi="Times New Roman" w:eastAsia="宋体"/>
                <w:color w:val="000000" w:themeColor="text1"/>
                <w:sz w:val="24"/>
                <w:szCs w:val="24"/>
                <w14:textFill>
                  <w14:solidFill>
                    <w14:schemeClr w14:val="tx1"/>
                  </w14:solidFill>
                </w14:textFill>
              </w:rPr>
              <w:t>ole play中对照产出环节要求，自我反思是否提及过去、现在、未来三个部分；三部分时态是否正确应用；角色扮演时是否体现角色特征</w:t>
            </w:r>
            <w:r>
              <w:rPr>
                <w:rFonts w:ascii="Times New Roman" w:hAnsi="Times New Roman" w:eastAsia="宋体"/>
                <w:color w:val="000000" w:themeColor="text1"/>
                <w:sz w:val="24"/>
                <w:szCs w:val="24"/>
                <w14:textFill>
                  <w14:solidFill>
                    <w14:schemeClr w14:val="tx1"/>
                  </w14:solidFill>
                </w14:textFill>
              </w:rPr>
              <w:t>。</w:t>
            </w:r>
          </w:p>
        </w:tc>
        <w:tc>
          <w:tcPr>
            <w:tcW w:w="3544" w:type="dxa"/>
          </w:tcPr>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14:textFill>
                  <w14:solidFill>
                    <w14:schemeClr w14:val="tx1"/>
                  </w14:solidFill>
                </w14:textFill>
              </w:rPr>
              <w:t>自我检测是否能在所给场景下描述他人过去现在和未来的生活，在口语表述过程中是否能正确、合理运用时态。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pPr>
              <w:spacing w:line="360" w:lineRule="auto"/>
              <w:rPr>
                <w:rFonts w:ascii="Times New Roman" w:hAnsi="Times New Roman" w:eastAsia="宋体"/>
                <w:color w:val="FF0000"/>
                <w:sz w:val="24"/>
                <w:szCs w:val="24"/>
                <w:lang w:eastAsia="zh-Hans"/>
              </w:rPr>
            </w:pPr>
          </w:p>
        </w:tc>
        <w:tc>
          <w:tcPr>
            <w:tcW w:w="1276" w:type="dxa"/>
          </w:tcPr>
          <w:p>
            <w:pPr>
              <w:spacing w:line="360" w:lineRule="auto"/>
              <w:jc w:val="center"/>
              <w:rPr>
                <w:rFonts w:ascii="Times New Roman" w:hAnsi="Times New Roman" w:eastAsia="宋体"/>
                <w:color w:val="FF0000"/>
                <w:sz w:val="24"/>
                <w:szCs w:val="24"/>
                <w:lang w:eastAsia="zh-Hans"/>
              </w:rPr>
            </w:pPr>
            <w:r>
              <w:rPr>
                <w:rFonts w:hint="eastAsia" w:ascii="Times New Roman" w:hAnsi="Times New Roman" w:eastAsia="宋体"/>
                <w:color w:val="000000" w:themeColor="text1"/>
                <w:sz w:val="24"/>
                <w:szCs w:val="24"/>
                <w:lang w:eastAsia="zh-Hans"/>
                <w14:textFill>
                  <w14:solidFill>
                    <w14:schemeClr w14:val="tx1"/>
                  </w14:solidFill>
                </w14:textFill>
              </w:rPr>
              <w:t>互评</w:t>
            </w:r>
          </w:p>
        </w:tc>
        <w:tc>
          <w:tcPr>
            <w:tcW w:w="3260" w:type="dxa"/>
          </w:tcPr>
          <w:p>
            <w:pPr>
              <w:spacing w:line="360" w:lineRule="auto"/>
              <w:rPr>
                <w:rFonts w:ascii="Times New Roman" w:hAnsi="Times New Roman" w:eastAsia="宋体"/>
                <w:color w:val="FF0000"/>
                <w:sz w:val="24"/>
                <w:szCs w:val="24"/>
              </w:rPr>
            </w:pPr>
            <w:r>
              <w:rPr>
                <w:rFonts w:ascii="Times New Roman" w:hAnsi="Times New Roman" w:eastAsia="宋体"/>
                <w:color w:val="000000" w:themeColor="text1"/>
                <w:sz w:val="24"/>
                <w:szCs w:val="24"/>
                <w14:textFill>
                  <w14:solidFill>
                    <w14:schemeClr w14:val="tx1"/>
                  </w14:solidFill>
                </w14:textFill>
              </w:rPr>
              <w:t>R</w:t>
            </w:r>
            <w:r>
              <w:rPr>
                <w:rFonts w:hint="eastAsia" w:ascii="Times New Roman" w:hAnsi="Times New Roman" w:eastAsia="宋体"/>
                <w:color w:val="000000" w:themeColor="text1"/>
                <w:sz w:val="24"/>
                <w:szCs w:val="24"/>
                <w14:textFill>
                  <w14:solidFill>
                    <w14:schemeClr w14:val="tx1"/>
                  </w14:solidFill>
                </w14:textFill>
              </w:rPr>
              <w:t>ole play中根据产出环节要求，发现</w:t>
            </w:r>
            <w:r>
              <w:rPr>
                <w:rFonts w:hint="eastAsia" w:ascii="Times New Roman" w:hAnsi="Times New Roman" w:eastAsia="宋体"/>
                <w:color w:val="000000" w:themeColor="text1"/>
                <w:sz w:val="24"/>
                <w:szCs w:val="24"/>
                <w:lang w:eastAsia="zh-Hans"/>
                <w14:textFill>
                  <w14:solidFill>
                    <w14:schemeClr w14:val="tx1"/>
                  </w14:solidFill>
                </w14:textFill>
              </w:rPr>
              <w:t>其他小组的</w:t>
            </w:r>
            <w:r>
              <w:rPr>
                <w:rFonts w:hint="eastAsia" w:ascii="Times New Roman" w:hAnsi="Times New Roman" w:eastAsia="宋体"/>
                <w:color w:val="000000" w:themeColor="text1"/>
                <w:sz w:val="24"/>
                <w:szCs w:val="24"/>
                <w14:textFill>
                  <w14:solidFill>
                    <w14:schemeClr w14:val="tx1"/>
                  </w14:solidFill>
                </w14:textFill>
              </w:rPr>
              <w:t>问题，提出问题，帮助改进。</w:t>
            </w:r>
          </w:p>
        </w:tc>
        <w:tc>
          <w:tcPr>
            <w:tcW w:w="3544" w:type="dxa"/>
          </w:tcPr>
          <w:p>
            <w:pPr>
              <w:spacing w:line="360" w:lineRule="auto"/>
              <w:rPr>
                <w:rFonts w:ascii="Times New Roman" w:hAnsi="Times New Roman" w:eastAsia="宋体"/>
                <w:color w:val="FF0000"/>
                <w:sz w:val="24"/>
                <w:szCs w:val="24"/>
              </w:rPr>
            </w:pPr>
            <w:r>
              <w:rPr>
                <w:rFonts w:hint="eastAsia" w:ascii="Times New Roman" w:hAnsi="Times New Roman" w:eastAsia="宋体"/>
                <w:color w:val="000000" w:themeColor="text1"/>
                <w:sz w:val="24"/>
                <w:szCs w:val="24"/>
                <w14:textFill>
                  <w14:solidFill>
                    <w14:schemeClr w14:val="tx1"/>
                  </w14:solidFill>
                </w14:textFill>
              </w:rPr>
              <w:t>评价他人是否达成checklist产出要求，同时自我对照、自我改进，提升英语口语表达技巧。</w:t>
            </w:r>
          </w:p>
        </w:tc>
      </w:tr>
    </w:tbl>
    <w:p>
      <w:pPr>
        <w:spacing w:line="360" w:lineRule="auto"/>
        <w:rPr>
          <w:rFonts w:ascii="Times New Roman" w:hAnsi="Times New Roman" w:eastAsia="黑体" w:cs="Times New Roman"/>
          <w:b/>
          <w:bCs/>
          <w:sz w:val="28"/>
          <w:szCs w:val="28"/>
        </w:rPr>
      </w:pPr>
      <w:r>
        <w:rPr>
          <w:rFonts w:hint="eastAsia" w:ascii="Times New Roman" w:hAnsi="Times New Roman" w:eastAsia="黑体" w:cs="Times New Roman"/>
          <w:b/>
          <w:bCs/>
          <w:sz w:val="28"/>
          <w:szCs w:val="28"/>
        </w:rPr>
        <w:t>（四）运用学习活动观唤醒主动探究意识</w:t>
      </w:r>
      <w:r>
        <w:rPr>
          <w:rFonts w:ascii="Times New Roman" w:hAnsi="Times New Roman" w:eastAsia="黑体" w:cs="Times New Roman"/>
          <w:b/>
          <w:bCs/>
          <w:sz w:val="28"/>
          <w:szCs w:val="28"/>
        </w:rPr>
        <w:t xml:space="preserve"> </w:t>
      </w:r>
    </w:p>
    <w:p>
      <w:pPr>
        <w:spacing w:line="360" w:lineRule="auto"/>
        <w:ind w:firstLine="480" w:firstLineChars="200"/>
        <w:rPr>
          <w:rFonts w:ascii="Times New Roman" w:hAnsi="Times New Roman" w:eastAsia="宋体"/>
          <w:sz w:val="24"/>
          <w:szCs w:val="24"/>
        </w:rPr>
      </w:pPr>
      <w:r>
        <w:rPr>
          <w:rFonts w:hint="eastAsia"/>
          <w:sz w:val="24"/>
          <w:szCs w:val="24"/>
        </w:rPr>
        <w:t>新课标提出要践行“学思结合、用创为本的英语学习活动观”，倡导学生围绕真实情境和真实问题，激活已知，参与到指向主题意义探究的学习理解、应用实践和迁移创新等一系列相互关联、循环递进的语言学习和运用活动中。引导学生在迁移创新类活动中联系个人实际</w:t>
      </w:r>
      <w:r>
        <w:rPr>
          <w:rFonts w:hint="eastAsia" w:asciiTheme="minorEastAsia" w:hAnsiTheme="minorEastAsia"/>
          <w:sz w:val="24"/>
          <w:szCs w:val="24"/>
        </w:rPr>
        <w:t>，</w:t>
      </w:r>
      <w:r>
        <w:rPr>
          <w:rFonts w:hint="eastAsia"/>
          <w:sz w:val="24"/>
          <w:szCs w:val="24"/>
        </w:rPr>
        <w:t>运用所学解决现实生活中的问题，形成正确的态度和价值判断。</w:t>
      </w:r>
      <w:r>
        <w:rPr>
          <w:sz w:val="24"/>
          <w:szCs w:val="24"/>
        </w:rPr>
        <w:t>正如本课例</w:t>
      </w:r>
      <w:r>
        <w:rPr>
          <w:rFonts w:hint="eastAsia" w:ascii="Times New Roman" w:hAnsi="Times New Roman" w:eastAsia="宋体"/>
          <w:sz w:val="24"/>
          <w:szCs w:val="24"/>
        </w:rPr>
        <w:t>在产出环节创设了</w:t>
      </w:r>
      <w:r>
        <w:rPr>
          <w:rFonts w:hint="eastAsia" w:ascii="Times New Roman" w:hAnsi="Times New Roman" w:eastAsia="宋体"/>
          <w:i/>
          <w:sz w:val="24"/>
          <w:szCs w:val="24"/>
        </w:rPr>
        <w:t>Gorkella</w:t>
      </w:r>
      <w:r>
        <w:rPr>
          <w:rFonts w:hint="eastAsia" w:ascii="Times New Roman" w:hAnsi="Times New Roman" w:eastAsia="宋体"/>
          <w:sz w:val="24"/>
          <w:szCs w:val="24"/>
        </w:rPr>
        <w:t>来我校接受校报成员采访的场景，让同学们根据补充信息和自己对外星人世界的探索想象，描述她的工作与生活。这样结合实际的探究帮助学生带入现实场景，主动积极地发散思维，从中提高语言综合能力及核心素养。</w:t>
      </w:r>
    </w:p>
    <w:p>
      <w:pPr>
        <w:spacing w:line="360" w:lineRule="auto"/>
        <w:rPr>
          <w:rFonts w:ascii="Times New Roman" w:hAnsi="Times New Roman" w:eastAsia="黑体" w:cs="Times New Roman"/>
          <w:b/>
          <w:bCs/>
          <w:sz w:val="30"/>
          <w:szCs w:val="30"/>
        </w:rPr>
      </w:pPr>
      <w:r>
        <w:rPr>
          <w:rFonts w:hint="eastAsia" w:ascii="Times New Roman" w:hAnsi="Times New Roman" w:eastAsia="黑体" w:cs="Times New Roman"/>
          <w:b/>
          <w:bCs/>
          <w:sz w:val="30"/>
          <w:szCs w:val="30"/>
        </w:rPr>
        <w:t>四、总结与思考</w:t>
      </w:r>
    </w:p>
    <w:p>
      <w:pPr>
        <w:spacing w:line="360" w:lineRule="auto"/>
        <w:ind w:firstLine="480" w:firstLineChars="200"/>
        <w:rPr>
          <w:sz w:val="24"/>
          <w:szCs w:val="24"/>
        </w:rPr>
      </w:pPr>
      <w:r>
        <w:rPr>
          <w:sz w:val="24"/>
          <w:szCs w:val="24"/>
        </w:rPr>
        <w:t>本文针对我校初中英语</w:t>
      </w:r>
      <w:r>
        <w:rPr>
          <w:rFonts w:hint="eastAsia"/>
          <w:sz w:val="24"/>
          <w:szCs w:val="24"/>
        </w:rPr>
        <w:t>听说</w:t>
      </w:r>
      <w:r>
        <w:rPr>
          <w:sz w:val="24"/>
          <w:szCs w:val="24"/>
        </w:rPr>
        <w:t>教学存在的问题，结合牛津英语</w:t>
      </w:r>
      <w:r>
        <w:rPr>
          <w:rFonts w:ascii="Times New Roman" w:hAnsi="Times New Roman" w:cs="Times New Roman"/>
          <w:sz w:val="24"/>
          <w:szCs w:val="24"/>
        </w:rPr>
        <w:t>8AU</w:t>
      </w:r>
      <w:r>
        <w:rPr>
          <w:rFonts w:hint="eastAsia" w:ascii="Times New Roman" w:hAnsi="Times New Roman" w:cs="Times New Roman"/>
          <w:sz w:val="24"/>
          <w:szCs w:val="24"/>
        </w:rPr>
        <w:t>7</w:t>
      </w:r>
      <w:r>
        <w:rPr>
          <w:sz w:val="24"/>
          <w:szCs w:val="24"/>
        </w:rPr>
        <w:t>的</w:t>
      </w:r>
      <w:r>
        <w:rPr>
          <w:rFonts w:ascii="Times New Roman" w:hAnsi="Times New Roman" w:cs="Times New Roman"/>
          <w:i/>
          <w:sz w:val="24"/>
          <w:szCs w:val="24"/>
        </w:rPr>
        <w:t>Captain King’s life and work</w:t>
      </w:r>
      <w:r>
        <w:rPr>
          <w:sz w:val="24"/>
          <w:szCs w:val="24"/>
        </w:rPr>
        <w:t>文本，</w:t>
      </w:r>
      <w:r>
        <w:rPr>
          <w:rFonts w:hint="eastAsia"/>
          <w:sz w:val="24"/>
          <w:szCs w:val="24"/>
        </w:rPr>
        <w:t>依托语篇，基于学情展开了</w:t>
      </w:r>
      <w:r>
        <w:rPr>
          <w:sz w:val="24"/>
          <w:szCs w:val="24"/>
        </w:rPr>
        <w:t>教学实践，探讨了教学评一体化在听说课中设计</w:t>
      </w:r>
      <w:r>
        <w:rPr>
          <w:rFonts w:hint="eastAsia"/>
          <w:sz w:val="24"/>
          <w:szCs w:val="24"/>
        </w:rPr>
        <w:t>策略</w:t>
      </w:r>
      <w:r>
        <w:rPr>
          <w:sz w:val="24"/>
          <w:szCs w:val="24"/>
        </w:rPr>
        <w:t>，得出了教师可善用</w:t>
      </w:r>
      <w:r>
        <w:rPr>
          <w:rFonts w:hint="eastAsia"/>
          <w:sz w:val="24"/>
          <w:szCs w:val="24"/>
        </w:rPr>
        <w:t>信息资源、学习支架、多种评价方式和学习活动观促进听说课堂教学效率的结论。在课堂实践后，笔者也有一些新的思考：</w:t>
      </w:r>
      <w:r>
        <w:rPr>
          <w:rFonts w:hint="eastAsia"/>
          <w:sz w:val="24"/>
          <w:szCs w:val="24"/>
          <w:lang w:eastAsia="zh-Hans"/>
        </w:rPr>
        <w:t>信息技术的发展除了课堂情境的创设是否还能帮助提高教学评价效度</w:t>
      </w:r>
      <w:r>
        <w:rPr>
          <w:rFonts w:hint="eastAsia"/>
          <w:sz w:val="24"/>
          <w:szCs w:val="24"/>
        </w:rPr>
        <w:t>？本课例实践中总结的方法是否也适用于教学评一体化背景下的其他课型？</w:t>
      </w:r>
      <w:r>
        <w:rPr>
          <w:rFonts w:hint="eastAsia" w:asciiTheme="minorEastAsia" w:hAnsiTheme="minorEastAsia"/>
          <w:sz w:val="24"/>
          <w:szCs w:val="24"/>
        </w:rPr>
        <w:t>这都是笔者今后教学中要继续思考的问题。</w:t>
      </w:r>
    </w:p>
    <w:p>
      <w:pPr>
        <w:spacing w:line="360" w:lineRule="auto"/>
      </w:pPr>
    </w:p>
    <w:p>
      <w:pPr>
        <w:spacing w:line="360" w:lineRule="auto"/>
        <w:rPr>
          <w:rFonts w:ascii="Times New Roman" w:hAnsi="Times New Roman" w:eastAsia="黑体" w:cs="Times New Roman"/>
          <w:b/>
          <w:bCs/>
          <w:sz w:val="30"/>
          <w:szCs w:val="30"/>
        </w:rPr>
      </w:pPr>
      <w:r>
        <w:rPr>
          <w:rFonts w:hint="eastAsia" w:ascii="Times New Roman" w:hAnsi="Times New Roman" w:eastAsia="黑体" w:cs="Times New Roman"/>
          <w:b/>
          <w:bCs/>
          <w:sz w:val="30"/>
          <w:szCs w:val="30"/>
        </w:rPr>
        <w:t>参考文献：</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eastAsia="zh-Hans"/>
        </w:rPr>
        <w:t>[</w:t>
      </w:r>
      <w:r>
        <w:rPr>
          <w:rFonts w:hint="eastAsia" w:ascii="Times New Roman" w:hAnsi="Times New Roman" w:eastAsia="宋体"/>
          <w:sz w:val="24"/>
          <w:szCs w:val="24"/>
        </w:rPr>
        <w:t>1</w:t>
      </w:r>
      <w:r>
        <w:rPr>
          <w:rFonts w:ascii="Times New Roman" w:hAnsi="Times New Roman" w:eastAsia="宋体"/>
          <w:sz w:val="24"/>
          <w:szCs w:val="24"/>
          <w:lang w:eastAsia="zh-Hans"/>
        </w:rPr>
        <w:t xml:space="preserve">] </w:t>
      </w:r>
      <w:r>
        <w:rPr>
          <w:rFonts w:hint="eastAsia" w:ascii="Times New Roman" w:hAnsi="Times New Roman" w:eastAsia="宋体" w:cs="宋体"/>
          <w:sz w:val="24"/>
          <w:szCs w:val="24"/>
          <w:lang w:eastAsia="zh-Hans"/>
        </w:rPr>
        <w:t>中华人民共和国教育部</w:t>
      </w:r>
      <w:r>
        <w:rPr>
          <w:rFonts w:hint="eastAsia" w:ascii="Times New Roman" w:hAnsi="Times New Roman" w:eastAsia="宋体" w:cs="Malgun Gothic Semilight"/>
          <w:sz w:val="24"/>
          <w:szCs w:val="24"/>
        </w:rPr>
        <w:t xml:space="preserve">. </w:t>
      </w:r>
      <w:r>
        <w:rPr>
          <w:rFonts w:hint="eastAsia" w:ascii="Times New Roman" w:hAnsi="Times New Roman" w:eastAsia="宋体"/>
          <w:sz w:val="24"/>
          <w:szCs w:val="24"/>
        </w:rPr>
        <w:t>义务教育英语课程标准（2022版）</w:t>
      </w:r>
      <w:r>
        <w:rPr>
          <w:rFonts w:ascii="Times New Roman" w:hAnsi="Times New Roman" w:eastAsia="宋体"/>
          <w:sz w:val="24"/>
          <w:szCs w:val="24"/>
          <w:lang w:eastAsia="zh-Hans"/>
        </w:rPr>
        <w:t xml:space="preserve">[M]. </w:t>
      </w:r>
      <w:r>
        <w:rPr>
          <w:rFonts w:hint="eastAsia" w:ascii="Times New Roman" w:hAnsi="Times New Roman" w:eastAsia="宋体" w:cs="宋体"/>
          <w:sz w:val="24"/>
          <w:szCs w:val="24"/>
          <w:lang w:eastAsia="zh-Hans"/>
        </w:rPr>
        <w:t>北京</w:t>
      </w:r>
      <w:r>
        <w:rPr>
          <w:rFonts w:hint="eastAsia" w:ascii="Times New Roman" w:hAnsi="Times New Roman" w:eastAsia="宋体" w:cs="Malgun Gothic Semilight"/>
          <w:sz w:val="24"/>
          <w:szCs w:val="24"/>
          <w:lang w:eastAsia="zh-Hans"/>
        </w:rPr>
        <w:t>：</w:t>
      </w:r>
      <w:r>
        <w:rPr>
          <w:rFonts w:hint="eastAsia" w:ascii="Times New Roman" w:hAnsi="Times New Roman" w:eastAsia="宋体" w:cs="宋体"/>
          <w:sz w:val="24"/>
          <w:szCs w:val="24"/>
        </w:rPr>
        <w:t>北京师范大学</w:t>
      </w:r>
      <w:r>
        <w:rPr>
          <w:rFonts w:hint="eastAsia" w:ascii="Times New Roman" w:hAnsi="Times New Roman" w:eastAsia="宋体" w:cs="宋体"/>
          <w:sz w:val="24"/>
          <w:szCs w:val="24"/>
          <w:lang w:eastAsia="zh-Hans"/>
        </w:rPr>
        <w:t>出版社</w:t>
      </w:r>
      <w:r>
        <w:rPr>
          <w:rFonts w:hint="eastAsia" w:ascii="Times New Roman" w:hAnsi="Times New Roman" w:eastAsia="宋体" w:cs="Malgun Gothic Semilight"/>
          <w:sz w:val="24"/>
          <w:szCs w:val="24"/>
        </w:rPr>
        <w:t>，2022.</w:t>
      </w:r>
    </w:p>
    <w:p>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[2</w:t>
      </w:r>
      <w:r>
        <w:rPr>
          <w:rFonts w:ascii="Times New Roman" w:hAnsi="Times New Roman" w:eastAsia="宋体"/>
          <w:sz w:val="24"/>
          <w:szCs w:val="24"/>
          <w:lang w:eastAsia="zh-Hans"/>
        </w:rPr>
        <w:t>]</w:t>
      </w:r>
      <w:r>
        <w:rPr>
          <w:rFonts w:hint="eastAsia" w:ascii="Times New Roman" w:hAnsi="Times New Roman" w:eastAsia="宋体"/>
          <w:sz w:val="24"/>
          <w:szCs w:val="24"/>
        </w:rPr>
        <w:t xml:space="preserve"> </w:t>
      </w:r>
      <w:r>
        <w:rPr>
          <w:rFonts w:ascii="Times New Roman" w:hAnsi="Times New Roman" w:eastAsia="宋体"/>
          <w:sz w:val="24"/>
          <w:szCs w:val="24"/>
          <w:lang w:eastAsia="zh-Hans"/>
        </w:rPr>
        <w:t>Wiggins, G.&amp; McTighe, J.（</w:t>
      </w:r>
      <w:r>
        <w:rPr>
          <w:rFonts w:hint="eastAsia" w:ascii="Times New Roman" w:hAnsi="Times New Roman" w:eastAsia="宋体" w:cs="宋体"/>
          <w:sz w:val="24"/>
          <w:szCs w:val="24"/>
          <w:lang w:eastAsia="zh-Hans"/>
        </w:rPr>
        <w:t>著</w:t>
      </w:r>
      <w:r>
        <w:rPr>
          <w:rFonts w:hint="eastAsia" w:ascii="Times New Roman" w:hAnsi="Times New Roman" w:eastAsia="宋体" w:cs="Malgun Gothic Semilight"/>
          <w:sz w:val="24"/>
          <w:szCs w:val="24"/>
          <w:lang w:eastAsia="zh-Hans"/>
        </w:rPr>
        <w:t>），</w:t>
      </w:r>
      <w:r>
        <w:rPr>
          <w:rFonts w:hint="eastAsia" w:ascii="Times New Roman" w:hAnsi="Times New Roman" w:eastAsia="宋体" w:cs="宋体"/>
          <w:sz w:val="24"/>
          <w:szCs w:val="24"/>
          <w:lang w:eastAsia="zh-Hans"/>
        </w:rPr>
        <w:t>闫寒冰</w:t>
      </w:r>
      <w:r>
        <w:rPr>
          <w:rFonts w:hint="eastAsia" w:ascii="Times New Roman" w:hAnsi="Times New Roman" w:eastAsia="宋体" w:cs="Malgun Gothic Semilight"/>
          <w:sz w:val="24"/>
          <w:szCs w:val="24"/>
          <w:lang w:eastAsia="zh-Hans"/>
        </w:rPr>
        <w:t>、</w:t>
      </w:r>
      <w:r>
        <w:rPr>
          <w:rFonts w:hint="eastAsia" w:ascii="Times New Roman" w:hAnsi="Times New Roman" w:eastAsia="宋体" w:cs="宋体"/>
          <w:sz w:val="24"/>
          <w:szCs w:val="24"/>
          <w:lang w:eastAsia="zh-Hans"/>
        </w:rPr>
        <w:t>宋雪莲</w:t>
      </w:r>
      <w:r>
        <w:rPr>
          <w:rFonts w:hint="eastAsia" w:ascii="Times New Roman" w:hAnsi="Times New Roman" w:eastAsia="宋体" w:cs="Malgun Gothic Semilight"/>
          <w:sz w:val="24"/>
          <w:szCs w:val="24"/>
          <w:lang w:eastAsia="zh-Hans"/>
        </w:rPr>
        <w:t>、</w:t>
      </w:r>
      <w:r>
        <w:rPr>
          <w:rFonts w:hint="eastAsia" w:ascii="Times New Roman" w:hAnsi="Times New Roman" w:eastAsia="宋体" w:cs="宋体"/>
          <w:sz w:val="24"/>
          <w:szCs w:val="24"/>
          <w:lang w:eastAsia="zh-Hans"/>
        </w:rPr>
        <w:t>赖平</w:t>
      </w:r>
      <w:r>
        <w:rPr>
          <w:rFonts w:hint="eastAsia" w:ascii="Times New Roman" w:hAnsi="Times New Roman" w:eastAsia="宋体" w:cs="Malgun Gothic Semilight"/>
          <w:sz w:val="24"/>
          <w:szCs w:val="24"/>
          <w:lang w:eastAsia="zh-Hans"/>
        </w:rPr>
        <w:t>（</w:t>
      </w:r>
      <w:r>
        <w:rPr>
          <w:rFonts w:hint="eastAsia" w:ascii="Times New Roman" w:hAnsi="Times New Roman" w:eastAsia="宋体" w:cs="宋体"/>
          <w:sz w:val="24"/>
          <w:szCs w:val="24"/>
          <w:lang w:eastAsia="zh-Hans"/>
        </w:rPr>
        <w:t>译</w:t>
      </w:r>
      <w:r>
        <w:rPr>
          <w:rFonts w:hint="eastAsia" w:ascii="Times New Roman" w:hAnsi="Times New Roman" w:eastAsia="宋体" w:cs="Malgun Gothic Semilight"/>
          <w:sz w:val="24"/>
          <w:szCs w:val="24"/>
          <w:lang w:eastAsia="zh-Hans"/>
        </w:rPr>
        <w:t>）</w:t>
      </w:r>
      <w:r>
        <w:rPr>
          <w:rFonts w:hint="eastAsia" w:ascii="Times New Roman" w:hAnsi="Times New Roman" w:eastAsia="宋体" w:cs="Malgun Gothic Semilight"/>
          <w:sz w:val="24"/>
          <w:szCs w:val="24"/>
        </w:rPr>
        <w:t>.</w:t>
      </w:r>
      <w:r>
        <w:rPr>
          <w:rFonts w:hint="eastAsia" w:ascii="Times New Roman" w:hAnsi="Times New Roman" w:eastAsia="宋体" w:cs="宋体"/>
          <w:sz w:val="24"/>
          <w:szCs w:val="24"/>
          <w:lang w:eastAsia="zh-Hans"/>
        </w:rPr>
        <w:t>追求理解的教学设计</w:t>
      </w:r>
      <w:r>
        <w:rPr>
          <w:rFonts w:ascii="Times New Roman" w:hAnsi="Times New Roman" w:eastAsia="宋体"/>
          <w:sz w:val="24"/>
          <w:szCs w:val="24"/>
          <w:lang w:eastAsia="zh-Hans"/>
        </w:rPr>
        <w:t>(</w:t>
      </w:r>
      <w:r>
        <w:rPr>
          <w:rFonts w:hint="eastAsia" w:ascii="Times New Roman" w:hAnsi="Times New Roman" w:eastAsia="宋体" w:cs="宋体"/>
          <w:sz w:val="24"/>
          <w:szCs w:val="24"/>
          <w:lang w:eastAsia="zh-Hans"/>
        </w:rPr>
        <w:t>第二版</w:t>
      </w:r>
      <w:r>
        <w:rPr>
          <w:rFonts w:ascii="Times New Roman" w:hAnsi="Times New Roman" w:eastAsia="宋体"/>
          <w:sz w:val="24"/>
          <w:szCs w:val="24"/>
          <w:lang w:eastAsia="zh-Hans"/>
        </w:rPr>
        <w:t>) [M].</w:t>
      </w:r>
      <w:r>
        <w:rPr>
          <w:rFonts w:hint="eastAsia" w:ascii="Times New Roman" w:hAnsi="Times New Roman" w:eastAsia="宋体"/>
          <w:sz w:val="24"/>
          <w:szCs w:val="24"/>
        </w:rPr>
        <w:t xml:space="preserve"> </w:t>
      </w:r>
      <w:r>
        <w:rPr>
          <w:rFonts w:hint="eastAsia" w:ascii="Times New Roman" w:hAnsi="Times New Roman" w:eastAsia="宋体" w:cs="宋体"/>
          <w:sz w:val="24"/>
          <w:szCs w:val="24"/>
          <w:lang w:eastAsia="zh-Hans"/>
        </w:rPr>
        <w:t>上海</w:t>
      </w:r>
      <w:r>
        <w:rPr>
          <w:rFonts w:hint="eastAsia" w:ascii="Times New Roman" w:hAnsi="Times New Roman" w:eastAsia="宋体"/>
          <w:sz w:val="24"/>
          <w:szCs w:val="24"/>
        </w:rPr>
        <w:t>：</w:t>
      </w:r>
      <w:r>
        <w:rPr>
          <w:rFonts w:hint="eastAsia" w:ascii="Times New Roman" w:hAnsi="Times New Roman" w:eastAsia="宋体" w:cs="宋体"/>
          <w:sz w:val="24"/>
          <w:szCs w:val="24"/>
          <w:lang w:eastAsia="zh-Hans"/>
        </w:rPr>
        <w:t>华东师范大学出版社</w:t>
      </w:r>
      <w:r>
        <w:rPr>
          <w:rFonts w:hint="eastAsia" w:ascii="Times New Roman" w:hAnsi="Times New Roman" w:eastAsia="宋体" w:cs="Malgun Gothic Semilight"/>
          <w:sz w:val="24"/>
          <w:szCs w:val="24"/>
          <w:lang w:eastAsia="zh-Hans"/>
        </w:rPr>
        <w:t>，</w:t>
      </w:r>
      <w:r>
        <w:rPr>
          <w:rFonts w:ascii="Times New Roman" w:hAnsi="Times New Roman" w:eastAsia="宋体"/>
          <w:sz w:val="24"/>
          <w:szCs w:val="24"/>
          <w:lang w:eastAsia="zh-Hans"/>
        </w:rPr>
        <w:t>2017</w:t>
      </w:r>
      <w:r>
        <w:rPr>
          <w:rFonts w:hint="eastAsia" w:ascii="Times New Roman" w:hAnsi="Times New Roman" w:eastAsia="宋体"/>
          <w:sz w:val="24"/>
          <w:szCs w:val="24"/>
        </w:rPr>
        <w:t>.</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 xml:space="preserve">[3] </w:t>
      </w:r>
      <w:r>
        <w:rPr>
          <w:rFonts w:hint="eastAsia" w:ascii="Times New Roman" w:hAnsi="Times New Roman" w:eastAsia="宋体"/>
          <w:sz w:val="24"/>
          <w:szCs w:val="24"/>
        </w:rPr>
        <w:t>徐浩，蒋京丽，曹爱萍. 基于听力文本信息组织模式的教学策略[J]. 中小学外语教学（中学篇</w:t>
      </w:r>
      <w:r>
        <w:rPr>
          <w:rFonts w:ascii="Times New Roman" w:hAnsi="Times New Roman" w:eastAsia="宋体"/>
          <w:sz w:val="24"/>
          <w:szCs w:val="24"/>
        </w:rPr>
        <w:t xml:space="preserve">), </w:t>
      </w:r>
      <w:r>
        <w:rPr>
          <w:rFonts w:hint="eastAsia" w:ascii="Times New Roman" w:hAnsi="Times New Roman" w:eastAsia="宋体"/>
          <w:sz w:val="24"/>
          <w:szCs w:val="24"/>
        </w:rPr>
        <w:t>2018.</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w:t>
      </w:r>
      <w:r>
        <w:rPr>
          <w:rFonts w:hint="eastAsia" w:ascii="Times New Roman" w:hAnsi="Times New Roman" w:eastAsia="宋体"/>
          <w:sz w:val="24"/>
          <w:szCs w:val="24"/>
        </w:rPr>
        <w:t>4</w:t>
      </w:r>
      <w:r>
        <w:rPr>
          <w:rFonts w:ascii="Times New Roman" w:hAnsi="Times New Roman" w:eastAsia="宋体"/>
          <w:sz w:val="24"/>
          <w:szCs w:val="24"/>
        </w:rPr>
        <w:t>]</w:t>
      </w:r>
      <w:r>
        <w:rPr>
          <w:rFonts w:hint="eastAsia" w:ascii="Times New Roman" w:hAnsi="Times New Roman" w:eastAsia="宋体"/>
          <w:sz w:val="24"/>
          <w:szCs w:val="24"/>
        </w:rPr>
        <w:t xml:space="preserve"> 刘杰. 支架式教学模式与课堂教学[J]. 贵州师范学院学报 2010(3).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0000000000000000000"/>
    <w:charset w:val="00"/>
    <w:family w:val="auto"/>
    <w:pitch w:val="default"/>
    <w:sig w:usb0="00000000" w:usb1="00000000" w:usb2="00000000" w:usb3="00000000" w:csb0="00000000" w:csb1="00000000"/>
  </w:font>
  <w:font w:name="Times New Roman Italic">
    <w:altName w:val="Times New Roman"/>
    <w:panose1 w:val="02020503050405090304"/>
    <w:charset w:val="00"/>
    <w:family w:val="auto"/>
    <w:pitch w:val="default"/>
    <w:sig w:usb0="00000000" w:usb1="00000000" w:usb2="00000000" w:usb3="00000000" w:csb0="00000000" w:csb1="00000000"/>
  </w:font>
  <w:font w:name="Malgun Gothic Semilight">
    <w:panose1 w:val="020B0502040204020203"/>
    <w:charset w:val="86"/>
    <w:family w:val="swiss"/>
    <w:pitch w:val="default"/>
    <w:sig w:usb0="900002AF" w:usb1="01D77CFB" w:usb2="00000012" w:usb3="00000000" w:csb0="203E01BD" w:csb1="D7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7E8ED9"/>
    <w:multiLevelType w:val="singleLevel"/>
    <w:tmpl w:val="737E8ED9"/>
    <w:lvl w:ilvl="0" w:tentative="0">
      <w:start w:val="2"/>
      <w:numFmt w:val="decimal"/>
      <w:lvlText w:val="%1."/>
      <w:lvlJc w:val="left"/>
      <w:pPr>
        <w:tabs>
          <w:tab w:val="left" w:pos="312"/>
        </w:tabs>
        <w:ind w:left="5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hYWIzMjhlNmJkYjI4NjUzZDRmYjY3ZTYyMmNiMjEifQ=="/>
  </w:docVars>
  <w:rsids>
    <w:rsidRoot w:val="00D740D1"/>
    <w:rsid w:val="000024B6"/>
    <w:rsid w:val="00012030"/>
    <w:rsid w:val="00014786"/>
    <w:rsid w:val="00025829"/>
    <w:rsid w:val="000370F0"/>
    <w:rsid w:val="00040516"/>
    <w:rsid w:val="0004752E"/>
    <w:rsid w:val="00050E4A"/>
    <w:rsid w:val="00054C90"/>
    <w:rsid w:val="0006072A"/>
    <w:rsid w:val="000A1D0A"/>
    <w:rsid w:val="000B1A5E"/>
    <w:rsid w:val="000B5922"/>
    <w:rsid w:val="000C72EC"/>
    <w:rsid w:val="000D0D90"/>
    <w:rsid w:val="000D1E88"/>
    <w:rsid w:val="00103B2E"/>
    <w:rsid w:val="0011189A"/>
    <w:rsid w:val="00115314"/>
    <w:rsid w:val="001266E8"/>
    <w:rsid w:val="0015117D"/>
    <w:rsid w:val="001545E0"/>
    <w:rsid w:val="00164A72"/>
    <w:rsid w:val="001A0A30"/>
    <w:rsid w:val="001A798D"/>
    <w:rsid w:val="001B1386"/>
    <w:rsid w:val="001C07E9"/>
    <w:rsid w:val="001C1822"/>
    <w:rsid w:val="001C68E7"/>
    <w:rsid w:val="001D71FB"/>
    <w:rsid w:val="001E071B"/>
    <w:rsid w:val="001E3562"/>
    <w:rsid w:val="001F2182"/>
    <w:rsid w:val="001F29E1"/>
    <w:rsid w:val="001F528F"/>
    <w:rsid w:val="002030AF"/>
    <w:rsid w:val="002032EB"/>
    <w:rsid w:val="00223714"/>
    <w:rsid w:val="002330F5"/>
    <w:rsid w:val="002333F5"/>
    <w:rsid w:val="00235BC5"/>
    <w:rsid w:val="00243B4B"/>
    <w:rsid w:val="00257010"/>
    <w:rsid w:val="00266A85"/>
    <w:rsid w:val="00280EFA"/>
    <w:rsid w:val="002939FA"/>
    <w:rsid w:val="002A0412"/>
    <w:rsid w:val="002A29A5"/>
    <w:rsid w:val="002B1204"/>
    <w:rsid w:val="002B1292"/>
    <w:rsid w:val="002B46EF"/>
    <w:rsid w:val="002C5562"/>
    <w:rsid w:val="002D5710"/>
    <w:rsid w:val="002E1016"/>
    <w:rsid w:val="002E4FC3"/>
    <w:rsid w:val="002E65A4"/>
    <w:rsid w:val="002E6C80"/>
    <w:rsid w:val="002E6F78"/>
    <w:rsid w:val="002E7654"/>
    <w:rsid w:val="002E7EC9"/>
    <w:rsid w:val="002F0FA6"/>
    <w:rsid w:val="002F1B53"/>
    <w:rsid w:val="00304FF9"/>
    <w:rsid w:val="003053CD"/>
    <w:rsid w:val="00311CBE"/>
    <w:rsid w:val="00312771"/>
    <w:rsid w:val="003147E6"/>
    <w:rsid w:val="00356BC9"/>
    <w:rsid w:val="00357393"/>
    <w:rsid w:val="00364CBA"/>
    <w:rsid w:val="003715C0"/>
    <w:rsid w:val="003716C3"/>
    <w:rsid w:val="00371A31"/>
    <w:rsid w:val="0038724E"/>
    <w:rsid w:val="003B1AB4"/>
    <w:rsid w:val="003B30A9"/>
    <w:rsid w:val="003C6F3B"/>
    <w:rsid w:val="003D630C"/>
    <w:rsid w:val="00401E28"/>
    <w:rsid w:val="00410C35"/>
    <w:rsid w:val="00416518"/>
    <w:rsid w:val="00426737"/>
    <w:rsid w:val="004267E2"/>
    <w:rsid w:val="00437E04"/>
    <w:rsid w:val="0044288F"/>
    <w:rsid w:val="00451ADF"/>
    <w:rsid w:val="004743F1"/>
    <w:rsid w:val="00477E02"/>
    <w:rsid w:val="00480170"/>
    <w:rsid w:val="0048261E"/>
    <w:rsid w:val="004843CD"/>
    <w:rsid w:val="00484AA8"/>
    <w:rsid w:val="00497F47"/>
    <w:rsid w:val="004B0DEE"/>
    <w:rsid w:val="004B6877"/>
    <w:rsid w:val="00511D3F"/>
    <w:rsid w:val="00524BB8"/>
    <w:rsid w:val="00536207"/>
    <w:rsid w:val="00542F2A"/>
    <w:rsid w:val="005527F7"/>
    <w:rsid w:val="00585606"/>
    <w:rsid w:val="005857BE"/>
    <w:rsid w:val="00596C7A"/>
    <w:rsid w:val="005C3CD4"/>
    <w:rsid w:val="005D33C5"/>
    <w:rsid w:val="005D5211"/>
    <w:rsid w:val="005D727B"/>
    <w:rsid w:val="006041E5"/>
    <w:rsid w:val="0062715A"/>
    <w:rsid w:val="00646F83"/>
    <w:rsid w:val="00647379"/>
    <w:rsid w:val="00647DB3"/>
    <w:rsid w:val="00653CB1"/>
    <w:rsid w:val="00666C78"/>
    <w:rsid w:val="006814EB"/>
    <w:rsid w:val="0068616A"/>
    <w:rsid w:val="00691C98"/>
    <w:rsid w:val="006A7336"/>
    <w:rsid w:val="006B2C1C"/>
    <w:rsid w:val="006B7B24"/>
    <w:rsid w:val="006C5D22"/>
    <w:rsid w:val="006D1EE2"/>
    <w:rsid w:val="006E1D39"/>
    <w:rsid w:val="00707877"/>
    <w:rsid w:val="007324AB"/>
    <w:rsid w:val="007330AE"/>
    <w:rsid w:val="00741282"/>
    <w:rsid w:val="00750268"/>
    <w:rsid w:val="007551A4"/>
    <w:rsid w:val="007568AB"/>
    <w:rsid w:val="00761A90"/>
    <w:rsid w:val="00762579"/>
    <w:rsid w:val="00771A92"/>
    <w:rsid w:val="007755F4"/>
    <w:rsid w:val="0078599F"/>
    <w:rsid w:val="007B6FA8"/>
    <w:rsid w:val="007B71B2"/>
    <w:rsid w:val="007C07D9"/>
    <w:rsid w:val="007E10A7"/>
    <w:rsid w:val="007E32AB"/>
    <w:rsid w:val="007E40DE"/>
    <w:rsid w:val="007F23DF"/>
    <w:rsid w:val="007F7B5D"/>
    <w:rsid w:val="00812A4E"/>
    <w:rsid w:val="00812F60"/>
    <w:rsid w:val="00824353"/>
    <w:rsid w:val="00825948"/>
    <w:rsid w:val="00841AEB"/>
    <w:rsid w:val="0084413C"/>
    <w:rsid w:val="00856AE3"/>
    <w:rsid w:val="00867BA5"/>
    <w:rsid w:val="008766F3"/>
    <w:rsid w:val="00876812"/>
    <w:rsid w:val="0088272D"/>
    <w:rsid w:val="00890386"/>
    <w:rsid w:val="008A0782"/>
    <w:rsid w:val="008B253C"/>
    <w:rsid w:val="008C1D94"/>
    <w:rsid w:val="008D2F23"/>
    <w:rsid w:val="008D6986"/>
    <w:rsid w:val="008F0536"/>
    <w:rsid w:val="008F5135"/>
    <w:rsid w:val="008F571D"/>
    <w:rsid w:val="008F6132"/>
    <w:rsid w:val="00917B62"/>
    <w:rsid w:val="00930667"/>
    <w:rsid w:val="00937EA8"/>
    <w:rsid w:val="00955ED1"/>
    <w:rsid w:val="00964412"/>
    <w:rsid w:val="009A0FFD"/>
    <w:rsid w:val="009A3356"/>
    <w:rsid w:val="009B0766"/>
    <w:rsid w:val="009B3251"/>
    <w:rsid w:val="009B4FCD"/>
    <w:rsid w:val="009B58DB"/>
    <w:rsid w:val="009B6E03"/>
    <w:rsid w:val="009D18A2"/>
    <w:rsid w:val="009E319A"/>
    <w:rsid w:val="00A111B3"/>
    <w:rsid w:val="00A14555"/>
    <w:rsid w:val="00A17936"/>
    <w:rsid w:val="00A22518"/>
    <w:rsid w:val="00A32D3B"/>
    <w:rsid w:val="00A35DB8"/>
    <w:rsid w:val="00A4124F"/>
    <w:rsid w:val="00A506A5"/>
    <w:rsid w:val="00A509A4"/>
    <w:rsid w:val="00A540CB"/>
    <w:rsid w:val="00A5644A"/>
    <w:rsid w:val="00A645A9"/>
    <w:rsid w:val="00A71DCC"/>
    <w:rsid w:val="00A75B0E"/>
    <w:rsid w:val="00A77933"/>
    <w:rsid w:val="00A80CD5"/>
    <w:rsid w:val="00A84425"/>
    <w:rsid w:val="00AA489D"/>
    <w:rsid w:val="00AB2808"/>
    <w:rsid w:val="00AB786A"/>
    <w:rsid w:val="00AC0638"/>
    <w:rsid w:val="00AD3C15"/>
    <w:rsid w:val="00AD632B"/>
    <w:rsid w:val="00AE164D"/>
    <w:rsid w:val="00AE1A4B"/>
    <w:rsid w:val="00AE48D5"/>
    <w:rsid w:val="00AE53D3"/>
    <w:rsid w:val="00B13E8A"/>
    <w:rsid w:val="00B25B29"/>
    <w:rsid w:val="00B31044"/>
    <w:rsid w:val="00B326DA"/>
    <w:rsid w:val="00B46D2E"/>
    <w:rsid w:val="00B56DFA"/>
    <w:rsid w:val="00B61DBA"/>
    <w:rsid w:val="00B75D39"/>
    <w:rsid w:val="00B8397C"/>
    <w:rsid w:val="00B91E06"/>
    <w:rsid w:val="00B96004"/>
    <w:rsid w:val="00BD0487"/>
    <w:rsid w:val="00BD4B10"/>
    <w:rsid w:val="00BE3842"/>
    <w:rsid w:val="00BE3A97"/>
    <w:rsid w:val="00C14BF6"/>
    <w:rsid w:val="00C236D7"/>
    <w:rsid w:val="00C25582"/>
    <w:rsid w:val="00C405AC"/>
    <w:rsid w:val="00C444AF"/>
    <w:rsid w:val="00C76544"/>
    <w:rsid w:val="00CA43B3"/>
    <w:rsid w:val="00CA4566"/>
    <w:rsid w:val="00CB1B9A"/>
    <w:rsid w:val="00CB2069"/>
    <w:rsid w:val="00CC104E"/>
    <w:rsid w:val="00CD5A8D"/>
    <w:rsid w:val="00CE3EB8"/>
    <w:rsid w:val="00CE4791"/>
    <w:rsid w:val="00CF27AE"/>
    <w:rsid w:val="00CF31F6"/>
    <w:rsid w:val="00CF5FD1"/>
    <w:rsid w:val="00D132AA"/>
    <w:rsid w:val="00D16736"/>
    <w:rsid w:val="00D30231"/>
    <w:rsid w:val="00D308D5"/>
    <w:rsid w:val="00D375CC"/>
    <w:rsid w:val="00D46B1E"/>
    <w:rsid w:val="00D740D1"/>
    <w:rsid w:val="00D813B5"/>
    <w:rsid w:val="00D81ECE"/>
    <w:rsid w:val="00D82EC3"/>
    <w:rsid w:val="00D8400F"/>
    <w:rsid w:val="00D907A2"/>
    <w:rsid w:val="00D93623"/>
    <w:rsid w:val="00D94844"/>
    <w:rsid w:val="00D95605"/>
    <w:rsid w:val="00DB5D9C"/>
    <w:rsid w:val="00DC1622"/>
    <w:rsid w:val="00DE0EED"/>
    <w:rsid w:val="00DF772E"/>
    <w:rsid w:val="00E02729"/>
    <w:rsid w:val="00E02B62"/>
    <w:rsid w:val="00E03C85"/>
    <w:rsid w:val="00E31FC7"/>
    <w:rsid w:val="00E45FB5"/>
    <w:rsid w:val="00E6320F"/>
    <w:rsid w:val="00E75FD8"/>
    <w:rsid w:val="00E80297"/>
    <w:rsid w:val="00E83C4C"/>
    <w:rsid w:val="00E83F7A"/>
    <w:rsid w:val="00EB02FE"/>
    <w:rsid w:val="00EB5D33"/>
    <w:rsid w:val="00EC2BB8"/>
    <w:rsid w:val="00EC6134"/>
    <w:rsid w:val="00EC7E2F"/>
    <w:rsid w:val="00ED03E5"/>
    <w:rsid w:val="00ED0E8A"/>
    <w:rsid w:val="00ED72BB"/>
    <w:rsid w:val="00EE345F"/>
    <w:rsid w:val="00F40A53"/>
    <w:rsid w:val="00F6241B"/>
    <w:rsid w:val="00F636D6"/>
    <w:rsid w:val="00F644FB"/>
    <w:rsid w:val="00F65274"/>
    <w:rsid w:val="00F76837"/>
    <w:rsid w:val="00F7789E"/>
    <w:rsid w:val="00F80FD5"/>
    <w:rsid w:val="00FA4F51"/>
    <w:rsid w:val="00FB23FF"/>
    <w:rsid w:val="00FB7B1F"/>
    <w:rsid w:val="00FC3C70"/>
    <w:rsid w:val="00FC68F2"/>
    <w:rsid w:val="00FD55CB"/>
    <w:rsid w:val="00FE734B"/>
    <w:rsid w:val="00FE777D"/>
    <w:rsid w:val="11BC0072"/>
    <w:rsid w:val="13DD4F33"/>
    <w:rsid w:val="17F21CB3"/>
    <w:rsid w:val="1E7F5CE0"/>
    <w:rsid w:val="2DFF019D"/>
    <w:rsid w:val="37FE521D"/>
    <w:rsid w:val="3A6FCA82"/>
    <w:rsid w:val="3AEF51E7"/>
    <w:rsid w:val="3BF72294"/>
    <w:rsid w:val="3D6E9CDB"/>
    <w:rsid w:val="3DDDF3F4"/>
    <w:rsid w:val="3FBFF86E"/>
    <w:rsid w:val="46FD13AF"/>
    <w:rsid w:val="478A9628"/>
    <w:rsid w:val="47BD7839"/>
    <w:rsid w:val="4EE7E440"/>
    <w:rsid w:val="56B7773E"/>
    <w:rsid w:val="5DD7A4D6"/>
    <w:rsid w:val="5FFB6316"/>
    <w:rsid w:val="61F3AF9F"/>
    <w:rsid w:val="67FB551F"/>
    <w:rsid w:val="6DD3149C"/>
    <w:rsid w:val="6FFFBCBA"/>
    <w:rsid w:val="6FFFF645"/>
    <w:rsid w:val="73BD565E"/>
    <w:rsid w:val="7B6F5A60"/>
    <w:rsid w:val="7DC76CA0"/>
    <w:rsid w:val="7DFB7470"/>
    <w:rsid w:val="7E3C0FFC"/>
    <w:rsid w:val="7E77D90D"/>
    <w:rsid w:val="7F1D828A"/>
    <w:rsid w:val="7F7A93B1"/>
    <w:rsid w:val="9F3867FB"/>
    <w:rsid w:val="9FF76786"/>
    <w:rsid w:val="AABB37C9"/>
    <w:rsid w:val="ABA3759D"/>
    <w:rsid w:val="AD7766D7"/>
    <w:rsid w:val="AFFD3CF3"/>
    <w:rsid w:val="B5E747A1"/>
    <w:rsid w:val="BAFF2EB5"/>
    <w:rsid w:val="BBFB92D0"/>
    <w:rsid w:val="BD8E8910"/>
    <w:rsid w:val="BF5F767B"/>
    <w:rsid w:val="C6BECAAE"/>
    <w:rsid w:val="C79F9C13"/>
    <w:rsid w:val="DD35F1B4"/>
    <w:rsid w:val="DF8B4671"/>
    <w:rsid w:val="E6FF594F"/>
    <w:rsid w:val="EC7EF522"/>
    <w:rsid w:val="EE7F4D53"/>
    <w:rsid w:val="EFEF59E0"/>
    <w:rsid w:val="FA0FCF97"/>
    <w:rsid w:val="FAA7D3C4"/>
    <w:rsid w:val="FDFFC113"/>
    <w:rsid w:val="FE77929B"/>
    <w:rsid w:val="FEDD43A4"/>
    <w:rsid w:val="FEFB2EDA"/>
    <w:rsid w:val="FFE57451"/>
    <w:rsid w:val="FFFB1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diagramQuickStyle" Target="diagrams/quickStyle1.xml"/><Relationship Id="rId8" Type="http://schemas.openxmlformats.org/officeDocument/2006/relationships/diagramLayout" Target="diagrams/layout1.xml"/><Relationship Id="rId7" Type="http://schemas.openxmlformats.org/officeDocument/2006/relationships/diagramData" Target="diagrams/data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microsoft.com/office/2007/relationships/diagramDrawing" Target="diagrams/drawing1.xml"/><Relationship Id="rId10" Type="http://schemas.openxmlformats.org/officeDocument/2006/relationships/diagramColors" Target="diagrams/colors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FE6BDA1-660C-44E3-B8D3-B738986F10EC}" type="doc">
      <dgm:prSet loTypeId="urn:microsoft.com/office/officeart/2005/8/layout/process3#2" loCatId="process" qsTypeId="urn:microsoft.com/office/officeart/2005/8/quickstyle/simple1#2" qsCatId="simple" csTypeId="urn:microsoft.com/office/officeart/2005/8/colors/colorful1#2" csCatId="accent1" phldr="0"/>
      <dgm:spPr/>
      <dgm:t>
        <a:bodyPr/>
        <a:p>
          <a:endParaRPr lang="zh-CN" altLang="en-US"/>
        </a:p>
      </dgm:t>
    </dgm:pt>
    <dgm:pt modelId="{1EC822D0-4B77-4F25-ABD5-8949AFB965C8}">
      <dgm:prSet phldrT="[文本]" phldr="0" custT="0"/>
      <dgm:spPr>
        <a:ln>
          <a:noFill/>
        </a:ln>
      </dgm:spPr>
      <dgm:t>
        <a:bodyPr vert="horz" wrap="square"/>
        <a:p>
          <a:pPr algn="ctr">
            <a:lnSpc>
              <a:spcPct val="100000"/>
            </a:lnSpc>
            <a:spcBef>
              <a:spcPct val="0"/>
            </a:spcBef>
            <a:spcAft>
              <a:spcPct val="35000"/>
            </a:spcAft>
          </a:pPr>
          <a:r>
            <a:rPr lang="zh-CN" altLang="en-US" b="1"/>
            <a:t>获取与梳理</a:t>
          </a:r>
          <a:endParaRPr lang="en-US" altLang="zh-CN" b="1"/>
        </a:p>
      </dgm:t>
    </dgm:pt>
    <dgm:pt modelId="{A55FEC0B-23EE-4CFE-8050-49CBA30A17FC}" cxnId="{A60520A0-2E8D-445D-96EC-20ED658424D4}" type="parTrans">
      <dgm:prSet/>
      <dgm:spPr/>
      <dgm:t>
        <a:bodyPr/>
        <a:p>
          <a:endParaRPr lang="zh-CN" altLang="en-US"/>
        </a:p>
      </dgm:t>
    </dgm:pt>
    <dgm:pt modelId="{B0C310D3-A5C4-423C-ADC0-FD305A7B421A}" cxnId="{A60520A0-2E8D-445D-96EC-20ED658424D4}" type="sibTrans">
      <dgm:prSet/>
      <dgm:spPr/>
      <dgm:t>
        <a:bodyPr/>
        <a:p>
          <a:endParaRPr lang="zh-CN" altLang="en-US"/>
        </a:p>
      </dgm:t>
    </dgm:pt>
    <dgm:pt modelId="{86BF0545-C8C8-404B-B317-6B71601F8310}">
      <dgm:prSet phldrT="[文本]" phldr="0" custT="0"/>
      <dgm:spPr/>
      <dgm:t>
        <a:bodyPr vert="horz" wrap="square"/>
        <a:p>
          <a:pPr algn="ctr">
            <a:lnSpc>
              <a:spcPct val="100000"/>
            </a:lnSpc>
            <a:spcBef>
              <a:spcPct val="0"/>
            </a:spcBef>
            <a:spcAft>
              <a:spcPct val="15000"/>
            </a:spcAft>
          </a:pPr>
          <a:r>
            <a:rPr lang="zh-CN" altLang="en-US" b="1"/>
            <a:t>听录音填空</a:t>
          </a:r>
        </a:p>
      </dgm:t>
    </dgm:pt>
    <dgm:pt modelId="{A554C9B6-595F-4C42-BA2E-0AF975A6182B}" cxnId="{7632D7F7-F04A-4B89-826F-BEAA7ADF5791}" type="parTrans">
      <dgm:prSet/>
      <dgm:spPr/>
      <dgm:t>
        <a:bodyPr/>
        <a:p>
          <a:endParaRPr lang="zh-CN" altLang="en-US"/>
        </a:p>
      </dgm:t>
    </dgm:pt>
    <dgm:pt modelId="{8F0220D1-B873-4B1C-82E7-D1658190B6B3}" cxnId="{7632D7F7-F04A-4B89-826F-BEAA7ADF5791}" type="sibTrans">
      <dgm:prSet/>
      <dgm:spPr/>
      <dgm:t>
        <a:bodyPr/>
        <a:p>
          <a:endParaRPr lang="zh-CN" altLang="en-US"/>
        </a:p>
      </dgm:t>
    </dgm:pt>
    <dgm:pt modelId="{86FEAB3F-FBB1-46CC-9DC6-E094874805AE}">
      <dgm:prSet phldrT="[文本]" phldr="0" custT="0"/>
      <dgm:spPr/>
      <dgm:t>
        <a:bodyPr vert="horz" wrap="square"/>
        <a:p>
          <a:pPr algn="ctr">
            <a:lnSpc>
              <a:spcPct val="100000"/>
            </a:lnSpc>
            <a:spcBef>
              <a:spcPct val="0"/>
            </a:spcBef>
            <a:spcAft>
              <a:spcPct val="35000"/>
            </a:spcAft>
          </a:pPr>
          <a:r>
            <a:rPr lang="zh-CN" altLang="en-US" b="1"/>
            <a:t>概括与整合</a:t>
          </a:r>
        </a:p>
      </dgm:t>
    </dgm:pt>
    <dgm:pt modelId="{74C68F9B-1FC8-4F0A-8F6F-246FC86076E9}" cxnId="{579D61D3-DAD7-412A-858A-35EE05B088C9}" type="parTrans">
      <dgm:prSet/>
      <dgm:spPr/>
      <dgm:t>
        <a:bodyPr/>
        <a:p>
          <a:endParaRPr lang="zh-CN" altLang="en-US"/>
        </a:p>
      </dgm:t>
    </dgm:pt>
    <dgm:pt modelId="{C7876883-34BD-4A68-A98E-D95D42D0FF9D}" cxnId="{579D61D3-DAD7-412A-858A-35EE05B088C9}" type="sibTrans">
      <dgm:prSet/>
      <dgm:spPr/>
      <dgm:t>
        <a:bodyPr/>
        <a:p>
          <a:endParaRPr lang="zh-CN" altLang="en-US"/>
        </a:p>
      </dgm:t>
    </dgm:pt>
    <dgm:pt modelId="{972233BE-F562-42C6-8E02-C376C905A446}">
      <dgm:prSet phldrT="[文本]" phldr="0" custT="0"/>
      <dgm:spPr/>
      <dgm:t>
        <a:bodyPr vert="horz" wrap="square"/>
        <a:p>
          <a:pPr algn="ctr">
            <a:lnSpc>
              <a:spcPct val="100000"/>
            </a:lnSpc>
            <a:spcBef>
              <a:spcPct val="0"/>
            </a:spcBef>
            <a:spcAft>
              <a:spcPct val="15000"/>
            </a:spcAft>
          </a:pPr>
          <a:r>
            <a:rPr lang="zh-CN" altLang="en-US" b="1"/>
            <a:t>听录音回答问题</a:t>
          </a:r>
        </a:p>
      </dgm:t>
    </dgm:pt>
    <dgm:pt modelId="{1B83FA22-B57F-4847-AF9E-FCABBD20370B}" cxnId="{D939188B-BE34-4253-9635-2DF3D67B4ADE}" type="parTrans">
      <dgm:prSet/>
      <dgm:spPr/>
      <dgm:t>
        <a:bodyPr/>
        <a:p>
          <a:endParaRPr lang="zh-CN" altLang="en-US"/>
        </a:p>
      </dgm:t>
    </dgm:pt>
    <dgm:pt modelId="{C95400EF-05CE-49A4-A439-43C3AD15FAE2}" cxnId="{D939188B-BE34-4253-9635-2DF3D67B4ADE}" type="sibTrans">
      <dgm:prSet/>
      <dgm:spPr/>
      <dgm:t>
        <a:bodyPr/>
        <a:p>
          <a:endParaRPr lang="zh-CN" altLang="en-US"/>
        </a:p>
      </dgm:t>
    </dgm:pt>
    <dgm:pt modelId="{B349FD2E-4A90-427F-8442-13222811DC7E}">
      <dgm:prSet phldrT="[文本]" phldr="0" custT="0"/>
      <dgm:spPr/>
      <dgm:t>
        <a:bodyPr vert="horz" wrap="square"/>
        <a:p>
          <a:pPr algn="ctr">
            <a:lnSpc>
              <a:spcPct val="100000"/>
            </a:lnSpc>
            <a:spcBef>
              <a:spcPct val="0"/>
            </a:spcBef>
            <a:spcAft>
              <a:spcPct val="35000"/>
            </a:spcAft>
          </a:pPr>
          <a:r>
            <a:rPr lang="zh-CN" altLang="en-US" b="1"/>
            <a:t>内化与应用</a:t>
          </a:r>
        </a:p>
      </dgm:t>
    </dgm:pt>
    <dgm:pt modelId="{81F9B442-B301-4CE5-9F77-41783846C51D}" cxnId="{096FA883-1823-4153-ADA3-9158BE5E56C2}" type="parTrans">
      <dgm:prSet/>
      <dgm:spPr/>
      <dgm:t>
        <a:bodyPr/>
        <a:p>
          <a:endParaRPr lang="zh-CN" altLang="en-US"/>
        </a:p>
      </dgm:t>
    </dgm:pt>
    <dgm:pt modelId="{6C33D960-524C-4E19-9279-0E1D8AB4608A}" cxnId="{096FA883-1823-4153-ADA3-9158BE5E56C2}" type="sibTrans">
      <dgm:prSet/>
      <dgm:spPr/>
      <dgm:t>
        <a:bodyPr/>
        <a:p>
          <a:endParaRPr lang="zh-CN" altLang="en-US"/>
        </a:p>
      </dgm:t>
    </dgm:pt>
    <dgm:pt modelId="{11EC3D9D-CABC-4F6B-8311-51EC9AF94B05}">
      <dgm:prSet phldrT="[文本]" phldr="0" custT="0"/>
      <dgm:spPr/>
      <dgm:t>
        <a:bodyPr vert="horz" wrap="square"/>
        <a:p>
          <a:pPr algn="ctr">
            <a:lnSpc>
              <a:spcPct val="100000"/>
            </a:lnSpc>
            <a:spcBef>
              <a:spcPct val="0"/>
            </a:spcBef>
            <a:spcAft>
              <a:spcPct val="15000"/>
            </a:spcAft>
          </a:pPr>
          <a:r>
            <a:rPr lang="zh-CN" altLang="en-US" b="1"/>
            <a:t>听录音记笔记</a:t>
          </a:r>
        </a:p>
      </dgm:t>
    </dgm:pt>
    <dgm:pt modelId="{4CB9D39E-D2E7-4AB1-8C35-13DBC76F1E1B}" cxnId="{450DC22E-4430-4E41-B047-F0D6DE73BA2E}" type="parTrans">
      <dgm:prSet/>
      <dgm:spPr/>
      <dgm:t>
        <a:bodyPr/>
        <a:p>
          <a:endParaRPr lang="zh-CN" altLang="en-US"/>
        </a:p>
      </dgm:t>
    </dgm:pt>
    <dgm:pt modelId="{49A756A8-869C-486D-A1C2-A9179C82C574}" cxnId="{450DC22E-4430-4E41-B047-F0D6DE73BA2E}" type="sibTrans">
      <dgm:prSet/>
      <dgm:spPr/>
      <dgm:t>
        <a:bodyPr/>
        <a:p>
          <a:endParaRPr lang="zh-CN" altLang="en-US"/>
        </a:p>
      </dgm:t>
    </dgm:pt>
    <dgm:pt modelId="{6600DED2-8216-4ABE-8A99-4882629E1A4D}" type="pres">
      <dgm:prSet presAssocID="{2FE6BDA1-660C-44E3-B8D3-B738986F10EC}" presName="linearFlow" presStyleCnt="0">
        <dgm:presLayoutVars>
          <dgm:dir/>
          <dgm:animLvl val="lvl"/>
          <dgm:resizeHandles val="exact"/>
        </dgm:presLayoutVars>
      </dgm:prSet>
      <dgm:spPr/>
      <dgm:t>
        <a:bodyPr/>
        <a:p>
          <a:endParaRPr lang="zh-CN" altLang="en-US"/>
        </a:p>
      </dgm:t>
    </dgm:pt>
    <dgm:pt modelId="{13EA64EB-AB03-4C80-9EEA-7CED2D89D89C}" type="pres">
      <dgm:prSet presAssocID="{1EC822D0-4B77-4F25-ABD5-8949AFB965C8}" presName="composite" presStyleCnt="0"/>
      <dgm:spPr/>
    </dgm:pt>
    <dgm:pt modelId="{CAF6A44E-174D-4D73-BBC0-9FC10FA804B9}" type="pres">
      <dgm:prSet presAssocID="{1EC822D0-4B77-4F25-ABD5-8949AFB965C8}" presName="parTx" presStyleLbl="node1" presStyleIdx="0" presStyleCnt="3">
        <dgm:presLayoutVars>
          <dgm:chMax val="0"/>
          <dgm:chPref val="0"/>
          <dgm:bulletEnabled val="1"/>
        </dgm:presLayoutVars>
      </dgm:prSet>
      <dgm:spPr/>
      <dgm:t>
        <a:bodyPr/>
        <a:p>
          <a:endParaRPr lang="zh-CN" altLang="en-US"/>
        </a:p>
      </dgm:t>
    </dgm:pt>
    <dgm:pt modelId="{BEA8DFF6-0BBC-4765-94CE-726AE7249D2C}" type="pres">
      <dgm:prSet presAssocID="{1EC822D0-4B77-4F25-ABD5-8949AFB965C8}" presName="parSh" presStyleLbl="node1" presStyleIdx="0" presStyleCnt="3"/>
      <dgm:spPr/>
      <dgm:t>
        <a:bodyPr/>
        <a:p>
          <a:endParaRPr lang="zh-CN" altLang="en-US"/>
        </a:p>
      </dgm:t>
    </dgm:pt>
    <dgm:pt modelId="{A527D8D7-AE0F-41E2-B0A5-F384C5C9B908}" type="pres">
      <dgm:prSet presAssocID="{1EC822D0-4B77-4F25-ABD5-8949AFB965C8}" presName="desTx" presStyleLbl="fgAcc1" presStyleIdx="0" presStyleCnt="3">
        <dgm:presLayoutVars>
          <dgm:bulletEnabled val="1"/>
        </dgm:presLayoutVars>
      </dgm:prSet>
      <dgm:spPr/>
      <dgm:t>
        <a:bodyPr/>
        <a:p>
          <a:endParaRPr lang="zh-CN" altLang="en-US"/>
        </a:p>
      </dgm:t>
    </dgm:pt>
    <dgm:pt modelId="{21AD7683-4E21-48FB-A2B0-38429FA73B13}" type="pres">
      <dgm:prSet presAssocID="{B0C310D3-A5C4-423C-ADC0-FD305A7B421A}" presName="sibTrans" presStyleLbl="sibTrans2D1" presStyleIdx="0" presStyleCnt="2"/>
      <dgm:spPr/>
      <dgm:t>
        <a:bodyPr/>
        <a:p>
          <a:endParaRPr lang="zh-CN" altLang="en-US"/>
        </a:p>
      </dgm:t>
    </dgm:pt>
    <dgm:pt modelId="{1E817AA8-5A37-4644-9254-A1E7980637B5}" type="pres">
      <dgm:prSet presAssocID="{B0C310D3-A5C4-423C-ADC0-FD305A7B421A}" presName="connTx" presStyleLbl="sibTrans2D1" presStyleIdx="0" presStyleCnt="2"/>
      <dgm:spPr/>
      <dgm:t>
        <a:bodyPr/>
        <a:p>
          <a:endParaRPr lang="zh-CN" altLang="en-US"/>
        </a:p>
      </dgm:t>
    </dgm:pt>
    <dgm:pt modelId="{4706D582-EEBF-4C1E-B7F4-A6D3E12D3072}" type="pres">
      <dgm:prSet presAssocID="{86FEAB3F-FBB1-46CC-9DC6-E094874805AE}" presName="composite" presStyleCnt="0"/>
      <dgm:spPr/>
    </dgm:pt>
    <dgm:pt modelId="{D8686130-E958-4F9D-9269-6FA1732D0A73}" type="pres">
      <dgm:prSet presAssocID="{86FEAB3F-FBB1-46CC-9DC6-E094874805AE}" presName="parTx" presStyleLbl="node1" presStyleIdx="0" presStyleCnt="3">
        <dgm:presLayoutVars>
          <dgm:chMax val="0"/>
          <dgm:chPref val="0"/>
          <dgm:bulletEnabled val="1"/>
        </dgm:presLayoutVars>
      </dgm:prSet>
      <dgm:spPr/>
      <dgm:t>
        <a:bodyPr/>
        <a:p>
          <a:endParaRPr lang="zh-CN" altLang="en-US"/>
        </a:p>
      </dgm:t>
    </dgm:pt>
    <dgm:pt modelId="{4201241F-A758-4825-9A41-CBED0FF9E993}" type="pres">
      <dgm:prSet presAssocID="{86FEAB3F-FBB1-46CC-9DC6-E094874805AE}" presName="parSh" presStyleLbl="node1" presStyleIdx="1" presStyleCnt="3"/>
      <dgm:spPr/>
      <dgm:t>
        <a:bodyPr/>
        <a:p>
          <a:endParaRPr lang="zh-CN" altLang="en-US"/>
        </a:p>
      </dgm:t>
    </dgm:pt>
    <dgm:pt modelId="{BFC7A65B-961A-4F69-8CB3-248457E85C87}" type="pres">
      <dgm:prSet presAssocID="{86FEAB3F-FBB1-46CC-9DC6-E094874805AE}" presName="desTx" presStyleLbl="fgAcc1" presStyleIdx="1" presStyleCnt="3">
        <dgm:presLayoutVars>
          <dgm:bulletEnabled val="1"/>
        </dgm:presLayoutVars>
      </dgm:prSet>
      <dgm:spPr/>
      <dgm:t>
        <a:bodyPr/>
        <a:p>
          <a:endParaRPr lang="zh-CN" altLang="en-US"/>
        </a:p>
      </dgm:t>
    </dgm:pt>
    <dgm:pt modelId="{5D27C5B2-FAF5-4B9E-8CE5-8F54D12F7C36}" type="pres">
      <dgm:prSet presAssocID="{C7876883-34BD-4A68-A98E-D95D42D0FF9D}" presName="sibTrans" presStyleLbl="sibTrans2D1" presStyleIdx="1" presStyleCnt="2"/>
      <dgm:spPr/>
      <dgm:t>
        <a:bodyPr/>
        <a:p>
          <a:endParaRPr lang="zh-CN" altLang="en-US"/>
        </a:p>
      </dgm:t>
    </dgm:pt>
    <dgm:pt modelId="{F8D5EB2A-738F-4E50-B014-79322171C96A}" type="pres">
      <dgm:prSet presAssocID="{C7876883-34BD-4A68-A98E-D95D42D0FF9D}" presName="connTx" presStyleLbl="sibTrans2D1" presStyleIdx="1" presStyleCnt="2"/>
      <dgm:spPr/>
      <dgm:t>
        <a:bodyPr/>
        <a:p>
          <a:endParaRPr lang="zh-CN" altLang="en-US"/>
        </a:p>
      </dgm:t>
    </dgm:pt>
    <dgm:pt modelId="{7908079C-B054-488F-B184-A0837979EED0}" type="pres">
      <dgm:prSet presAssocID="{B349FD2E-4A90-427F-8442-13222811DC7E}" presName="composite" presStyleCnt="0"/>
      <dgm:spPr/>
    </dgm:pt>
    <dgm:pt modelId="{C2722F97-5D1A-4260-B371-3A1E1DF124B3}" type="pres">
      <dgm:prSet presAssocID="{B349FD2E-4A90-427F-8442-13222811DC7E}" presName="parTx" presStyleLbl="node1" presStyleIdx="1" presStyleCnt="3">
        <dgm:presLayoutVars>
          <dgm:chMax val="0"/>
          <dgm:chPref val="0"/>
          <dgm:bulletEnabled val="1"/>
        </dgm:presLayoutVars>
      </dgm:prSet>
      <dgm:spPr/>
      <dgm:t>
        <a:bodyPr/>
        <a:p>
          <a:endParaRPr lang="zh-CN" altLang="en-US"/>
        </a:p>
      </dgm:t>
    </dgm:pt>
    <dgm:pt modelId="{6EADA40E-ECF8-4EF2-9B35-A9DD5D6A50D5}" type="pres">
      <dgm:prSet presAssocID="{B349FD2E-4A90-427F-8442-13222811DC7E}" presName="parSh" presStyleLbl="node1" presStyleIdx="2" presStyleCnt="3"/>
      <dgm:spPr/>
      <dgm:t>
        <a:bodyPr/>
        <a:p>
          <a:endParaRPr lang="zh-CN" altLang="en-US"/>
        </a:p>
      </dgm:t>
    </dgm:pt>
    <dgm:pt modelId="{39BA4712-27E2-4423-ADD6-9F9BD3D8FB35}" type="pres">
      <dgm:prSet presAssocID="{B349FD2E-4A90-427F-8442-13222811DC7E}" presName="desTx" presStyleLbl="fgAcc1" presStyleIdx="2" presStyleCnt="3">
        <dgm:presLayoutVars>
          <dgm:bulletEnabled val="1"/>
        </dgm:presLayoutVars>
      </dgm:prSet>
      <dgm:spPr/>
      <dgm:t>
        <a:bodyPr/>
        <a:p>
          <a:endParaRPr lang="zh-CN" altLang="en-US"/>
        </a:p>
      </dgm:t>
    </dgm:pt>
  </dgm:ptLst>
  <dgm:cxnLst>
    <dgm:cxn modelId="{FB67B8AE-974E-4477-9A10-3F0066928C87}" type="presOf" srcId="{B349FD2E-4A90-427F-8442-13222811DC7E}" destId="{6EADA40E-ECF8-4EF2-9B35-A9DD5D6A50D5}" srcOrd="1" destOrd="0" presId="urn:microsoft.com/office/officeart/2005/8/layout/process3#2"/>
    <dgm:cxn modelId="{4DAE5948-C8FC-4558-BCE2-4908B3C3D4FE}" type="presOf" srcId="{2FE6BDA1-660C-44E3-B8D3-B738986F10EC}" destId="{6600DED2-8216-4ABE-8A99-4882629E1A4D}" srcOrd="0" destOrd="0" presId="urn:microsoft.com/office/officeart/2005/8/layout/process3#2"/>
    <dgm:cxn modelId="{A9E79C3C-C6B0-4FFD-8DCA-076B55490EB3}" type="presOf" srcId="{86FEAB3F-FBB1-46CC-9DC6-E094874805AE}" destId="{D8686130-E958-4F9D-9269-6FA1732D0A73}" srcOrd="0" destOrd="0" presId="urn:microsoft.com/office/officeart/2005/8/layout/process3#2"/>
    <dgm:cxn modelId="{234C054D-00A6-4E61-9CAC-F5D8A974140C}" type="presOf" srcId="{1EC822D0-4B77-4F25-ABD5-8949AFB965C8}" destId="{CAF6A44E-174D-4D73-BBC0-9FC10FA804B9}" srcOrd="0" destOrd="0" presId="urn:microsoft.com/office/officeart/2005/8/layout/process3#2"/>
    <dgm:cxn modelId="{6C16A0B7-FF73-41CE-BB1A-0A5CFB934D29}" type="presOf" srcId="{B0C310D3-A5C4-423C-ADC0-FD305A7B421A}" destId="{21AD7683-4E21-48FB-A2B0-38429FA73B13}" srcOrd="0" destOrd="0" presId="urn:microsoft.com/office/officeart/2005/8/layout/process3#2"/>
    <dgm:cxn modelId="{2632CEC1-352F-49E3-9131-F40B7D871CA2}" type="presOf" srcId="{972233BE-F562-42C6-8E02-C376C905A446}" destId="{BFC7A65B-961A-4F69-8CB3-248457E85C87}" srcOrd="0" destOrd="0" presId="urn:microsoft.com/office/officeart/2005/8/layout/process3#2"/>
    <dgm:cxn modelId="{71CFA125-8326-4507-8EB4-054CD271AFCB}" type="presOf" srcId="{B0C310D3-A5C4-423C-ADC0-FD305A7B421A}" destId="{1E817AA8-5A37-4644-9254-A1E7980637B5}" srcOrd="1" destOrd="0" presId="urn:microsoft.com/office/officeart/2005/8/layout/process3#2"/>
    <dgm:cxn modelId="{0BAB375F-7456-4127-B6A1-FFE016CB2E12}" type="presOf" srcId="{C7876883-34BD-4A68-A98E-D95D42D0FF9D}" destId="{5D27C5B2-FAF5-4B9E-8CE5-8F54D12F7C36}" srcOrd="0" destOrd="0" presId="urn:microsoft.com/office/officeart/2005/8/layout/process3#2"/>
    <dgm:cxn modelId="{7632D7F7-F04A-4B89-826F-BEAA7ADF5791}" srcId="{1EC822D0-4B77-4F25-ABD5-8949AFB965C8}" destId="{86BF0545-C8C8-404B-B317-6B71601F8310}" srcOrd="0" destOrd="0" parTransId="{A554C9B6-595F-4C42-BA2E-0AF975A6182B}" sibTransId="{8F0220D1-B873-4B1C-82E7-D1658190B6B3}"/>
    <dgm:cxn modelId="{450DC22E-4430-4E41-B047-F0D6DE73BA2E}" srcId="{B349FD2E-4A90-427F-8442-13222811DC7E}" destId="{11EC3D9D-CABC-4F6B-8311-51EC9AF94B05}" srcOrd="0" destOrd="0" parTransId="{4CB9D39E-D2E7-4AB1-8C35-13DBC76F1E1B}" sibTransId="{49A756A8-869C-486D-A1C2-A9179C82C574}"/>
    <dgm:cxn modelId="{5EC62686-AD95-43E4-98B5-57C85D09C93F}" type="presOf" srcId="{86BF0545-C8C8-404B-B317-6B71601F8310}" destId="{A527D8D7-AE0F-41E2-B0A5-F384C5C9B908}" srcOrd="0" destOrd="0" presId="urn:microsoft.com/office/officeart/2005/8/layout/process3#2"/>
    <dgm:cxn modelId="{FA72DCBD-BA6F-420D-A08F-756CFCF8551B}" type="presOf" srcId="{11EC3D9D-CABC-4F6B-8311-51EC9AF94B05}" destId="{39BA4712-27E2-4423-ADD6-9F9BD3D8FB35}" srcOrd="0" destOrd="0" presId="urn:microsoft.com/office/officeart/2005/8/layout/process3#2"/>
    <dgm:cxn modelId="{096FA883-1823-4153-ADA3-9158BE5E56C2}" srcId="{2FE6BDA1-660C-44E3-B8D3-B738986F10EC}" destId="{B349FD2E-4A90-427F-8442-13222811DC7E}" srcOrd="2" destOrd="0" parTransId="{81F9B442-B301-4CE5-9F77-41783846C51D}" sibTransId="{6C33D960-524C-4E19-9279-0E1D8AB4608A}"/>
    <dgm:cxn modelId="{579D61D3-DAD7-412A-858A-35EE05B088C9}" srcId="{2FE6BDA1-660C-44E3-B8D3-B738986F10EC}" destId="{86FEAB3F-FBB1-46CC-9DC6-E094874805AE}" srcOrd="1" destOrd="0" parTransId="{74C68F9B-1FC8-4F0A-8F6F-246FC86076E9}" sibTransId="{C7876883-34BD-4A68-A98E-D95D42D0FF9D}"/>
    <dgm:cxn modelId="{06E9A121-D8B2-4C92-97CC-A4FFBF8C4BC7}" type="presOf" srcId="{B349FD2E-4A90-427F-8442-13222811DC7E}" destId="{C2722F97-5D1A-4260-B371-3A1E1DF124B3}" srcOrd="0" destOrd="0" presId="urn:microsoft.com/office/officeart/2005/8/layout/process3#2"/>
    <dgm:cxn modelId="{AC5A9BEC-D3D6-4A39-9CF7-277DF121EF65}" type="presOf" srcId="{C7876883-34BD-4A68-A98E-D95D42D0FF9D}" destId="{F8D5EB2A-738F-4E50-B014-79322171C96A}" srcOrd="1" destOrd="0" presId="urn:microsoft.com/office/officeart/2005/8/layout/process3#2"/>
    <dgm:cxn modelId="{D939188B-BE34-4253-9635-2DF3D67B4ADE}" srcId="{86FEAB3F-FBB1-46CC-9DC6-E094874805AE}" destId="{972233BE-F562-42C6-8E02-C376C905A446}" srcOrd="0" destOrd="0" parTransId="{1B83FA22-B57F-4847-AF9E-FCABBD20370B}" sibTransId="{C95400EF-05CE-49A4-A439-43C3AD15FAE2}"/>
    <dgm:cxn modelId="{A60520A0-2E8D-445D-96EC-20ED658424D4}" srcId="{2FE6BDA1-660C-44E3-B8D3-B738986F10EC}" destId="{1EC822D0-4B77-4F25-ABD5-8949AFB965C8}" srcOrd="0" destOrd="0" parTransId="{A55FEC0B-23EE-4CFE-8050-49CBA30A17FC}" sibTransId="{B0C310D3-A5C4-423C-ADC0-FD305A7B421A}"/>
    <dgm:cxn modelId="{1315E180-5623-48E6-A3FB-AAE73CB938B5}" type="presOf" srcId="{1EC822D0-4B77-4F25-ABD5-8949AFB965C8}" destId="{BEA8DFF6-0BBC-4765-94CE-726AE7249D2C}" srcOrd="1" destOrd="0" presId="urn:microsoft.com/office/officeart/2005/8/layout/process3#2"/>
    <dgm:cxn modelId="{19E892A3-6F55-4E0E-964F-9F3A9E028085}" type="presOf" srcId="{86FEAB3F-FBB1-46CC-9DC6-E094874805AE}" destId="{4201241F-A758-4825-9A41-CBED0FF9E993}" srcOrd="1" destOrd="0" presId="urn:microsoft.com/office/officeart/2005/8/layout/process3#2"/>
    <dgm:cxn modelId="{0A168C5C-755A-4CA0-B7E8-672426148483}" type="presParOf" srcId="{6600DED2-8216-4ABE-8A99-4882629E1A4D}" destId="{13EA64EB-AB03-4C80-9EEA-7CED2D89D89C}" srcOrd="0" destOrd="0" presId="urn:microsoft.com/office/officeart/2005/8/layout/process3#2"/>
    <dgm:cxn modelId="{C6E9CB4D-25C4-48E1-BEB7-122D9C001D4C}" type="presParOf" srcId="{13EA64EB-AB03-4C80-9EEA-7CED2D89D89C}" destId="{CAF6A44E-174D-4D73-BBC0-9FC10FA804B9}" srcOrd="0" destOrd="0" presId="urn:microsoft.com/office/officeart/2005/8/layout/process3#2"/>
    <dgm:cxn modelId="{88DFD403-AC52-44C8-A85E-93A6E966CD71}" type="presParOf" srcId="{13EA64EB-AB03-4C80-9EEA-7CED2D89D89C}" destId="{BEA8DFF6-0BBC-4765-94CE-726AE7249D2C}" srcOrd="1" destOrd="0" presId="urn:microsoft.com/office/officeart/2005/8/layout/process3#2"/>
    <dgm:cxn modelId="{2A17A14B-EF88-44DE-A8EB-FA7D202432AE}" type="presParOf" srcId="{13EA64EB-AB03-4C80-9EEA-7CED2D89D89C}" destId="{A527D8D7-AE0F-41E2-B0A5-F384C5C9B908}" srcOrd="2" destOrd="0" presId="urn:microsoft.com/office/officeart/2005/8/layout/process3#2"/>
    <dgm:cxn modelId="{EB911346-2889-4830-B8C0-7029A3EF146F}" type="presParOf" srcId="{6600DED2-8216-4ABE-8A99-4882629E1A4D}" destId="{21AD7683-4E21-48FB-A2B0-38429FA73B13}" srcOrd="1" destOrd="0" presId="urn:microsoft.com/office/officeart/2005/8/layout/process3#2"/>
    <dgm:cxn modelId="{6F09B50C-4F70-4607-9918-3EFDB73C9A43}" type="presParOf" srcId="{21AD7683-4E21-48FB-A2B0-38429FA73B13}" destId="{1E817AA8-5A37-4644-9254-A1E7980637B5}" srcOrd="0" destOrd="0" presId="urn:microsoft.com/office/officeart/2005/8/layout/process3#2"/>
    <dgm:cxn modelId="{29A951CD-9E01-477A-94D9-3944338EAB7B}" type="presParOf" srcId="{6600DED2-8216-4ABE-8A99-4882629E1A4D}" destId="{4706D582-EEBF-4C1E-B7F4-A6D3E12D3072}" srcOrd="2" destOrd="0" presId="urn:microsoft.com/office/officeart/2005/8/layout/process3#2"/>
    <dgm:cxn modelId="{F6E85F84-E11A-4377-85F5-0AD9FD11EFF9}" type="presParOf" srcId="{4706D582-EEBF-4C1E-B7F4-A6D3E12D3072}" destId="{D8686130-E958-4F9D-9269-6FA1732D0A73}" srcOrd="0" destOrd="0" presId="urn:microsoft.com/office/officeart/2005/8/layout/process3#2"/>
    <dgm:cxn modelId="{D02974FA-4D42-4B9C-A08F-D16DCBBC2860}" type="presParOf" srcId="{4706D582-EEBF-4C1E-B7F4-A6D3E12D3072}" destId="{4201241F-A758-4825-9A41-CBED0FF9E993}" srcOrd="1" destOrd="0" presId="urn:microsoft.com/office/officeart/2005/8/layout/process3#2"/>
    <dgm:cxn modelId="{2DB68D24-D37C-4EC0-8DAE-F5F358FEEBF7}" type="presParOf" srcId="{4706D582-EEBF-4C1E-B7F4-A6D3E12D3072}" destId="{BFC7A65B-961A-4F69-8CB3-248457E85C87}" srcOrd="2" destOrd="0" presId="urn:microsoft.com/office/officeart/2005/8/layout/process3#2"/>
    <dgm:cxn modelId="{F9C0D135-0DAA-4156-90EF-3FFCA926CCE5}" type="presParOf" srcId="{6600DED2-8216-4ABE-8A99-4882629E1A4D}" destId="{5D27C5B2-FAF5-4B9E-8CE5-8F54D12F7C36}" srcOrd="3" destOrd="0" presId="urn:microsoft.com/office/officeart/2005/8/layout/process3#2"/>
    <dgm:cxn modelId="{EDBC51BB-7ABC-4C0B-BCF9-B88E108E0B43}" type="presParOf" srcId="{5D27C5B2-FAF5-4B9E-8CE5-8F54D12F7C36}" destId="{F8D5EB2A-738F-4E50-B014-79322171C96A}" srcOrd="0" destOrd="0" presId="urn:microsoft.com/office/officeart/2005/8/layout/process3#2"/>
    <dgm:cxn modelId="{06D906D9-3694-49C5-8C79-A8AAE52F624A}" type="presParOf" srcId="{6600DED2-8216-4ABE-8A99-4882629E1A4D}" destId="{7908079C-B054-488F-B184-A0837979EED0}" srcOrd="4" destOrd="0" presId="urn:microsoft.com/office/officeart/2005/8/layout/process3#2"/>
    <dgm:cxn modelId="{7C535BD5-C88B-41FB-9BF5-CB1C2CA4AE0D}" type="presParOf" srcId="{7908079C-B054-488F-B184-A0837979EED0}" destId="{C2722F97-5D1A-4260-B371-3A1E1DF124B3}" srcOrd="0" destOrd="0" presId="urn:microsoft.com/office/officeart/2005/8/layout/process3#2"/>
    <dgm:cxn modelId="{1C00B998-811B-409A-AB3C-C296048DCF6E}" type="presParOf" srcId="{7908079C-B054-488F-B184-A0837979EED0}" destId="{6EADA40E-ECF8-4EF2-9B35-A9DD5D6A50D5}" srcOrd="1" destOrd="0" presId="urn:microsoft.com/office/officeart/2005/8/layout/process3#2"/>
    <dgm:cxn modelId="{EBFA7723-7696-4A7E-86C6-C0D309E9583C}" type="presParOf" srcId="{7908079C-B054-488F-B184-A0837979EED0}" destId="{39BA4712-27E2-4423-ADD6-9F9BD3D8FB35}" srcOrd="2" destOrd="0" presId="urn:microsoft.com/office/officeart/2005/8/layout/process3#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073015" cy="1242695"/>
        <a:chOff x="0" y="0"/>
        <a:chExt cx="5073015" cy="1242695"/>
      </a:xfrm>
    </dsp:grpSpPr>
    <dsp:sp modelId="{BEA8DFF6-0BBC-4765-94CE-726AE7249D2C}">
      <dsp:nvSpPr>
        <dsp:cNvPr id="3" name="圆角矩形 2"/>
        <dsp:cNvSpPr/>
      </dsp:nvSpPr>
      <dsp:spPr bwMode="white">
        <a:xfrm>
          <a:off x="0" y="16547"/>
          <a:ext cx="1148367" cy="604800"/>
        </a:xfrm>
        <a:prstGeom prst="roundRect">
          <a:avLst>
            <a:gd name="adj" fmla="val 10000"/>
          </a:avLst>
        </a:prstGeom>
        <a:ln>
          <a:noFill/>
        </a:ln>
      </dsp:spPr>
      <dsp:style>
        <a:lnRef idx="2">
          <a:schemeClr val="lt1"/>
        </a:lnRef>
        <a:fillRef idx="1">
          <a:schemeClr val="accent2"/>
        </a:fillRef>
        <a:effectRef idx="0">
          <a:scrgbClr r="0" g="0" b="0"/>
        </a:effectRef>
        <a:fontRef idx="minor">
          <a:schemeClr val="lt1"/>
        </a:fontRef>
      </dsp:style>
      <dsp:txBody>
        <a:bodyPr vert="horz" wrap="square" lIns="99568" tIns="99568" rIns="99568" bIns="53340" anchor="t"/>
        <a:lstStyle>
          <a:lvl1pPr algn="l">
            <a:defRPr sz="1400"/>
          </a:lvl1pPr>
          <a:lvl2pPr marL="57150" indent="-57150" algn="l">
            <a:defRPr sz="1000"/>
          </a:lvl2pPr>
          <a:lvl3pPr marL="114300" indent="-57150" algn="l">
            <a:defRPr sz="1000"/>
          </a:lvl3pPr>
          <a:lvl4pPr marL="171450" indent="-57150" algn="l">
            <a:defRPr sz="1000"/>
          </a:lvl4pPr>
          <a:lvl5pPr marL="228600" indent="-57150" algn="l">
            <a:defRPr sz="1000"/>
          </a:lvl5pPr>
          <a:lvl6pPr marL="285750" indent="-57150" algn="l">
            <a:defRPr sz="1000"/>
          </a:lvl6pPr>
          <a:lvl7pPr marL="342900" indent="-57150" algn="l">
            <a:defRPr sz="1000"/>
          </a:lvl7pPr>
          <a:lvl8pPr marL="400050" indent="-57150" algn="l">
            <a:defRPr sz="1000"/>
          </a:lvl8pPr>
          <a:lvl9pPr marL="457200" indent="-57150" algn="l">
            <a:defRPr sz="1000"/>
          </a:lvl9pPr>
        </a:lstStyle>
        <a:p>
          <a:pPr lvl="0" algn="ctr">
            <a:lnSpc>
              <a:spcPct val="100000"/>
            </a:lnSpc>
            <a:spcBef>
              <a:spcPct val="0"/>
            </a:spcBef>
            <a:spcAft>
              <a:spcPct val="35000"/>
            </a:spcAft>
          </a:pPr>
          <a:r>
            <a:rPr lang="zh-CN" altLang="en-US" b="1"/>
            <a:t>获取与梳理</a:t>
          </a:r>
          <a:endParaRPr lang="en-US" altLang="zh-CN" b="1"/>
        </a:p>
      </dsp:txBody>
      <dsp:txXfrm>
        <a:off x="0" y="16547"/>
        <a:ext cx="1148367" cy="604800"/>
      </dsp:txXfrm>
    </dsp:sp>
    <dsp:sp modelId="{A527D8D7-AE0F-41E2-B0A5-F384C5C9B908}">
      <dsp:nvSpPr>
        <dsp:cNvPr id="4" name="圆角矩形 3"/>
        <dsp:cNvSpPr/>
      </dsp:nvSpPr>
      <dsp:spPr bwMode="white">
        <a:xfrm>
          <a:off x="235208" y="419748"/>
          <a:ext cx="1148367" cy="806400"/>
        </a:xfrm>
        <a:prstGeom prst="roundRect">
          <a:avLst>
            <a:gd name="adj" fmla="val 10000"/>
          </a:avLst>
        </a:prstGeom>
      </dsp:spPr>
      <dsp:style>
        <a:lnRef idx="2">
          <a:schemeClr val="accent2"/>
        </a:lnRef>
        <a:fillRef idx="1">
          <a:schemeClr val="lt1">
            <a:alpha val="90000"/>
          </a:schemeClr>
        </a:fillRef>
        <a:effectRef idx="0">
          <a:scrgbClr r="0" g="0" b="0"/>
        </a:effectRef>
        <a:fontRef idx="minor"/>
      </dsp:style>
      <dsp:txBody>
        <a:bodyPr vert="horz" wrap="square" lIns="99568" tIns="99568" rIns="99568" bIns="99568" anchor="t"/>
        <a:lstStyle>
          <a:lvl1pPr algn="l">
            <a:defRPr sz="1400"/>
          </a:lvl1pPr>
          <a:lvl2pPr marL="114300" indent="-114300" algn="l">
            <a:defRPr sz="1400"/>
          </a:lvl2pPr>
          <a:lvl3pPr marL="228600" indent="-114300" algn="l">
            <a:defRPr sz="1400"/>
          </a:lvl3pPr>
          <a:lvl4pPr marL="342900" indent="-114300" algn="l">
            <a:defRPr sz="1400"/>
          </a:lvl4pPr>
          <a:lvl5pPr marL="457200" indent="-114300" algn="l">
            <a:defRPr sz="1400"/>
          </a:lvl5pPr>
          <a:lvl6pPr marL="571500" indent="-114300" algn="l">
            <a:defRPr sz="1400"/>
          </a:lvl6pPr>
          <a:lvl7pPr marL="685800" indent="-114300" algn="l">
            <a:defRPr sz="1400"/>
          </a:lvl7pPr>
          <a:lvl8pPr marL="800100" indent="-114300" algn="l">
            <a:defRPr sz="1400"/>
          </a:lvl8pPr>
          <a:lvl9pPr marL="914400" indent="-114300" algn="l">
            <a:defRPr sz="1400"/>
          </a:lvl9pPr>
        </a:lstStyle>
        <a:p>
          <a:pPr lvl="1" algn="ctr">
            <a:lnSpc>
              <a:spcPct val="100000"/>
            </a:lnSpc>
            <a:spcBef>
              <a:spcPct val="0"/>
            </a:spcBef>
            <a:spcAft>
              <a:spcPct val="15000"/>
            </a:spcAft>
            <a:buChar char="•"/>
          </a:pPr>
          <a:r>
            <a:rPr lang="zh-CN" altLang="en-US" b="1">
              <a:solidFill>
                <a:schemeClr val="dk1"/>
              </a:solidFill>
            </a:rPr>
            <a:t>听录音填空</a:t>
          </a:r>
          <a:endParaRPr>
            <a:solidFill>
              <a:schemeClr val="dk1"/>
            </a:solidFill>
          </a:endParaRPr>
        </a:p>
      </dsp:txBody>
      <dsp:txXfrm>
        <a:off x="235208" y="419748"/>
        <a:ext cx="1148367" cy="806400"/>
      </dsp:txXfrm>
    </dsp:sp>
    <dsp:sp modelId="{21AD7683-4E21-48FB-A2B0-38429FA73B13}">
      <dsp:nvSpPr>
        <dsp:cNvPr id="5" name="右箭头 4"/>
        <dsp:cNvSpPr/>
      </dsp:nvSpPr>
      <dsp:spPr bwMode="white">
        <a:xfrm>
          <a:off x="1312010" y="75192"/>
          <a:ext cx="369067" cy="285910"/>
        </a:xfrm>
        <a:prstGeom prst="rightArrow">
          <a:avLst>
            <a:gd name="adj1" fmla="val 60000"/>
            <a:gd name="adj2" fmla="val 50000"/>
          </a:avLst>
        </a:prstGeom>
      </dsp:spPr>
      <dsp:style>
        <a:lnRef idx="0">
          <a:schemeClr val="lt1">
            <a:hueOff val="0"/>
            <a:satOff val="0"/>
            <a:lumOff val="0"/>
            <a:alpha val="100000"/>
          </a:schemeClr>
        </a:lnRef>
        <a:fillRef idx="1">
          <a:schemeClr val="accent2"/>
        </a:fillRef>
        <a:effectRef idx="0">
          <a:scrgbClr r="0" g="0" b="0"/>
        </a:effectRef>
        <a:fontRef idx="minor">
          <a:schemeClr val="lt1"/>
        </a:fontRef>
      </dsp:style>
      <dsp:txBody>
        <a:bodyPr lIns="0" tIns="0" rIns="0" bIns="0" anchor="ctr"/>
        <a:lstStyle>
          <a:lvl1pPr algn="ctr">
            <a:defRPr sz="1100"/>
          </a:lvl1pPr>
          <a:lvl2pPr marL="57150" indent="-57150" algn="ctr">
            <a:defRPr sz="900"/>
          </a:lvl2pPr>
          <a:lvl3pPr marL="114300" indent="-57150" algn="ctr">
            <a:defRPr sz="900"/>
          </a:lvl3pPr>
          <a:lvl4pPr marL="171450" indent="-57150" algn="ctr">
            <a:defRPr sz="900"/>
          </a:lvl4pPr>
          <a:lvl5pPr marL="228600" indent="-57150" algn="ctr">
            <a:defRPr sz="900"/>
          </a:lvl5pPr>
          <a:lvl6pPr marL="285750" indent="-57150" algn="ctr">
            <a:defRPr sz="900"/>
          </a:lvl6pPr>
          <a:lvl7pPr marL="342900" indent="-57150" algn="ctr">
            <a:defRPr sz="900"/>
          </a:lvl7pPr>
          <a:lvl8pPr marL="400050" indent="-57150" algn="ctr">
            <a:defRPr sz="900"/>
          </a:lvl8pPr>
          <a:lvl9pPr marL="457200" indent="-57150" algn="ctr">
            <a:defRPr sz="900"/>
          </a:lvl9pPr>
        </a:lstStyle>
        <a:p>
          <a:pPr lvl="0">
            <a:lnSpc>
              <a:spcPct val="100000"/>
            </a:lnSpc>
            <a:spcBef>
              <a:spcPct val="0"/>
            </a:spcBef>
            <a:spcAft>
              <a:spcPct val="35000"/>
            </a:spcAft>
          </a:pPr>
          <a:endParaRPr lang="zh-CN" altLang="en-US"/>
        </a:p>
      </dsp:txBody>
      <dsp:txXfrm>
        <a:off x="1312010" y="75192"/>
        <a:ext cx="369067" cy="285910"/>
      </dsp:txXfrm>
    </dsp:sp>
    <dsp:sp modelId="{4201241F-A758-4825-9A41-CBED0FF9E993}">
      <dsp:nvSpPr>
        <dsp:cNvPr id="6" name="圆角矩形 5"/>
        <dsp:cNvSpPr/>
      </dsp:nvSpPr>
      <dsp:spPr bwMode="white">
        <a:xfrm>
          <a:off x="1844720" y="16547"/>
          <a:ext cx="1148367" cy="604800"/>
        </a:xfrm>
        <a:prstGeom prst="roundRect">
          <a:avLst>
            <a:gd name="adj" fmla="val 10000"/>
          </a:avLst>
        </a:prstGeom>
      </dsp:spPr>
      <dsp:style>
        <a:lnRef idx="2">
          <a:schemeClr val="lt1"/>
        </a:lnRef>
        <a:fillRef idx="1">
          <a:schemeClr val="accent3"/>
        </a:fillRef>
        <a:effectRef idx="0">
          <a:scrgbClr r="0" g="0" b="0"/>
        </a:effectRef>
        <a:fontRef idx="minor">
          <a:schemeClr val="lt1"/>
        </a:fontRef>
      </dsp:style>
      <dsp:txBody>
        <a:bodyPr vert="horz" wrap="square" lIns="99568" tIns="99568" rIns="99568" bIns="53340" anchor="t"/>
        <a:lstStyle>
          <a:lvl1pPr algn="l">
            <a:defRPr sz="1400"/>
          </a:lvl1pPr>
          <a:lvl2pPr marL="57150" indent="-57150" algn="l">
            <a:defRPr sz="1000"/>
          </a:lvl2pPr>
          <a:lvl3pPr marL="114300" indent="-57150" algn="l">
            <a:defRPr sz="1000"/>
          </a:lvl3pPr>
          <a:lvl4pPr marL="171450" indent="-57150" algn="l">
            <a:defRPr sz="1000"/>
          </a:lvl4pPr>
          <a:lvl5pPr marL="228600" indent="-57150" algn="l">
            <a:defRPr sz="1000"/>
          </a:lvl5pPr>
          <a:lvl6pPr marL="285750" indent="-57150" algn="l">
            <a:defRPr sz="1000"/>
          </a:lvl6pPr>
          <a:lvl7pPr marL="342900" indent="-57150" algn="l">
            <a:defRPr sz="1000"/>
          </a:lvl7pPr>
          <a:lvl8pPr marL="400050" indent="-57150" algn="l">
            <a:defRPr sz="1000"/>
          </a:lvl8pPr>
          <a:lvl9pPr marL="457200" indent="-57150" algn="l">
            <a:defRPr sz="1000"/>
          </a:lvl9pPr>
        </a:lstStyle>
        <a:p>
          <a:pPr lvl="0" algn="ctr">
            <a:lnSpc>
              <a:spcPct val="100000"/>
            </a:lnSpc>
            <a:spcBef>
              <a:spcPct val="0"/>
            </a:spcBef>
            <a:spcAft>
              <a:spcPct val="35000"/>
            </a:spcAft>
          </a:pPr>
          <a:r>
            <a:rPr lang="zh-CN" altLang="en-US" b="1"/>
            <a:t>概括与整合</a:t>
          </a:r>
        </a:p>
      </dsp:txBody>
      <dsp:txXfrm>
        <a:off x="1844720" y="16547"/>
        <a:ext cx="1148367" cy="604800"/>
      </dsp:txXfrm>
    </dsp:sp>
    <dsp:sp modelId="{BFC7A65B-961A-4F69-8CB3-248457E85C87}">
      <dsp:nvSpPr>
        <dsp:cNvPr id="7" name="圆角矩形 6"/>
        <dsp:cNvSpPr/>
      </dsp:nvSpPr>
      <dsp:spPr bwMode="white">
        <a:xfrm>
          <a:off x="2079928" y="419748"/>
          <a:ext cx="1148367" cy="806400"/>
        </a:xfrm>
        <a:prstGeom prst="roundRect">
          <a:avLst>
            <a:gd name="adj" fmla="val 10000"/>
          </a:avLst>
        </a:prstGeom>
      </dsp:spPr>
      <dsp:style>
        <a:lnRef idx="2">
          <a:schemeClr val="accent3"/>
        </a:lnRef>
        <a:fillRef idx="1">
          <a:schemeClr val="lt1">
            <a:alpha val="90000"/>
          </a:schemeClr>
        </a:fillRef>
        <a:effectRef idx="0">
          <a:scrgbClr r="0" g="0" b="0"/>
        </a:effectRef>
        <a:fontRef idx="minor"/>
      </dsp:style>
      <dsp:txBody>
        <a:bodyPr vert="horz" wrap="square" lIns="99568" tIns="99568" rIns="99568" bIns="99568" anchor="t"/>
        <a:lstStyle>
          <a:lvl1pPr algn="l">
            <a:defRPr sz="1400"/>
          </a:lvl1pPr>
          <a:lvl2pPr marL="114300" indent="-114300" algn="l">
            <a:defRPr sz="1400"/>
          </a:lvl2pPr>
          <a:lvl3pPr marL="228600" indent="-114300" algn="l">
            <a:defRPr sz="1400"/>
          </a:lvl3pPr>
          <a:lvl4pPr marL="342900" indent="-114300" algn="l">
            <a:defRPr sz="1400"/>
          </a:lvl4pPr>
          <a:lvl5pPr marL="457200" indent="-114300" algn="l">
            <a:defRPr sz="1400"/>
          </a:lvl5pPr>
          <a:lvl6pPr marL="571500" indent="-114300" algn="l">
            <a:defRPr sz="1400"/>
          </a:lvl6pPr>
          <a:lvl7pPr marL="685800" indent="-114300" algn="l">
            <a:defRPr sz="1400"/>
          </a:lvl7pPr>
          <a:lvl8pPr marL="800100" indent="-114300" algn="l">
            <a:defRPr sz="1400"/>
          </a:lvl8pPr>
          <a:lvl9pPr marL="914400" indent="-114300" algn="l">
            <a:defRPr sz="1400"/>
          </a:lvl9pPr>
        </a:lstStyle>
        <a:p>
          <a:pPr lvl="1" algn="ctr">
            <a:lnSpc>
              <a:spcPct val="100000"/>
            </a:lnSpc>
            <a:spcBef>
              <a:spcPct val="0"/>
            </a:spcBef>
            <a:spcAft>
              <a:spcPct val="15000"/>
            </a:spcAft>
            <a:buChar char="•"/>
          </a:pPr>
          <a:r>
            <a:rPr lang="zh-CN" altLang="en-US" b="1">
              <a:solidFill>
                <a:schemeClr val="dk1"/>
              </a:solidFill>
            </a:rPr>
            <a:t>听录音回答问题</a:t>
          </a:r>
          <a:endParaRPr>
            <a:solidFill>
              <a:schemeClr val="dk1"/>
            </a:solidFill>
          </a:endParaRPr>
        </a:p>
      </dsp:txBody>
      <dsp:txXfrm>
        <a:off x="2079928" y="419748"/>
        <a:ext cx="1148367" cy="806400"/>
      </dsp:txXfrm>
    </dsp:sp>
    <dsp:sp modelId="{5D27C5B2-FAF5-4B9E-8CE5-8F54D12F7C36}">
      <dsp:nvSpPr>
        <dsp:cNvPr id="8" name="右箭头 7"/>
        <dsp:cNvSpPr/>
      </dsp:nvSpPr>
      <dsp:spPr bwMode="white">
        <a:xfrm>
          <a:off x="3156730" y="75192"/>
          <a:ext cx="369067" cy="285910"/>
        </a:xfrm>
        <a:prstGeom prst="rightArrow">
          <a:avLst>
            <a:gd name="adj1" fmla="val 60000"/>
            <a:gd name="adj2" fmla="val 50000"/>
          </a:avLst>
        </a:prstGeom>
      </dsp:spPr>
      <dsp:style>
        <a:lnRef idx="0">
          <a:schemeClr val="lt1">
            <a:hueOff val="0"/>
            <a:satOff val="0"/>
            <a:lumOff val="0"/>
            <a:alpha val="100000"/>
          </a:schemeClr>
        </a:lnRef>
        <a:fillRef idx="1">
          <a:schemeClr val="accent3"/>
        </a:fillRef>
        <a:effectRef idx="0">
          <a:scrgbClr r="0" g="0" b="0"/>
        </a:effectRef>
        <a:fontRef idx="minor">
          <a:schemeClr val="lt1"/>
        </a:fontRef>
      </dsp:style>
      <dsp:txBody>
        <a:bodyPr lIns="0" tIns="0" rIns="0" bIns="0" anchor="ctr"/>
        <a:lstStyle>
          <a:lvl1pPr algn="ctr">
            <a:defRPr sz="1100"/>
          </a:lvl1pPr>
          <a:lvl2pPr marL="57150" indent="-57150" algn="ctr">
            <a:defRPr sz="900"/>
          </a:lvl2pPr>
          <a:lvl3pPr marL="114300" indent="-57150" algn="ctr">
            <a:defRPr sz="900"/>
          </a:lvl3pPr>
          <a:lvl4pPr marL="171450" indent="-57150" algn="ctr">
            <a:defRPr sz="900"/>
          </a:lvl4pPr>
          <a:lvl5pPr marL="228600" indent="-57150" algn="ctr">
            <a:defRPr sz="900"/>
          </a:lvl5pPr>
          <a:lvl6pPr marL="285750" indent="-57150" algn="ctr">
            <a:defRPr sz="900"/>
          </a:lvl6pPr>
          <a:lvl7pPr marL="342900" indent="-57150" algn="ctr">
            <a:defRPr sz="900"/>
          </a:lvl7pPr>
          <a:lvl8pPr marL="400050" indent="-57150" algn="ctr">
            <a:defRPr sz="900"/>
          </a:lvl8pPr>
          <a:lvl9pPr marL="457200" indent="-57150" algn="ctr">
            <a:defRPr sz="900"/>
          </a:lvl9pPr>
        </a:lstStyle>
        <a:p>
          <a:pPr lvl="0">
            <a:lnSpc>
              <a:spcPct val="100000"/>
            </a:lnSpc>
            <a:spcBef>
              <a:spcPct val="0"/>
            </a:spcBef>
            <a:spcAft>
              <a:spcPct val="35000"/>
            </a:spcAft>
          </a:pPr>
          <a:endParaRPr lang="zh-CN" altLang="en-US"/>
        </a:p>
      </dsp:txBody>
      <dsp:txXfrm>
        <a:off x="3156730" y="75192"/>
        <a:ext cx="369067" cy="285910"/>
      </dsp:txXfrm>
    </dsp:sp>
    <dsp:sp modelId="{6EADA40E-ECF8-4EF2-9B35-A9DD5D6A50D5}">
      <dsp:nvSpPr>
        <dsp:cNvPr id="9" name="圆角矩形 8"/>
        <dsp:cNvSpPr/>
      </dsp:nvSpPr>
      <dsp:spPr bwMode="white">
        <a:xfrm>
          <a:off x="3689440" y="16547"/>
          <a:ext cx="1148367" cy="604800"/>
        </a:xfrm>
        <a:prstGeom prst="roundRect">
          <a:avLst>
            <a:gd name="adj" fmla="val 10000"/>
          </a:avLst>
        </a:prstGeom>
      </dsp:spPr>
      <dsp:style>
        <a:lnRef idx="2">
          <a:schemeClr val="lt1"/>
        </a:lnRef>
        <a:fillRef idx="1">
          <a:schemeClr val="accent4"/>
        </a:fillRef>
        <a:effectRef idx="0">
          <a:scrgbClr r="0" g="0" b="0"/>
        </a:effectRef>
        <a:fontRef idx="minor">
          <a:schemeClr val="lt1"/>
        </a:fontRef>
      </dsp:style>
      <dsp:txBody>
        <a:bodyPr vert="horz" wrap="square" lIns="99568" tIns="99568" rIns="99568" bIns="53340" anchor="t"/>
        <a:lstStyle>
          <a:lvl1pPr algn="l">
            <a:defRPr sz="1400"/>
          </a:lvl1pPr>
          <a:lvl2pPr marL="57150" indent="-57150" algn="l">
            <a:defRPr sz="1000"/>
          </a:lvl2pPr>
          <a:lvl3pPr marL="114300" indent="-57150" algn="l">
            <a:defRPr sz="1000"/>
          </a:lvl3pPr>
          <a:lvl4pPr marL="171450" indent="-57150" algn="l">
            <a:defRPr sz="1000"/>
          </a:lvl4pPr>
          <a:lvl5pPr marL="228600" indent="-57150" algn="l">
            <a:defRPr sz="1000"/>
          </a:lvl5pPr>
          <a:lvl6pPr marL="285750" indent="-57150" algn="l">
            <a:defRPr sz="1000"/>
          </a:lvl6pPr>
          <a:lvl7pPr marL="342900" indent="-57150" algn="l">
            <a:defRPr sz="1000"/>
          </a:lvl7pPr>
          <a:lvl8pPr marL="400050" indent="-57150" algn="l">
            <a:defRPr sz="1000"/>
          </a:lvl8pPr>
          <a:lvl9pPr marL="457200" indent="-57150" algn="l">
            <a:defRPr sz="1000"/>
          </a:lvl9pPr>
        </a:lstStyle>
        <a:p>
          <a:pPr lvl="0" algn="ctr">
            <a:lnSpc>
              <a:spcPct val="100000"/>
            </a:lnSpc>
            <a:spcBef>
              <a:spcPct val="0"/>
            </a:spcBef>
            <a:spcAft>
              <a:spcPct val="35000"/>
            </a:spcAft>
          </a:pPr>
          <a:r>
            <a:rPr lang="zh-CN" altLang="en-US" b="1"/>
            <a:t>内化与应用</a:t>
          </a:r>
        </a:p>
      </dsp:txBody>
      <dsp:txXfrm>
        <a:off x="3689440" y="16547"/>
        <a:ext cx="1148367" cy="604800"/>
      </dsp:txXfrm>
    </dsp:sp>
    <dsp:sp modelId="{39BA4712-27E2-4423-ADD6-9F9BD3D8FB35}">
      <dsp:nvSpPr>
        <dsp:cNvPr id="10" name="圆角矩形 9"/>
        <dsp:cNvSpPr/>
      </dsp:nvSpPr>
      <dsp:spPr bwMode="white">
        <a:xfrm>
          <a:off x="3924648" y="419748"/>
          <a:ext cx="1148367" cy="806400"/>
        </a:xfrm>
        <a:prstGeom prst="roundRect">
          <a:avLst>
            <a:gd name="adj" fmla="val 10000"/>
          </a:avLst>
        </a:prstGeom>
      </dsp:spPr>
      <dsp:style>
        <a:lnRef idx="2">
          <a:schemeClr val="accent4"/>
        </a:lnRef>
        <a:fillRef idx="1">
          <a:schemeClr val="lt1">
            <a:alpha val="90000"/>
          </a:schemeClr>
        </a:fillRef>
        <a:effectRef idx="0">
          <a:scrgbClr r="0" g="0" b="0"/>
        </a:effectRef>
        <a:fontRef idx="minor"/>
      </dsp:style>
      <dsp:txBody>
        <a:bodyPr vert="horz" wrap="square" lIns="99568" tIns="99568" rIns="99568" bIns="99568" anchor="t"/>
        <a:lstStyle>
          <a:lvl1pPr algn="l">
            <a:defRPr sz="1400"/>
          </a:lvl1pPr>
          <a:lvl2pPr marL="114300" indent="-114300" algn="l">
            <a:defRPr sz="1400"/>
          </a:lvl2pPr>
          <a:lvl3pPr marL="228600" indent="-114300" algn="l">
            <a:defRPr sz="1400"/>
          </a:lvl3pPr>
          <a:lvl4pPr marL="342900" indent="-114300" algn="l">
            <a:defRPr sz="1400"/>
          </a:lvl4pPr>
          <a:lvl5pPr marL="457200" indent="-114300" algn="l">
            <a:defRPr sz="1400"/>
          </a:lvl5pPr>
          <a:lvl6pPr marL="571500" indent="-114300" algn="l">
            <a:defRPr sz="1400"/>
          </a:lvl6pPr>
          <a:lvl7pPr marL="685800" indent="-114300" algn="l">
            <a:defRPr sz="1400"/>
          </a:lvl7pPr>
          <a:lvl8pPr marL="800100" indent="-114300" algn="l">
            <a:defRPr sz="1400"/>
          </a:lvl8pPr>
          <a:lvl9pPr marL="914400" indent="-114300" algn="l">
            <a:defRPr sz="1400"/>
          </a:lvl9pPr>
        </a:lstStyle>
        <a:p>
          <a:pPr lvl="1" algn="ctr">
            <a:lnSpc>
              <a:spcPct val="100000"/>
            </a:lnSpc>
            <a:spcBef>
              <a:spcPct val="0"/>
            </a:spcBef>
            <a:spcAft>
              <a:spcPct val="15000"/>
            </a:spcAft>
            <a:buChar char="•"/>
          </a:pPr>
          <a:r>
            <a:rPr lang="zh-CN" altLang="en-US" b="1">
              <a:solidFill>
                <a:schemeClr val="dk1"/>
              </a:solidFill>
            </a:rPr>
            <a:t>听录音记笔记</a:t>
          </a:r>
          <a:endParaRPr>
            <a:solidFill>
              <a:schemeClr val="dk1"/>
            </a:solidFill>
          </a:endParaRPr>
        </a:p>
      </dsp:txBody>
      <dsp:txXfrm>
        <a:off x="3924648" y="419748"/>
        <a:ext cx="1148367" cy="80640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2">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rSet qsTypeId="urn:microsoft.com/office/officeart/2005/8/quickstyle/simple5"/>
        </dgm:pt>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rSet csTypeId="urn:microsoft.com/office/officeart/2005/8/colors/accent6_5"/>
        </dgm:pt>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srcNode" val="parTx"/>
            <dgm:param type="dstNode" val="parTx"/>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8</Pages>
  <Words>5098</Words>
  <Characters>5509</Characters>
  <Lines>40</Lines>
  <Paragraphs>11</Paragraphs>
  <TotalTime>97</TotalTime>
  <ScaleCrop>false</ScaleCrop>
  <LinksUpToDate>false</LinksUpToDate>
  <CharactersWithSpaces>5574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2023-05-20T14:44:00Z</dcterms:created>
  <dc:creator>MsOlivia</dc:creator>
  <cp:lastModifiedBy>Pan</cp:lastModifiedBy>
  <dcterms:modified xsi:type="dcterms:W3CDTF">2023-05-22T02:52:58Z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FE3205974DE8437F98C08A929A85ECF1_13</vt:lpwstr>
  </property>
</Properties>
</file>