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center"/>
        <w:rPr>
          <w:rFonts w:ascii="Times New Roman" w:hAnsi="Times New Roman" w:eastAsia="宋体" w:cs="Times New Roman"/>
          <w:b/>
          <w:bCs/>
          <w:sz w:val="32"/>
          <w:szCs w:val="32"/>
        </w:rPr>
      </w:pPr>
      <w:bookmarkStart w:id="0" w:name="_GoBack"/>
      <w:bookmarkEnd w:id="0"/>
      <w:r>
        <w:rPr>
          <w:rFonts w:ascii="Times New Roman" w:hAnsi="Times New Roman" w:eastAsia="宋体" w:cs="Times New Roman"/>
          <w:b/>
          <w:bCs/>
          <w:sz w:val="32"/>
          <w:szCs w:val="32"/>
        </w:rPr>
        <w:t>基于教学评一体化的初中英语口语教学</w:t>
      </w:r>
      <w:r>
        <w:rPr>
          <w:rFonts w:hint="eastAsia" w:ascii="Times New Roman" w:hAnsi="Times New Roman" w:eastAsia="宋体" w:cs="Times New Roman"/>
          <w:b/>
          <w:bCs/>
          <w:sz w:val="32"/>
          <w:szCs w:val="32"/>
        </w:rPr>
        <w:t>活动设计</w:t>
      </w:r>
    </w:p>
    <w:p>
      <w:pPr>
        <w:spacing w:line="276"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——以</w:t>
      </w:r>
      <w:r>
        <w:rPr>
          <w:rFonts w:hint="eastAsia" w:ascii="Times New Roman" w:hAnsi="Times New Roman" w:eastAsia="宋体" w:cs="Times New Roman"/>
          <w:b/>
          <w:bCs/>
          <w:sz w:val="24"/>
          <w:szCs w:val="24"/>
        </w:rPr>
        <w:t>《英语》牛津上海版9</w:t>
      </w:r>
      <w:r>
        <w:rPr>
          <w:rFonts w:ascii="Times New Roman" w:hAnsi="Times New Roman" w:eastAsia="宋体" w:cs="Times New Roman"/>
          <w:b/>
          <w:bCs/>
          <w:sz w:val="24"/>
          <w:szCs w:val="24"/>
        </w:rPr>
        <w:t>A Unit5 M</w:t>
      </w:r>
      <w:r>
        <w:rPr>
          <w:rFonts w:hint="eastAsia" w:ascii="Times New Roman" w:hAnsi="Times New Roman" w:eastAsia="宋体" w:cs="Times New Roman"/>
          <w:b/>
          <w:bCs/>
          <w:sz w:val="24"/>
          <w:szCs w:val="24"/>
        </w:rPr>
        <w:t>aking</w:t>
      </w:r>
      <w:r>
        <w:rPr>
          <w:rFonts w:ascii="Times New Roman" w:hAnsi="Times New Roman" w:eastAsia="宋体" w:cs="Times New Roman"/>
          <w:b/>
          <w:bCs/>
          <w:sz w:val="24"/>
          <w:szCs w:val="24"/>
        </w:rPr>
        <w:t xml:space="preserve"> apologies and excuses为例</w:t>
      </w:r>
    </w:p>
    <w:p>
      <w:pPr>
        <w:spacing w:line="276" w:lineRule="auto"/>
        <w:jc w:val="center"/>
        <w:rPr>
          <w:rFonts w:ascii="Times New Roman" w:hAnsi="Times New Roman" w:eastAsia="宋体" w:cs="Times New Roman"/>
          <w:b/>
          <w:bCs/>
          <w:szCs w:val="21"/>
        </w:rPr>
      </w:pPr>
      <w:r>
        <w:rPr>
          <w:rFonts w:hint="eastAsia" w:ascii="Times New Roman" w:hAnsi="Times New Roman" w:eastAsia="宋体" w:cs="Times New Roman"/>
          <w:b/>
          <w:bCs/>
          <w:szCs w:val="21"/>
        </w:rPr>
        <w:t>华东理工大学附属中学 陈嘉旎</w:t>
      </w:r>
    </w:p>
    <w:p>
      <w:pPr>
        <w:spacing w:line="276" w:lineRule="auto"/>
        <w:jc w:val="center"/>
        <w:rPr>
          <w:rFonts w:ascii="Times New Roman" w:hAnsi="Times New Roman" w:eastAsia="宋体" w:cs="Times New Roman"/>
          <w:b/>
          <w:bCs/>
          <w:szCs w:val="21"/>
        </w:rPr>
      </w:pPr>
    </w:p>
    <w:p>
      <w:pPr>
        <w:spacing w:line="276"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一、</w:t>
      </w:r>
      <w:r>
        <w:rPr>
          <w:rFonts w:hint="eastAsia" w:ascii="Times New Roman" w:hAnsi="Times New Roman" w:eastAsia="宋体" w:cs="Times New Roman"/>
          <w:b/>
          <w:bCs/>
          <w:sz w:val="24"/>
          <w:szCs w:val="24"/>
        </w:rPr>
        <w:t>研究</w:t>
      </w:r>
      <w:r>
        <w:rPr>
          <w:rFonts w:ascii="Times New Roman" w:hAnsi="Times New Roman" w:eastAsia="宋体" w:cs="Times New Roman"/>
          <w:b/>
          <w:bCs/>
          <w:sz w:val="24"/>
          <w:szCs w:val="24"/>
        </w:rPr>
        <w:t>背景</w:t>
      </w:r>
    </w:p>
    <w:p>
      <w:pPr>
        <w:spacing w:line="276"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《义务教育英语课程标准</w:t>
      </w:r>
      <w:r>
        <w:rPr>
          <w:rFonts w:hint="eastAsia" w:ascii="Times New Roman" w:hAnsi="Times New Roman" w:eastAsia="宋体" w:cs="Times New Roman"/>
          <w:sz w:val="24"/>
          <w:szCs w:val="24"/>
        </w:rPr>
        <w:t>（2</w:t>
      </w:r>
      <w:r>
        <w:rPr>
          <w:rFonts w:ascii="Times New Roman" w:hAnsi="Times New Roman" w:eastAsia="宋体" w:cs="Times New Roman"/>
          <w:sz w:val="24"/>
          <w:szCs w:val="24"/>
        </w:rPr>
        <w:t>022</w:t>
      </w:r>
      <w:r>
        <w:rPr>
          <w:rFonts w:hint="eastAsia" w:ascii="Times New Roman" w:hAnsi="Times New Roman" w:eastAsia="宋体" w:cs="Times New Roman"/>
          <w:sz w:val="24"/>
          <w:szCs w:val="24"/>
        </w:rPr>
        <w:t>版）</w:t>
      </w:r>
      <w:r>
        <w:rPr>
          <w:rFonts w:ascii="Times New Roman" w:hAnsi="Times New Roman" w:eastAsia="宋体" w:cs="Times New Roman"/>
          <w:sz w:val="24"/>
          <w:szCs w:val="24"/>
        </w:rPr>
        <w:t>》指出，“教学应坚持以评促学、以评促教，将评价贯穿英语课程教与学的全过程”。在教学的过程中，教师“注重发挥学生的主观能动性，引导学生成为各类评价活动的设计者、参与者和合作者，自觉运用评价结果改进学习”，从而“逐步建立主体多元、方式多样、素养导向的英语课程评价体系”。推动教学评一体化的实施，有利于学科育人目标的有效落地，引导教师关注学习过程，从而确保学习目标的实现(王蔷、李亮，2019)。</w:t>
      </w:r>
    </w:p>
    <w:p>
      <w:pPr>
        <w:spacing w:line="276" w:lineRule="auto"/>
        <w:rPr>
          <w:rFonts w:ascii="Times New Roman" w:hAnsi="Times New Roman" w:eastAsia="宋体" w:cs="Times New Roman"/>
          <w:sz w:val="24"/>
          <w:szCs w:val="24"/>
        </w:rPr>
      </w:pPr>
      <w:r>
        <w:rPr>
          <w:rFonts w:ascii="Times New Roman" w:hAnsi="Times New Roman" w:eastAsia="宋体" w:cs="Times New Roman"/>
          <w:sz w:val="24"/>
          <w:szCs w:val="24"/>
        </w:rPr>
        <w:t xml:space="preserve">     同年，上海市教委公布了《上海市进一步推进高中阶段学校考试招生制度改革实施意见》，其中指出，一是外语科目增设听说测试，强化对初中学生外语口语应用能力的考核。因此，对于如何在课堂教学中提高学生的口语能力，成为了广大教师需要关注的新课题。本文将结合具体实例，探讨</w:t>
      </w:r>
      <w:r>
        <w:rPr>
          <w:rFonts w:hint="eastAsia" w:ascii="Times New Roman" w:hAnsi="Times New Roman" w:eastAsia="宋体" w:cs="Times New Roman"/>
          <w:sz w:val="24"/>
          <w:szCs w:val="24"/>
        </w:rPr>
        <w:t>如何运用</w:t>
      </w:r>
      <w:r>
        <w:rPr>
          <w:rFonts w:ascii="Times New Roman" w:hAnsi="Times New Roman" w:eastAsia="宋体" w:cs="Times New Roman"/>
          <w:sz w:val="24"/>
          <w:szCs w:val="24"/>
        </w:rPr>
        <w:t>教学评一体化</w:t>
      </w:r>
      <w:r>
        <w:rPr>
          <w:rFonts w:hint="eastAsia" w:ascii="Times New Roman" w:hAnsi="Times New Roman" w:eastAsia="宋体" w:cs="Times New Roman"/>
          <w:sz w:val="24"/>
          <w:szCs w:val="24"/>
        </w:rPr>
        <w:t>的理念落实</w:t>
      </w:r>
      <w:r>
        <w:rPr>
          <w:rFonts w:ascii="Times New Roman" w:hAnsi="Times New Roman" w:eastAsia="宋体" w:cs="Times New Roman"/>
          <w:sz w:val="24"/>
          <w:szCs w:val="24"/>
        </w:rPr>
        <w:t>初中英语口语</w:t>
      </w:r>
      <w:r>
        <w:rPr>
          <w:rFonts w:hint="eastAsia" w:ascii="Times New Roman" w:hAnsi="Times New Roman" w:eastAsia="宋体" w:cs="Times New Roman"/>
          <w:sz w:val="24"/>
          <w:szCs w:val="24"/>
        </w:rPr>
        <w:t>的</w:t>
      </w:r>
      <w:r>
        <w:rPr>
          <w:rFonts w:ascii="Times New Roman" w:hAnsi="Times New Roman" w:eastAsia="宋体" w:cs="Times New Roman"/>
          <w:sz w:val="24"/>
          <w:szCs w:val="24"/>
        </w:rPr>
        <w:t>教学。</w:t>
      </w:r>
    </w:p>
    <w:p>
      <w:pPr>
        <w:spacing w:line="276" w:lineRule="auto"/>
        <w:rPr>
          <w:rFonts w:ascii="Times New Roman" w:hAnsi="Times New Roman" w:eastAsia="宋体" w:cs="Times New Roman"/>
          <w:sz w:val="24"/>
          <w:szCs w:val="24"/>
        </w:rPr>
      </w:pPr>
    </w:p>
    <w:p>
      <w:pPr>
        <w:spacing w:line="276"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二、</w:t>
      </w:r>
      <w:r>
        <w:rPr>
          <w:rFonts w:hint="eastAsia" w:ascii="Times New Roman" w:hAnsi="Times New Roman" w:eastAsia="宋体" w:cs="Times New Roman"/>
          <w:b/>
          <w:bCs/>
          <w:sz w:val="24"/>
          <w:szCs w:val="24"/>
        </w:rPr>
        <w:t>初中英语</w:t>
      </w:r>
      <w:r>
        <w:rPr>
          <w:rFonts w:ascii="Times New Roman" w:hAnsi="Times New Roman" w:eastAsia="宋体" w:cs="Times New Roman"/>
          <w:b/>
          <w:bCs/>
          <w:sz w:val="24"/>
          <w:szCs w:val="24"/>
        </w:rPr>
        <w:t>口语教学中的常见问题</w:t>
      </w:r>
    </w:p>
    <w:p>
      <w:pPr>
        <w:spacing w:line="276" w:lineRule="auto"/>
        <w:rPr>
          <w:rFonts w:ascii="Times New Roman" w:hAnsi="Times New Roman" w:eastAsia="宋体" w:cs="Times New Roman"/>
          <w:sz w:val="24"/>
          <w:szCs w:val="24"/>
        </w:rPr>
      </w:pPr>
      <w:r>
        <w:rPr>
          <w:rFonts w:ascii="Times New Roman" w:hAnsi="Times New Roman" w:eastAsia="宋体" w:cs="Times New Roman"/>
          <w:sz w:val="24"/>
          <w:szCs w:val="24"/>
        </w:rPr>
        <w:t>1. 学生缺乏口语学习兴趣，且有畏难情绪</w:t>
      </w:r>
    </w:p>
    <w:p>
      <w:pPr>
        <w:spacing w:line="276" w:lineRule="auto"/>
        <w:rPr>
          <w:rFonts w:ascii="Times New Roman" w:hAnsi="Times New Roman" w:eastAsia="宋体" w:cs="Times New Roman"/>
          <w:sz w:val="24"/>
          <w:szCs w:val="24"/>
        </w:rPr>
      </w:pPr>
      <w:r>
        <w:rPr>
          <w:rFonts w:ascii="Times New Roman" w:hAnsi="Times New Roman" w:eastAsia="宋体" w:cs="Times New Roman"/>
          <w:sz w:val="24"/>
          <w:szCs w:val="24"/>
        </w:rPr>
        <w:t xml:space="preserve">    根据调查（叶红萍，2020）显示，绝大部分学生缺乏口语学习的兴趣，在口语课上参与的积极性不高，部分同学在讲英语时存在心理障碍，怕被同学笑话。</w:t>
      </w:r>
      <w:r>
        <w:rPr>
          <w:rFonts w:hint="eastAsia" w:ascii="Times New Roman" w:hAnsi="Times New Roman" w:eastAsia="宋体" w:cs="Times New Roman"/>
          <w:sz w:val="24"/>
          <w:szCs w:val="24"/>
        </w:rPr>
        <w:t>在笔者平时的教学过程中，发现在口语课堂中，学生也有如上的表现。</w:t>
      </w:r>
      <w:r>
        <w:rPr>
          <w:rFonts w:ascii="Times New Roman" w:hAnsi="Times New Roman" w:eastAsia="宋体" w:cs="Times New Roman"/>
          <w:sz w:val="24"/>
          <w:szCs w:val="24"/>
        </w:rPr>
        <w:t>学生在英语口语课堂上的表现不尽如人意，长此以往，学生的口语能力必然会越来越弱。</w:t>
      </w:r>
    </w:p>
    <w:p>
      <w:pPr>
        <w:spacing w:line="276" w:lineRule="auto"/>
        <w:rPr>
          <w:rFonts w:ascii="Times New Roman" w:hAnsi="Times New Roman" w:eastAsia="宋体" w:cs="Times New Roman"/>
          <w:sz w:val="24"/>
          <w:szCs w:val="24"/>
        </w:rPr>
      </w:pPr>
      <w:r>
        <w:rPr>
          <w:rFonts w:ascii="Times New Roman" w:hAnsi="Times New Roman" w:eastAsia="宋体" w:cs="Times New Roman"/>
          <w:sz w:val="24"/>
          <w:szCs w:val="24"/>
        </w:rPr>
        <w:t>2. 教师评价方式单一，且</w:t>
      </w:r>
      <w:r>
        <w:rPr>
          <w:rFonts w:hint="eastAsia" w:ascii="Times New Roman" w:hAnsi="Times New Roman" w:eastAsia="宋体" w:cs="Times New Roman"/>
          <w:sz w:val="24"/>
          <w:szCs w:val="24"/>
        </w:rPr>
        <w:t>侧重</w:t>
      </w:r>
      <w:r>
        <w:rPr>
          <w:rFonts w:ascii="Times New Roman" w:hAnsi="Times New Roman" w:eastAsia="宋体" w:cs="Times New Roman"/>
          <w:sz w:val="24"/>
          <w:szCs w:val="24"/>
        </w:rPr>
        <w:t>结果式评价</w:t>
      </w:r>
    </w:p>
    <w:p>
      <w:pPr>
        <w:spacing w:line="276" w:lineRule="auto"/>
        <w:rPr>
          <w:rFonts w:ascii="Times New Roman" w:hAnsi="Times New Roman" w:eastAsia="宋体" w:cs="Times New Roman"/>
          <w:sz w:val="24"/>
          <w:szCs w:val="24"/>
        </w:rPr>
      </w:pPr>
      <w:r>
        <w:rPr>
          <w:rFonts w:ascii="Times New Roman" w:hAnsi="Times New Roman" w:eastAsia="宋体" w:cs="Times New Roman"/>
          <w:sz w:val="24"/>
          <w:szCs w:val="24"/>
        </w:rPr>
        <w:t xml:space="preserve">    一般而言，对于英语口语的测试，应从多方面展开，并同时注重过程和结果的评价。但是由于时间限制及师生对于口语板块的重视度不高，多采用的是单一的结果式评价，即学生上机进行听说测试并打分，对学生在口语练习过程中所展现出来的合作意识、学习能力、文化理解等则并未重视及适时给出评价。在口语的教学评价中，教师应将素质提升、能力培养等作为出发点，采取科学合理的措施激发学生学习英语的积极性，鼓励他们在日常学习生活中用英语进行交流沟通，使自身的英语运用能力得到有效提升（曹春霞，2015）。</w:t>
      </w:r>
    </w:p>
    <w:p>
      <w:pPr>
        <w:spacing w:line="276" w:lineRule="auto"/>
        <w:rPr>
          <w:rFonts w:ascii="Times New Roman" w:hAnsi="Times New Roman" w:eastAsia="宋体" w:cs="Times New Roman"/>
          <w:sz w:val="24"/>
          <w:szCs w:val="24"/>
        </w:rPr>
      </w:pPr>
    </w:p>
    <w:p>
      <w:pPr>
        <w:spacing w:line="276"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三、</w:t>
      </w:r>
      <w:r>
        <w:rPr>
          <w:rFonts w:hint="eastAsia" w:ascii="Times New Roman" w:hAnsi="Times New Roman" w:eastAsia="宋体" w:cs="Times New Roman"/>
          <w:b/>
          <w:bCs/>
          <w:sz w:val="24"/>
          <w:szCs w:val="24"/>
        </w:rPr>
        <w:t>教学评一体化在初中英语口语课堂中的实践</w:t>
      </w:r>
    </w:p>
    <w:p>
      <w:pPr>
        <w:spacing w:line="276"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本单元选自9A的第二个模块Computers vs humans，属于人与社会这一主题板块。本单元包含阅读、语法、听力、口语、写作、拓展阅读六个板块，从不同的角度出发，围绕人与计算机这一话题展开，培养学生各方面的能力。</w:t>
      </w:r>
    </w:p>
    <w:p>
      <w:pPr>
        <w:spacing w:line="276"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本课时的内容为道歉及找理由，属于功能意念板块。根据《义务教育英语课程标准</w:t>
      </w:r>
      <w:r>
        <w:rPr>
          <w:rFonts w:hint="eastAsia" w:ascii="Times New Roman" w:hAnsi="Times New Roman" w:eastAsia="宋体" w:cs="Times New Roman"/>
          <w:sz w:val="24"/>
          <w:szCs w:val="24"/>
        </w:rPr>
        <w:t>（2</w:t>
      </w:r>
      <w:r>
        <w:rPr>
          <w:rFonts w:ascii="Times New Roman" w:hAnsi="Times New Roman" w:eastAsia="宋体" w:cs="Times New Roman"/>
          <w:sz w:val="24"/>
          <w:szCs w:val="24"/>
        </w:rPr>
        <w:t>022</w:t>
      </w:r>
      <w:r>
        <w:rPr>
          <w:rFonts w:hint="eastAsia" w:ascii="Times New Roman" w:hAnsi="Times New Roman" w:eastAsia="宋体" w:cs="Times New Roman"/>
          <w:sz w:val="24"/>
          <w:szCs w:val="24"/>
        </w:rPr>
        <w:t>年版）</w:t>
      </w:r>
      <w:r>
        <w:rPr>
          <w:rFonts w:ascii="Times New Roman" w:hAnsi="Times New Roman" w:eastAsia="宋体" w:cs="Times New Roman"/>
          <w:sz w:val="24"/>
          <w:szCs w:val="24"/>
        </w:rPr>
        <w:t>》的要求，学生应能围绕相关主题，运用所学语言，与他人进行日常交流。因此，在本节课中，学生需在交际活动中听懂“道歉”和“接受与拒绝道歉”等语言功能，并在情境中恰当运用。</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制定教学目标，确定评价标准</w:t>
      </w:r>
    </w:p>
    <w:p>
      <w:pPr>
        <w:spacing w:line="27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教学评一体化以目标为导向，一切活动的开展都围绕着目标。因此，笔者在分析了单元教材内容及学生学情后，确定了本节口语课的教学目标为：</w:t>
      </w:r>
      <w:r>
        <w:rPr>
          <w:rFonts w:ascii="Times New Roman" w:hAnsi="Times New Roman" w:eastAsia="宋体" w:cs="Times New Roman"/>
          <w:sz w:val="24"/>
          <w:szCs w:val="24"/>
        </w:rPr>
        <w:t xml:space="preserve">1) </w:t>
      </w:r>
      <w:r>
        <w:rPr>
          <w:rFonts w:hint="eastAsia" w:ascii="Times New Roman" w:hAnsi="Times New Roman" w:eastAsia="宋体" w:cs="Times New Roman"/>
          <w:sz w:val="24"/>
          <w:szCs w:val="24"/>
        </w:rPr>
        <w:t>理解如何道歉及回应道歉，并拓展核心语言句型</w:t>
      </w:r>
      <w:r>
        <w:rPr>
          <w:rFonts w:ascii="Times New Roman" w:hAnsi="Times New Roman" w:eastAsia="宋体" w:cs="Times New Roman"/>
          <w:sz w:val="24"/>
          <w:szCs w:val="24"/>
        </w:rPr>
        <w:t>;2)</w:t>
      </w:r>
      <w:r>
        <w:rPr>
          <w:rFonts w:hint="eastAsia" w:ascii="Times New Roman" w:hAnsi="Times New Roman" w:eastAsia="宋体" w:cs="Times New Roman"/>
          <w:sz w:val="24"/>
          <w:szCs w:val="24"/>
        </w:rPr>
        <w:t xml:space="preserve"> 分角色扮演关于道歉的对话，并</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简要谈论人物犯错的原因及解决办法</w:t>
      </w:r>
      <w:r>
        <w:rPr>
          <w:rFonts w:ascii="Times New Roman" w:hAnsi="Times New Roman" w:eastAsia="宋体" w:cs="Times New Roman"/>
          <w:sz w:val="24"/>
          <w:szCs w:val="24"/>
        </w:rPr>
        <w:t xml:space="preserve">;3) </w:t>
      </w:r>
      <w:r>
        <w:rPr>
          <w:rFonts w:hint="eastAsia" w:ascii="Times New Roman" w:hAnsi="Times New Roman" w:eastAsia="宋体" w:cs="Times New Roman"/>
          <w:sz w:val="24"/>
          <w:szCs w:val="24"/>
        </w:rPr>
        <w:t>在小组内演出生活中真实发生的道歉情境。</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根据所制定的教学目标，学生在本节课中通过理解文本对话中道歉及如何回应、掌握更多功能举行、谈论犯错的理由及给出积极的建议，最终用英文演绎出真实生活中的道歉情景。因此，本节课的评价标准为：</w:t>
      </w:r>
      <w:r>
        <w:rPr>
          <w:rFonts w:ascii="Times New Roman" w:hAnsi="Times New Roman" w:eastAsia="宋体" w:cs="Times New Roman"/>
          <w:sz w:val="24"/>
          <w:szCs w:val="24"/>
        </w:rPr>
        <w:t xml:space="preserve">1) </w:t>
      </w:r>
      <w:r>
        <w:rPr>
          <w:rFonts w:hint="eastAsia" w:ascii="Times New Roman" w:hAnsi="Times New Roman" w:eastAsia="宋体" w:cs="Times New Roman"/>
          <w:sz w:val="24"/>
          <w:szCs w:val="24"/>
        </w:rPr>
        <w:t>通过引导、提问及观察，确认学生是否理解如何道歉及回应道歉，以及其中的情感态度；</w:t>
      </w:r>
      <w:r>
        <w:rPr>
          <w:rFonts w:ascii="Times New Roman" w:hAnsi="Times New Roman" w:eastAsia="宋体" w:cs="Times New Roman"/>
          <w:sz w:val="24"/>
          <w:szCs w:val="24"/>
        </w:rPr>
        <w:t xml:space="preserve">2) </w:t>
      </w:r>
      <w:r>
        <w:rPr>
          <w:rFonts w:hint="eastAsia" w:ascii="Times New Roman" w:hAnsi="Times New Roman" w:eastAsia="宋体" w:cs="Times New Roman"/>
          <w:sz w:val="24"/>
          <w:szCs w:val="24"/>
        </w:rPr>
        <w:t>通过课堂中教师引导、学生自主生成的学习评价表，确认学生是否能够演绎出生活中真实发生的道歉情境。</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在课堂教学的实施阶段，学生的课堂反馈是灵活多变的，为了达到较好的课堂效果，教师在制定初步的评价标准之后，应该根据教学环节对其进行细化，仔细梳理好每一教学环节，及如何进行评价。</w:t>
      </w:r>
    </w:p>
    <w:p>
      <w:pPr>
        <w:spacing w:line="276" w:lineRule="auto"/>
        <w:jc w:val="center"/>
        <w:rPr>
          <w:rFonts w:ascii="Times New Roman" w:hAnsi="Times New Roman" w:eastAsia="宋体" w:cs="Times New Roman"/>
          <w:b/>
          <w:bCs/>
          <w:szCs w:val="21"/>
        </w:rPr>
      </w:pPr>
      <w:r>
        <w:rPr>
          <w:rFonts w:hint="eastAsia" w:ascii="Times New Roman" w:hAnsi="Times New Roman" w:eastAsia="宋体" w:cs="Times New Roman"/>
          <w:b/>
          <w:bCs/>
          <w:szCs w:val="21"/>
        </w:rPr>
        <w:t>表</w:t>
      </w:r>
      <w:r>
        <w:rPr>
          <w:rFonts w:ascii="Times New Roman" w:hAnsi="Times New Roman" w:eastAsia="宋体" w:cs="Times New Roman"/>
          <w:b/>
          <w:bCs/>
          <w:szCs w:val="21"/>
        </w:rPr>
        <w:t>1</w:t>
      </w:r>
      <w:r>
        <w:rPr>
          <w:rFonts w:hint="eastAsia" w:ascii="Times New Roman" w:hAnsi="Times New Roman" w:eastAsia="宋体" w:cs="Times New Roman"/>
          <w:b/>
          <w:bCs/>
          <w:szCs w:val="21"/>
        </w:rPr>
        <w:t>：各环节评价方式</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2558"/>
        <w:gridCol w:w="2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tcPr>
          <w:p>
            <w:pPr>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教学目标</w:t>
            </w:r>
          </w:p>
        </w:tc>
        <w:tc>
          <w:tcPr>
            <w:tcW w:w="2558" w:type="dxa"/>
          </w:tcPr>
          <w:p>
            <w:pPr>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学习活动</w:t>
            </w:r>
          </w:p>
        </w:tc>
        <w:tc>
          <w:tcPr>
            <w:tcW w:w="2766" w:type="dxa"/>
          </w:tcPr>
          <w:p>
            <w:pPr>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1</w:t>
            </w:r>
            <w:r>
              <w:rPr>
                <w:rFonts w:ascii="Times New Roman" w:hAnsi="Times New Roman" w:eastAsia="宋体" w:cs="Times New Roman"/>
                <w:kern w:val="0"/>
                <w:sz w:val="20"/>
                <w:szCs w:val="21"/>
              </w:rPr>
              <w:t xml:space="preserve">. </w:t>
            </w:r>
            <w:r>
              <w:rPr>
                <w:rFonts w:hint="eastAsia" w:ascii="Times New Roman" w:hAnsi="Times New Roman" w:eastAsia="宋体" w:cs="Times New Roman"/>
                <w:kern w:val="0"/>
                <w:sz w:val="20"/>
                <w:szCs w:val="21"/>
              </w:rPr>
              <w:t>理解如何道歉及回应道歉。</w:t>
            </w:r>
          </w:p>
          <w:p>
            <w:pPr>
              <w:jc w:val="left"/>
              <w:rPr>
                <w:rFonts w:ascii="Times New Roman" w:hAnsi="Times New Roman" w:eastAsia="宋体" w:cs="Times New Roman"/>
                <w:kern w:val="0"/>
                <w:sz w:val="20"/>
                <w:szCs w:val="21"/>
              </w:rPr>
            </w:pPr>
          </w:p>
        </w:tc>
        <w:tc>
          <w:tcPr>
            <w:tcW w:w="2558"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1</w:t>
            </w:r>
            <w:r>
              <w:rPr>
                <w:rFonts w:ascii="Times New Roman" w:hAnsi="Times New Roman" w:eastAsia="宋体" w:cs="Times New Roman"/>
                <w:kern w:val="0"/>
                <w:sz w:val="20"/>
                <w:szCs w:val="21"/>
              </w:rPr>
              <w:t xml:space="preserve">. </w:t>
            </w:r>
            <w:r>
              <w:rPr>
                <w:rFonts w:hint="eastAsia" w:ascii="Times New Roman" w:hAnsi="Times New Roman" w:eastAsia="宋体" w:cs="Times New Roman"/>
                <w:kern w:val="0"/>
                <w:sz w:val="20"/>
                <w:szCs w:val="21"/>
              </w:rPr>
              <w:t>学生看视频，回答问题，识别视频中女士出现了什么问题，是哪种记忆不好。</w:t>
            </w:r>
          </w:p>
          <w:p>
            <w:pPr>
              <w:jc w:val="left"/>
              <w:rPr>
                <w:rFonts w:ascii="Times New Roman" w:hAnsi="Times New Roman" w:eastAsia="宋体" w:cs="Times New Roman"/>
                <w:kern w:val="0"/>
                <w:sz w:val="20"/>
                <w:szCs w:val="21"/>
              </w:rPr>
            </w:pPr>
          </w:p>
          <w:p>
            <w:pPr>
              <w:jc w:val="left"/>
              <w:rPr>
                <w:rFonts w:ascii="Times New Roman" w:hAnsi="Times New Roman" w:eastAsia="宋体" w:cs="Times New Roman"/>
                <w:kern w:val="0"/>
                <w:sz w:val="20"/>
                <w:szCs w:val="21"/>
              </w:rPr>
            </w:pPr>
          </w:p>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2</w:t>
            </w:r>
            <w:r>
              <w:rPr>
                <w:rFonts w:ascii="Times New Roman" w:hAnsi="Times New Roman" w:eastAsia="宋体" w:cs="Times New Roman"/>
                <w:kern w:val="0"/>
                <w:sz w:val="20"/>
                <w:szCs w:val="21"/>
              </w:rPr>
              <w:t xml:space="preserve">. </w:t>
            </w:r>
            <w:r>
              <w:rPr>
                <w:rFonts w:hint="eastAsia" w:ascii="Times New Roman" w:hAnsi="Times New Roman" w:eastAsia="宋体" w:cs="Times New Roman"/>
                <w:kern w:val="0"/>
                <w:sz w:val="20"/>
                <w:szCs w:val="21"/>
              </w:rPr>
              <w:t>学生集体朗读书本对话内容。</w:t>
            </w:r>
          </w:p>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3</w:t>
            </w:r>
            <w:r>
              <w:rPr>
                <w:rFonts w:ascii="Times New Roman" w:hAnsi="Times New Roman" w:eastAsia="宋体" w:cs="Times New Roman"/>
                <w:kern w:val="0"/>
                <w:sz w:val="20"/>
                <w:szCs w:val="21"/>
              </w:rPr>
              <w:t xml:space="preserve">. </w:t>
            </w:r>
            <w:r>
              <w:rPr>
                <w:rFonts w:hint="eastAsia" w:ascii="Times New Roman" w:hAnsi="Times New Roman" w:eastAsia="宋体" w:cs="Times New Roman"/>
                <w:kern w:val="0"/>
                <w:sz w:val="20"/>
                <w:szCs w:val="21"/>
              </w:rPr>
              <w:t>学生根据对话内容识别话语的功能意念。</w:t>
            </w:r>
          </w:p>
        </w:tc>
        <w:tc>
          <w:tcPr>
            <w:tcW w:w="2766"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教师观察学生能否参与互动和交流，主动分享个人对该主题已有的知识、经验。并根据需要调整提问方式，进行追问和鼓励。</w:t>
            </w:r>
          </w:p>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教师根据学生朗读情况，给予鼓励和指导。</w:t>
            </w:r>
          </w:p>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教师根据学生对于功能意念的理解情况，按照需要调整提问方式，进行引导和鼓励。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tcPr>
          <w:p>
            <w:pPr>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w:t>
            </w:r>
          </w:p>
        </w:tc>
        <w:tc>
          <w:tcPr>
            <w:tcW w:w="2558" w:type="dxa"/>
          </w:tcPr>
          <w:p>
            <w:pPr>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w:t>
            </w:r>
          </w:p>
        </w:tc>
        <w:tc>
          <w:tcPr>
            <w:tcW w:w="2766" w:type="dxa"/>
          </w:tcPr>
          <w:p>
            <w:pPr>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w:t>
            </w:r>
          </w:p>
        </w:tc>
      </w:tr>
    </w:tbl>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2</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围绕教学目标，设计学习活动</w:t>
      </w:r>
    </w:p>
    <w:p>
      <w:pPr>
        <w:spacing w:line="276" w:lineRule="auto"/>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在学习活动的设计中，我们应该秉持在体验中学习、在实践中运用、在迁移中创新的学习理念，倡导学生围绕真实情境和真实问题，循序渐进地进行语言学习和运用。在本节课中，通过“学习理解、应用实践和迁移创新”三个环节，将学习活动根据教学目标，层层递进地展开，促进学生学习的自然发生。</w:t>
      </w:r>
    </w:p>
    <w:p>
      <w:pPr>
        <w:spacing w:line="276" w:lineRule="auto"/>
        <w:jc w:val="center"/>
        <w:rPr>
          <w:rFonts w:ascii="Times New Roman" w:hAnsi="Times New Roman" w:eastAsia="宋体" w:cs="Times New Roman"/>
          <w:b/>
          <w:bCs/>
          <w:szCs w:val="21"/>
        </w:rPr>
      </w:pPr>
    </w:p>
    <w:p>
      <w:pPr>
        <w:spacing w:line="276" w:lineRule="auto"/>
        <w:jc w:val="center"/>
        <w:rPr>
          <w:rFonts w:ascii="Times New Roman" w:hAnsi="Times New Roman" w:eastAsia="宋体" w:cs="Times New Roman"/>
          <w:b/>
          <w:bCs/>
          <w:szCs w:val="21"/>
        </w:rPr>
      </w:pPr>
    </w:p>
    <w:p>
      <w:pPr>
        <w:spacing w:line="276" w:lineRule="auto"/>
        <w:jc w:val="center"/>
        <w:rPr>
          <w:rFonts w:ascii="Times New Roman" w:hAnsi="Times New Roman" w:eastAsia="宋体" w:cs="Times New Roman"/>
          <w:b/>
          <w:bCs/>
          <w:szCs w:val="21"/>
        </w:rPr>
      </w:pPr>
    </w:p>
    <w:p>
      <w:pPr>
        <w:spacing w:line="276" w:lineRule="auto"/>
        <w:jc w:val="center"/>
        <w:rPr>
          <w:rFonts w:ascii="Times New Roman" w:hAnsi="Times New Roman" w:eastAsia="宋体" w:cs="Times New Roman"/>
          <w:b/>
          <w:bCs/>
          <w:szCs w:val="21"/>
        </w:rPr>
      </w:pPr>
    </w:p>
    <w:p>
      <w:pPr>
        <w:spacing w:line="276" w:lineRule="auto"/>
        <w:jc w:val="center"/>
        <w:rPr>
          <w:rFonts w:ascii="Times New Roman" w:hAnsi="Times New Roman" w:eastAsia="宋体" w:cs="Times New Roman"/>
          <w:b/>
          <w:bCs/>
          <w:szCs w:val="21"/>
        </w:rPr>
      </w:pPr>
      <w:r>
        <w:rPr>
          <w:rFonts w:hint="eastAsia" w:ascii="Times New Roman" w:hAnsi="Times New Roman" w:eastAsia="宋体" w:cs="Times New Roman"/>
          <w:b/>
          <w:bCs/>
          <w:szCs w:val="21"/>
        </w:rPr>
        <w:t>表</w:t>
      </w:r>
      <w:r>
        <w:rPr>
          <w:rFonts w:ascii="Times New Roman" w:hAnsi="Times New Roman" w:eastAsia="宋体" w:cs="Times New Roman"/>
          <w:b/>
          <w:bCs/>
          <w:szCs w:val="21"/>
        </w:rPr>
        <w:t xml:space="preserve">2 </w:t>
      </w:r>
      <w:r>
        <w:rPr>
          <w:rFonts w:hint="eastAsia" w:ascii="Times New Roman" w:hAnsi="Times New Roman" w:eastAsia="宋体" w:cs="Times New Roman"/>
          <w:b/>
          <w:bCs/>
          <w:szCs w:val="21"/>
        </w:rPr>
        <w:t>英语学习活动三环节</w:t>
      </w:r>
    </w:p>
    <w:p>
      <w:pPr>
        <w:spacing w:line="276" w:lineRule="auto"/>
        <w:jc w:val="center"/>
        <w:rPr>
          <w:rFonts w:hint="eastAsia" w:ascii="Times New Roman" w:hAnsi="Times New Roman" w:eastAsia="宋体" w:cs="Times New Roman"/>
          <w:b/>
          <w:bCs/>
          <w:szCs w:val="21"/>
        </w:rPr>
      </w:pPr>
      <w:r>
        <w:rPr>
          <w:rFonts w:ascii="Times New Roman" w:hAnsi="Times New Roman" w:eastAsia="宋体" w:cs="Times New Roman"/>
          <w:b/>
          <w:bCs/>
          <w:szCs w:val="21"/>
        </w:rPr>
        <mc:AlternateContent>
          <mc:Choice Requires="wpg">
            <w:drawing>
              <wp:anchor distT="0" distB="0" distL="114300" distR="114300" simplePos="0" relativeHeight="251660288" behindDoc="0" locked="0" layoutInCell="1" allowOverlap="1">
                <wp:simplePos x="0" y="0"/>
                <wp:positionH relativeFrom="column">
                  <wp:posOffset>1370965</wp:posOffset>
                </wp:positionH>
                <wp:positionV relativeFrom="paragraph">
                  <wp:posOffset>117475</wp:posOffset>
                </wp:positionV>
                <wp:extent cx="2634615" cy="1324610"/>
                <wp:effectExtent l="0" t="19050" r="33020" b="28575"/>
                <wp:wrapNone/>
                <wp:docPr id="932468862" name="组合 7"/>
                <wp:cNvGraphicFramePr/>
                <a:graphic xmlns:a="http://schemas.openxmlformats.org/drawingml/2006/main">
                  <a:graphicData uri="http://schemas.microsoft.com/office/word/2010/wordprocessingGroup">
                    <wpg:wgp>
                      <wpg:cNvGrpSpPr/>
                      <wpg:grpSpPr>
                        <a:xfrm>
                          <a:off x="0" y="0"/>
                          <a:ext cx="2634394" cy="1324558"/>
                          <a:chOff x="0" y="0"/>
                          <a:chExt cx="2634394" cy="1324558"/>
                        </a:xfrm>
                      </wpg:grpSpPr>
                      <wpg:grpSp>
                        <wpg:cNvPr id="1761630872" name="组合 5"/>
                        <wpg:cNvGrpSpPr/>
                        <wpg:grpSpPr>
                          <a:xfrm>
                            <a:off x="0" y="0"/>
                            <a:ext cx="2634394" cy="570645"/>
                            <a:chOff x="0" y="0"/>
                            <a:chExt cx="2634394" cy="570645"/>
                          </a:xfrm>
                        </wpg:grpSpPr>
                        <wps:wsp>
                          <wps:cNvPr id="1868716992" name="箭头: 右 4"/>
                          <wps:cNvSpPr/>
                          <wps:spPr>
                            <a:xfrm>
                              <a:off x="0" y="0"/>
                              <a:ext cx="880239" cy="570645"/>
                            </a:xfrm>
                            <a:prstGeom prst="rightArrow">
                              <a:avLst/>
                            </a:prstGeom>
                          </wps:spPr>
                          <wps:style>
                            <a:lnRef idx="1">
                              <a:schemeClr val="accent5"/>
                            </a:lnRef>
                            <a:fillRef idx="2">
                              <a:schemeClr val="accent5"/>
                            </a:fillRef>
                            <a:effectRef idx="1">
                              <a:schemeClr val="accent5"/>
                            </a:effectRef>
                            <a:fontRef idx="minor">
                              <a:schemeClr val="dk1"/>
                            </a:fontRef>
                          </wps:style>
                          <wps:txbx>
                            <w:txbxContent>
                              <w:p>
                                <w:pPr>
                                  <w:jc w:val="center"/>
                                  <w:rPr>
                                    <w:rFonts w:ascii="宋体" w:hAnsi="宋体" w:eastAsia="宋体"/>
                                    <w:b/>
                                    <w:bCs/>
                                    <w:sz w:val="20"/>
                                    <w:szCs w:val="21"/>
                                  </w:rPr>
                                </w:pPr>
                                <w:r>
                                  <w:rPr>
                                    <w:rFonts w:hint="eastAsia" w:ascii="宋体" w:hAnsi="宋体" w:eastAsia="宋体"/>
                                    <w:b/>
                                    <w:bCs/>
                                    <w:sz w:val="20"/>
                                    <w:szCs w:val="21"/>
                                  </w:rPr>
                                  <w:t>学习理解</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95732269" name="箭头: 右 4"/>
                          <wps:cNvSpPr/>
                          <wps:spPr>
                            <a:xfrm>
                              <a:off x="877077" y="0"/>
                              <a:ext cx="880239" cy="570645"/>
                            </a:xfrm>
                            <a:prstGeom prst="rightArrow">
                              <a:avLst/>
                            </a:prstGeom>
                          </wps:spPr>
                          <wps:style>
                            <a:lnRef idx="1">
                              <a:schemeClr val="accent5"/>
                            </a:lnRef>
                            <a:fillRef idx="2">
                              <a:schemeClr val="accent5"/>
                            </a:fillRef>
                            <a:effectRef idx="1">
                              <a:schemeClr val="accent5"/>
                            </a:effectRef>
                            <a:fontRef idx="minor">
                              <a:schemeClr val="dk1"/>
                            </a:fontRef>
                          </wps:style>
                          <wps:txbx>
                            <w:txbxContent>
                              <w:p>
                                <w:pPr>
                                  <w:jc w:val="center"/>
                                  <w:rPr>
                                    <w:rFonts w:ascii="宋体" w:hAnsi="宋体" w:eastAsia="宋体"/>
                                    <w:b/>
                                    <w:bCs/>
                                    <w:sz w:val="20"/>
                                    <w:szCs w:val="21"/>
                                  </w:rPr>
                                </w:pPr>
                                <w:r>
                                  <w:rPr>
                                    <w:rFonts w:hint="eastAsia" w:ascii="宋体" w:hAnsi="宋体" w:eastAsia="宋体"/>
                                    <w:b/>
                                    <w:bCs/>
                                    <w:sz w:val="20"/>
                                    <w:szCs w:val="21"/>
                                  </w:rPr>
                                  <w:t>应用实践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83858729" name="箭头: 右 4"/>
                          <wps:cNvSpPr/>
                          <wps:spPr>
                            <a:xfrm>
                              <a:off x="1754155" y="0"/>
                              <a:ext cx="880239" cy="570645"/>
                            </a:xfrm>
                            <a:prstGeom prst="rightArrow">
                              <a:avLst/>
                            </a:prstGeom>
                          </wps:spPr>
                          <wps:style>
                            <a:lnRef idx="1">
                              <a:schemeClr val="accent5"/>
                            </a:lnRef>
                            <a:fillRef idx="2">
                              <a:schemeClr val="accent5"/>
                            </a:fillRef>
                            <a:effectRef idx="1">
                              <a:schemeClr val="accent5"/>
                            </a:effectRef>
                            <a:fontRef idx="minor">
                              <a:schemeClr val="dk1"/>
                            </a:fontRef>
                          </wps:style>
                          <wps:txbx>
                            <w:txbxContent>
                              <w:p>
                                <w:pPr>
                                  <w:jc w:val="center"/>
                                  <w:rPr>
                                    <w:rFonts w:ascii="宋体" w:hAnsi="宋体" w:eastAsia="宋体"/>
                                    <w:b/>
                                    <w:bCs/>
                                    <w:sz w:val="20"/>
                                    <w:szCs w:val="21"/>
                                  </w:rPr>
                                </w:pPr>
                                <w:r>
                                  <w:rPr>
                                    <w:rFonts w:hint="eastAsia" w:ascii="宋体" w:hAnsi="宋体" w:eastAsia="宋体"/>
                                    <w:b/>
                                    <w:bCs/>
                                    <w:sz w:val="20"/>
                                    <w:szCs w:val="21"/>
                                  </w:rPr>
                                  <w:t>迁移创新</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s:wsp>
                        <wps:cNvPr id="474435256" name="矩形 6"/>
                        <wps:cNvSpPr/>
                        <wps:spPr>
                          <a:xfrm>
                            <a:off x="3732" y="596770"/>
                            <a:ext cx="821094" cy="727788"/>
                          </a:xfrm>
                          <a:prstGeom prst="rect">
                            <a:avLst/>
                          </a:prstGeom>
                        </wps:spPr>
                        <wps:style>
                          <a:lnRef idx="2">
                            <a:schemeClr val="dk1"/>
                          </a:lnRef>
                          <a:fillRef idx="1">
                            <a:schemeClr val="lt1"/>
                          </a:fillRef>
                          <a:effectRef idx="0">
                            <a:schemeClr val="dk1"/>
                          </a:effectRef>
                          <a:fontRef idx="minor">
                            <a:schemeClr val="dk1"/>
                          </a:fontRef>
                        </wps:style>
                        <wps:txbx>
                          <w:txbxContent>
                            <w:p>
                              <w:pPr>
                                <w:jc w:val="center"/>
                                <w:rPr>
                                  <w:rFonts w:ascii="宋体" w:hAnsi="宋体" w:eastAsia="宋体"/>
                                  <w:sz w:val="18"/>
                                  <w:szCs w:val="20"/>
                                </w:rPr>
                              </w:pPr>
                              <w:r>
                                <w:rPr>
                                  <w:rFonts w:hint="eastAsia" w:ascii="宋体" w:hAnsi="宋体" w:eastAsia="宋体"/>
                                  <w:sz w:val="18"/>
                                  <w:szCs w:val="20"/>
                                </w:rPr>
                                <w:t>感知与注意</w:t>
                              </w:r>
                            </w:p>
                            <w:p>
                              <w:pPr>
                                <w:jc w:val="center"/>
                                <w:rPr>
                                  <w:rFonts w:ascii="宋体" w:hAnsi="宋体" w:eastAsia="宋体"/>
                                  <w:sz w:val="18"/>
                                  <w:szCs w:val="20"/>
                                </w:rPr>
                              </w:pPr>
                              <w:r>
                                <w:rPr>
                                  <w:rFonts w:hint="eastAsia" w:ascii="宋体" w:hAnsi="宋体" w:eastAsia="宋体"/>
                                  <w:sz w:val="18"/>
                                  <w:szCs w:val="20"/>
                                </w:rPr>
                                <w:t>获取与梳理</w:t>
                              </w:r>
                            </w:p>
                            <w:p>
                              <w:pPr>
                                <w:jc w:val="center"/>
                                <w:rPr>
                                  <w:rFonts w:ascii="宋体" w:hAnsi="宋体" w:eastAsia="宋体"/>
                                  <w:sz w:val="18"/>
                                  <w:szCs w:val="20"/>
                                </w:rPr>
                              </w:pPr>
                              <w:r>
                                <w:rPr>
                                  <w:rFonts w:hint="eastAsia" w:ascii="宋体" w:hAnsi="宋体" w:eastAsia="宋体"/>
                                  <w:sz w:val="18"/>
                                  <w:szCs w:val="20"/>
                                </w:rPr>
                                <w:t>概括与整合</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25067752" name="矩形 6"/>
                        <wps:cNvSpPr/>
                        <wps:spPr>
                          <a:xfrm>
                            <a:off x="892006" y="593038"/>
                            <a:ext cx="821094" cy="727788"/>
                          </a:xfrm>
                          <a:prstGeom prst="rect">
                            <a:avLst/>
                          </a:prstGeom>
                        </wps:spPr>
                        <wps:style>
                          <a:lnRef idx="2">
                            <a:schemeClr val="dk1"/>
                          </a:lnRef>
                          <a:fillRef idx="1">
                            <a:schemeClr val="lt1"/>
                          </a:fillRef>
                          <a:effectRef idx="0">
                            <a:schemeClr val="dk1"/>
                          </a:effectRef>
                          <a:fontRef idx="minor">
                            <a:schemeClr val="dk1"/>
                          </a:fontRef>
                        </wps:style>
                        <wps:txbx>
                          <w:txbxContent>
                            <w:p>
                              <w:pPr>
                                <w:jc w:val="center"/>
                                <w:rPr>
                                  <w:rFonts w:ascii="宋体" w:hAnsi="宋体" w:eastAsia="宋体"/>
                                  <w:sz w:val="18"/>
                                  <w:szCs w:val="20"/>
                                </w:rPr>
                              </w:pPr>
                              <w:r>
                                <w:rPr>
                                  <w:rFonts w:hint="eastAsia" w:ascii="宋体" w:hAnsi="宋体" w:eastAsia="宋体"/>
                                  <w:sz w:val="18"/>
                                  <w:szCs w:val="20"/>
                                </w:rPr>
                                <w:t>描述与阐释</w:t>
                              </w:r>
                            </w:p>
                            <w:p>
                              <w:pPr>
                                <w:jc w:val="center"/>
                                <w:rPr>
                                  <w:rFonts w:ascii="宋体" w:hAnsi="宋体" w:eastAsia="宋体"/>
                                  <w:sz w:val="18"/>
                                  <w:szCs w:val="20"/>
                                </w:rPr>
                              </w:pPr>
                              <w:r>
                                <w:rPr>
                                  <w:rFonts w:hint="eastAsia" w:ascii="宋体" w:hAnsi="宋体" w:eastAsia="宋体"/>
                                  <w:sz w:val="18"/>
                                  <w:szCs w:val="20"/>
                                </w:rPr>
                                <w:t>分析与判断</w:t>
                              </w:r>
                            </w:p>
                            <w:p>
                              <w:pPr>
                                <w:jc w:val="center"/>
                                <w:rPr>
                                  <w:rFonts w:ascii="宋体" w:hAnsi="宋体" w:eastAsia="宋体"/>
                                  <w:sz w:val="18"/>
                                  <w:szCs w:val="20"/>
                                </w:rPr>
                              </w:pPr>
                              <w:r>
                                <w:rPr>
                                  <w:rFonts w:hint="eastAsia" w:ascii="宋体" w:hAnsi="宋体" w:eastAsia="宋体"/>
                                  <w:sz w:val="18"/>
                                  <w:szCs w:val="20"/>
                                </w:rPr>
                                <w:t>内化与运用</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11385610" name="矩形 6"/>
                        <wps:cNvSpPr/>
                        <wps:spPr>
                          <a:xfrm>
                            <a:off x="1769084" y="593038"/>
                            <a:ext cx="821094" cy="727788"/>
                          </a:xfrm>
                          <a:prstGeom prst="rect">
                            <a:avLst/>
                          </a:prstGeom>
                        </wps:spPr>
                        <wps:style>
                          <a:lnRef idx="2">
                            <a:schemeClr val="dk1"/>
                          </a:lnRef>
                          <a:fillRef idx="1">
                            <a:schemeClr val="lt1"/>
                          </a:fillRef>
                          <a:effectRef idx="0">
                            <a:schemeClr val="dk1"/>
                          </a:effectRef>
                          <a:fontRef idx="minor">
                            <a:schemeClr val="dk1"/>
                          </a:fontRef>
                        </wps:style>
                        <wps:txbx>
                          <w:txbxContent>
                            <w:p>
                              <w:pPr>
                                <w:jc w:val="center"/>
                                <w:rPr>
                                  <w:rFonts w:ascii="宋体" w:hAnsi="宋体" w:eastAsia="宋体"/>
                                  <w:sz w:val="18"/>
                                  <w:szCs w:val="20"/>
                                </w:rPr>
                              </w:pPr>
                              <w:r>
                                <w:rPr>
                                  <w:rFonts w:hint="eastAsia" w:ascii="宋体" w:hAnsi="宋体" w:eastAsia="宋体"/>
                                  <w:sz w:val="18"/>
                                  <w:szCs w:val="20"/>
                                </w:rPr>
                                <w:t>推理与论证</w:t>
                              </w:r>
                            </w:p>
                            <w:p>
                              <w:pPr>
                                <w:jc w:val="center"/>
                                <w:rPr>
                                  <w:rFonts w:ascii="宋体" w:hAnsi="宋体" w:eastAsia="宋体"/>
                                  <w:sz w:val="18"/>
                                  <w:szCs w:val="20"/>
                                </w:rPr>
                              </w:pPr>
                              <w:r>
                                <w:rPr>
                                  <w:rFonts w:hint="eastAsia" w:ascii="宋体" w:hAnsi="宋体" w:eastAsia="宋体"/>
                                  <w:sz w:val="18"/>
                                  <w:szCs w:val="20"/>
                                </w:rPr>
                                <w:t>批判与评价</w:t>
                              </w:r>
                            </w:p>
                            <w:p>
                              <w:pPr>
                                <w:jc w:val="center"/>
                                <w:rPr>
                                  <w:rFonts w:ascii="宋体" w:hAnsi="宋体" w:eastAsia="宋体"/>
                                  <w:sz w:val="18"/>
                                  <w:szCs w:val="20"/>
                                </w:rPr>
                              </w:pPr>
                              <w:r>
                                <w:rPr>
                                  <w:rFonts w:hint="eastAsia" w:ascii="宋体" w:hAnsi="宋体" w:eastAsia="宋体"/>
                                  <w:sz w:val="18"/>
                                  <w:szCs w:val="20"/>
                                </w:rPr>
                                <w:t>想象与创造</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组合 7" o:spid="_x0000_s1026" o:spt="203" style="position:absolute;left:0pt;margin-left:107.95pt;margin-top:9.25pt;height:104.3pt;width:207.45pt;z-index:251660288;mso-width-relative:page;mso-height-relative:page;" coordsize="2634394,1324558" o:gfxdata="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">
                <o:lock v:ext="edit" aspectratio="f"/>
                <v:group id="组合 5" o:spid="_x0000_s1026" o:spt="203" style="position:absolute;left:0;top:0;height:570645;width:2634394;" coordsize="2634394,570645" o:gfxdata="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CNYmsGwgAAAOMAAAAPAAAAAAAAAAEAIAAAACIAAABkcnMvZG93bnJl&#10;di54bWxQSwECFAAUAAAACACHTuJAMy8FnjsAAAA5AAAAFQAAAAAAAAABACAAAAARAQAAZHJzL2dy&#10;b3Vwc2hhcGV4bWwueG1sUEsFBgAAAAAGAAYAYAEAAM4DAAAAAA==&#10;">
                  <o:lock v:ext="edit" aspectratio="f"/>
                  <v:shape id="箭头: 右 4" o:spid="_x0000_s1026" o:spt="13" type="#_x0000_t13" style="position:absolute;left:0;top:0;height:570645;width:880239;v-text-anchor:middle;" fillcolor="#B1CBE9 [3536]" filled="t" stroked="t" coordsize="21600,21600" o:gfxdata="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WUsDw8QAAADjAAAADwAAAAAAAAABACAAAAAiAAAAZHJzL2Rvd25yZXYueG1sUEsBAhQAFAAAAAgA&#10;h07iQDMvBZ47AAAAOQAAABAAAAAAAAAAAQAgAAAAEwEAAGRycy9zaGFwZXhtbC54bWxQSwUGAAAA&#10;AAYABgBbAQAAvQMAAAAA&#10;" adj="14599,5400">
                    <v:fill type="gradient" on="t" color2="#92B9E4 [3376]" colors="0f #B1CBE9;32768f #A3C1E5;65536f #92B9E4" focus="100%" focussize="0,0" rotate="t">
                      <o:fill type="gradientUnscaled" v:ext="backwardCompatible"/>
                    </v:fill>
                    <v:stroke weight="0.5pt" color="#5B9BD5 [3208]" miterlimit="8" joinstyle="miter"/>
                    <v:imagedata o:title=""/>
                    <o:lock v:ext="edit" aspectratio="f"/>
                    <v:textbox>
                      <w:txbxContent>
                        <w:p>
                          <w:pPr>
                            <w:jc w:val="center"/>
                            <w:rPr>
                              <w:rFonts w:ascii="宋体" w:hAnsi="宋体" w:eastAsia="宋体"/>
                              <w:b/>
                              <w:bCs/>
                              <w:sz w:val="20"/>
                              <w:szCs w:val="21"/>
                            </w:rPr>
                          </w:pPr>
                          <w:r>
                            <w:rPr>
                              <w:rFonts w:hint="eastAsia" w:ascii="宋体" w:hAnsi="宋体" w:eastAsia="宋体"/>
                              <w:b/>
                              <w:bCs/>
                              <w:sz w:val="20"/>
                              <w:szCs w:val="21"/>
                            </w:rPr>
                            <w:t>学习理解</w:t>
                          </w:r>
                        </w:p>
                      </w:txbxContent>
                    </v:textbox>
                  </v:shape>
                  <v:shape id="箭头: 右 4" o:spid="_x0000_s1026" o:spt="13" type="#_x0000_t13" style="position:absolute;left:877077;top:0;height:570645;width:880239;v-text-anchor:middle;" fillcolor="#B1CBE9 [3536]" filled="t" stroked="t" coordsize="21600,21600" o:gfxdata="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BBJQe0xgAAAOMAAAAPAAAAAAAAAAEAIAAAACIAAABkcnMvZG93bnJldi54bWxQSwECFAAUAAAA&#10;CACHTuJAMy8FnjsAAAA5AAAAEAAAAAAAAAABACAAAAAVAQAAZHJzL3NoYXBleG1sLnhtbFBLBQYA&#10;AAAABgAGAFsBAAC/AwAAAAA=&#10;" adj="14599,5400">
                    <v:fill type="gradient" on="t" color2="#92B9E4 [3376]" colors="0f #B1CBE9;32768f #A3C1E5;65536f #92B9E4" focus="100%" focussize="0,0" rotate="t">
                      <o:fill type="gradientUnscaled" v:ext="backwardCompatible"/>
                    </v:fill>
                    <v:stroke weight="0.5pt" color="#5B9BD5 [3208]" miterlimit="8" joinstyle="miter"/>
                    <v:imagedata o:title=""/>
                    <o:lock v:ext="edit" aspectratio="f"/>
                    <v:textbox>
                      <w:txbxContent>
                        <w:p>
                          <w:pPr>
                            <w:jc w:val="center"/>
                            <w:rPr>
                              <w:rFonts w:ascii="宋体" w:hAnsi="宋体" w:eastAsia="宋体"/>
                              <w:b/>
                              <w:bCs/>
                              <w:sz w:val="20"/>
                              <w:szCs w:val="21"/>
                            </w:rPr>
                          </w:pPr>
                          <w:r>
                            <w:rPr>
                              <w:rFonts w:hint="eastAsia" w:ascii="宋体" w:hAnsi="宋体" w:eastAsia="宋体"/>
                              <w:b/>
                              <w:bCs/>
                              <w:sz w:val="20"/>
                              <w:szCs w:val="21"/>
                            </w:rPr>
                            <w:t>应用实践</w:t>
                          </w:r>
                        </w:p>
                      </w:txbxContent>
                    </v:textbox>
                  </v:shape>
                  <v:shape id="箭头: 右 4" o:spid="_x0000_s1026" o:spt="13" type="#_x0000_t13" style="position:absolute;left:1754155;top:0;height:570645;width:880239;v-text-anchor:middle;" fillcolor="#B1CBE9 [3536]" filled="t" stroked="t" coordsize="21600,21600" o:gfxdata="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IGjCI/FAAAA4gAAAA8AAAAAAAAAAQAgAAAAIgAAAGRycy9kb3ducmV2LnhtbFBLAQIUABQAAAAI&#10;AIdO4kAzLwWeOwAAADkAAAAQAAAAAAAAAAEAIAAAABQBAABkcnMvc2hhcGV4bWwueG1sUEsFBgAA&#10;AAAGAAYAWwEAAL4DAAAAAA==&#10;" adj="14599,5400">
                    <v:fill type="gradient" on="t" color2="#92B9E4 [3376]" colors="0f #B1CBE9;32768f #A3C1E5;65536f #92B9E4" focus="100%" focussize="0,0" rotate="t">
                      <o:fill type="gradientUnscaled" v:ext="backwardCompatible"/>
                    </v:fill>
                    <v:stroke weight="0.5pt" color="#5B9BD5 [3208]" miterlimit="8" joinstyle="miter"/>
                    <v:imagedata o:title=""/>
                    <o:lock v:ext="edit" aspectratio="f"/>
                    <v:textbox>
                      <w:txbxContent>
                        <w:p>
                          <w:pPr>
                            <w:jc w:val="center"/>
                            <w:rPr>
                              <w:rFonts w:ascii="宋体" w:hAnsi="宋体" w:eastAsia="宋体"/>
                              <w:b/>
                              <w:bCs/>
                              <w:sz w:val="20"/>
                              <w:szCs w:val="21"/>
                            </w:rPr>
                          </w:pPr>
                          <w:r>
                            <w:rPr>
                              <w:rFonts w:hint="eastAsia" w:ascii="宋体" w:hAnsi="宋体" w:eastAsia="宋体"/>
                              <w:b/>
                              <w:bCs/>
                              <w:sz w:val="20"/>
                              <w:szCs w:val="21"/>
                            </w:rPr>
                            <w:t>迁移创新</w:t>
                          </w:r>
                        </w:p>
                      </w:txbxContent>
                    </v:textbox>
                  </v:shape>
                </v:group>
                <v:rect id="矩形 6" o:spid="_x0000_s1026" o:spt="1" style="position:absolute;left:3732;top:596770;height:727788;width:821094;v-text-anchor:middle;" fillcolor="#FFFFFF [3201]" filled="t" stroked="t" coordsize="21600,21600" o:gfxdata="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vsIKvMQAAADiAAAADwAAAAAAAAABACAAAAAiAAAAZHJzL2Rvd25yZXYueG1sUEsBAhQAFAAAAAgA&#10;h07iQDMvBZ47AAAAOQAAABAAAAAAAAAAAQAgAAAAEwEAAGRycy9zaGFwZXhtbC54bWxQSwUGAAAA&#10;AAYABgBbAQAAvQMAAAAA&#10;">
                  <v:fill on="t" focussize="0,0"/>
                  <v:stroke weight="1pt" color="#000000 [3200]" miterlimit="8" joinstyle="miter"/>
                  <v:imagedata o:title=""/>
                  <o:lock v:ext="edit" aspectratio="f"/>
                  <v:textbox>
                    <w:txbxContent>
                      <w:p>
                        <w:pPr>
                          <w:jc w:val="center"/>
                          <w:rPr>
                            <w:rFonts w:ascii="宋体" w:hAnsi="宋体" w:eastAsia="宋体"/>
                            <w:sz w:val="18"/>
                            <w:szCs w:val="20"/>
                          </w:rPr>
                        </w:pPr>
                        <w:r>
                          <w:rPr>
                            <w:rFonts w:hint="eastAsia" w:ascii="宋体" w:hAnsi="宋体" w:eastAsia="宋体"/>
                            <w:sz w:val="18"/>
                            <w:szCs w:val="20"/>
                          </w:rPr>
                          <w:t>感知与注意</w:t>
                        </w:r>
                      </w:p>
                      <w:p>
                        <w:pPr>
                          <w:jc w:val="center"/>
                          <w:rPr>
                            <w:rFonts w:ascii="宋体" w:hAnsi="宋体" w:eastAsia="宋体"/>
                            <w:sz w:val="18"/>
                            <w:szCs w:val="20"/>
                          </w:rPr>
                        </w:pPr>
                        <w:r>
                          <w:rPr>
                            <w:rFonts w:hint="eastAsia" w:ascii="宋体" w:hAnsi="宋体" w:eastAsia="宋体"/>
                            <w:sz w:val="18"/>
                            <w:szCs w:val="20"/>
                          </w:rPr>
                          <w:t>获取与梳理</w:t>
                        </w:r>
                      </w:p>
                      <w:p>
                        <w:pPr>
                          <w:jc w:val="center"/>
                          <w:rPr>
                            <w:rFonts w:ascii="宋体" w:hAnsi="宋体" w:eastAsia="宋体"/>
                            <w:sz w:val="18"/>
                            <w:szCs w:val="20"/>
                          </w:rPr>
                        </w:pPr>
                        <w:r>
                          <w:rPr>
                            <w:rFonts w:hint="eastAsia" w:ascii="宋体" w:hAnsi="宋体" w:eastAsia="宋体"/>
                            <w:sz w:val="18"/>
                            <w:szCs w:val="20"/>
                          </w:rPr>
                          <w:t>概括与整合</w:t>
                        </w:r>
                      </w:p>
                    </w:txbxContent>
                  </v:textbox>
                </v:rect>
                <v:rect id="矩形 6" o:spid="_x0000_s1026" o:spt="1" style="position:absolute;left:892006;top:593038;height:727788;width:821094;v-text-anchor:middle;" fillcolor="#FFFFFF [3201]" filled="t" stroked="t" coordsize="21600,21600" o:gfxdata="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c&#10;deMywwAAAOMAAAAPAAAAAAAAAAEAIAAAACIAAABkcnMvZG93bnJldi54bWxQSwECFAAUAAAACACH&#10;TuJAMy8FnjsAAAA5AAAAEAAAAAAAAAABACAAAAASAQAAZHJzL3NoYXBleG1sLnhtbFBLBQYAAAAA&#10;BgAGAFsBAAC8AwAAAAA=&#10;">
                  <v:fill on="t" focussize="0,0"/>
                  <v:stroke weight="1pt" color="#000000 [3200]" miterlimit="8" joinstyle="miter"/>
                  <v:imagedata o:title=""/>
                  <o:lock v:ext="edit" aspectratio="f"/>
                  <v:textbox>
                    <w:txbxContent>
                      <w:p>
                        <w:pPr>
                          <w:jc w:val="center"/>
                          <w:rPr>
                            <w:rFonts w:ascii="宋体" w:hAnsi="宋体" w:eastAsia="宋体"/>
                            <w:sz w:val="18"/>
                            <w:szCs w:val="20"/>
                          </w:rPr>
                        </w:pPr>
                        <w:r>
                          <w:rPr>
                            <w:rFonts w:hint="eastAsia" w:ascii="宋体" w:hAnsi="宋体" w:eastAsia="宋体"/>
                            <w:sz w:val="18"/>
                            <w:szCs w:val="20"/>
                          </w:rPr>
                          <w:t>描述与阐释</w:t>
                        </w:r>
                      </w:p>
                      <w:p>
                        <w:pPr>
                          <w:jc w:val="center"/>
                          <w:rPr>
                            <w:rFonts w:ascii="宋体" w:hAnsi="宋体" w:eastAsia="宋体"/>
                            <w:sz w:val="18"/>
                            <w:szCs w:val="20"/>
                          </w:rPr>
                        </w:pPr>
                        <w:r>
                          <w:rPr>
                            <w:rFonts w:hint="eastAsia" w:ascii="宋体" w:hAnsi="宋体" w:eastAsia="宋体"/>
                            <w:sz w:val="18"/>
                            <w:szCs w:val="20"/>
                          </w:rPr>
                          <w:t>分析与判断</w:t>
                        </w:r>
                      </w:p>
                      <w:p>
                        <w:pPr>
                          <w:jc w:val="center"/>
                          <w:rPr>
                            <w:rFonts w:ascii="宋体" w:hAnsi="宋体" w:eastAsia="宋体"/>
                            <w:sz w:val="18"/>
                            <w:szCs w:val="20"/>
                          </w:rPr>
                        </w:pPr>
                        <w:r>
                          <w:rPr>
                            <w:rFonts w:hint="eastAsia" w:ascii="宋体" w:hAnsi="宋体" w:eastAsia="宋体"/>
                            <w:sz w:val="18"/>
                            <w:szCs w:val="20"/>
                          </w:rPr>
                          <w:t>内化与运用</w:t>
                        </w:r>
                      </w:p>
                    </w:txbxContent>
                  </v:textbox>
                </v:rect>
                <v:rect id="矩形 6" o:spid="_x0000_s1026" o:spt="1" style="position:absolute;left:1769084;top:593038;height:727788;width:821094;v-text-anchor:middle;" fillcolor="#FFFFFF [3201]" filled="t" stroked="t" coordsize="21600,21600" o:gfxdata="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C&#10;CVRqwwAAAOMAAAAPAAAAAAAAAAEAIAAAACIAAABkcnMvZG93bnJldi54bWxQSwECFAAUAAAACACH&#10;TuJAMy8FnjsAAAA5AAAAEAAAAAAAAAABACAAAAASAQAAZHJzL3NoYXBleG1sLnhtbFBLBQYAAAAA&#10;BgAGAFsBAAC8AwAAAAA=&#10;">
                  <v:fill on="t" focussize="0,0"/>
                  <v:stroke weight="1pt" color="#000000 [3200]" miterlimit="8" joinstyle="miter"/>
                  <v:imagedata o:title=""/>
                  <o:lock v:ext="edit" aspectratio="f"/>
                  <v:textbox>
                    <w:txbxContent>
                      <w:p>
                        <w:pPr>
                          <w:jc w:val="center"/>
                          <w:rPr>
                            <w:rFonts w:ascii="宋体" w:hAnsi="宋体" w:eastAsia="宋体"/>
                            <w:sz w:val="18"/>
                            <w:szCs w:val="20"/>
                          </w:rPr>
                        </w:pPr>
                        <w:r>
                          <w:rPr>
                            <w:rFonts w:hint="eastAsia" w:ascii="宋体" w:hAnsi="宋体" w:eastAsia="宋体"/>
                            <w:sz w:val="18"/>
                            <w:szCs w:val="20"/>
                          </w:rPr>
                          <w:t>推理与论证</w:t>
                        </w:r>
                      </w:p>
                      <w:p>
                        <w:pPr>
                          <w:jc w:val="center"/>
                          <w:rPr>
                            <w:rFonts w:ascii="宋体" w:hAnsi="宋体" w:eastAsia="宋体"/>
                            <w:sz w:val="18"/>
                            <w:szCs w:val="20"/>
                          </w:rPr>
                        </w:pPr>
                        <w:r>
                          <w:rPr>
                            <w:rFonts w:hint="eastAsia" w:ascii="宋体" w:hAnsi="宋体" w:eastAsia="宋体"/>
                            <w:sz w:val="18"/>
                            <w:szCs w:val="20"/>
                          </w:rPr>
                          <w:t>批判与评价</w:t>
                        </w:r>
                      </w:p>
                      <w:p>
                        <w:pPr>
                          <w:jc w:val="center"/>
                          <w:rPr>
                            <w:rFonts w:ascii="宋体" w:hAnsi="宋体" w:eastAsia="宋体"/>
                            <w:sz w:val="18"/>
                            <w:szCs w:val="20"/>
                          </w:rPr>
                        </w:pPr>
                        <w:r>
                          <w:rPr>
                            <w:rFonts w:hint="eastAsia" w:ascii="宋体" w:hAnsi="宋体" w:eastAsia="宋体"/>
                            <w:sz w:val="18"/>
                            <w:szCs w:val="20"/>
                          </w:rPr>
                          <w:t>想象与创造</w:t>
                        </w:r>
                      </w:p>
                    </w:txbxContent>
                  </v:textbox>
                </v:rect>
              </v:group>
            </w:pict>
          </mc:Fallback>
        </mc:AlternateContent>
      </w:r>
    </w:p>
    <w:p>
      <w:pPr>
        <w:spacing w:line="276" w:lineRule="auto"/>
        <w:jc w:val="center"/>
        <w:rPr>
          <w:rFonts w:ascii="Times New Roman" w:hAnsi="Times New Roman" w:eastAsia="宋体" w:cs="Times New Roman"/>
          <w:b/>
          <w:bCs/>
          <w:szCs w:val="21"/>
        </w:rPr>
      </w:pPr>
    </w:p>
    <w:p>
      <w:pPr>
        <w:spacing w:line="276" w:lineRule="auto"/>
        <w:jc w:val="center"/>
        <w:rPr>
          <w:rFonts w:ascii="Times New Roman" w:hAnsi="Times New Roman" w:eastAsia="宋体" w:cs="Times New Roman"/>
          <w:b/>
          <w:bCs/>
          <w:szCs w:val="21"/>
        </w:rPr>
      </w:pPr>
    </w:p>
    <w:p>
      <w:pPr>
        <w:spacing w:line="276" w:lineRule="auto"/>
        <w:jc w:val="center"/>
        <w:rPr>
          <w:rFonts w:ascii="Times New Roman" w:hAnsi="Times New Roman" w:eastAsia="宋体" w:cs="Times New Roman"/>
          <w:b/>
          <w:bCs/>
          <w:szCs w:val="21"/>
        </w:rPr>
      </w:pPr>
    </w:p>
    <w:p>
      <w:pPr>
        <w:spacing w:line="276" w:lineRule="auto"/>
        <w:jc w:val="center"/>
        <w:rPr>
          <w:rFonts w:ascii="Times New Roman" w:hAnsi="Times New Roman" w:eastAsia="宋体" w:cs="Times New Roman"/>
          <w:b/>
          <w:bCs/>
          <w:szCs w:val="21"/>
        </w:rPr>
      </w:pPr>
    </w:p>
    <w:p>
      <w:pPr>
        <w:spacing w:line="276" w:lineRule="auto"/>
        <w:jc w:val="center"/>
        <w:rPr>
          <w:rFonts w:ascii="Times New Roman" w:hAnsi="Times New Roman" w:eastAsia="宋体" w:cs="Times New Roman"/>
          <w:b/>
          <w:bCs/>
          <w:szCs w:val="21"/>
        </w:rPr>
      </w:pPr>
    </w:p>
    <w:p>
      <w:pPr>
        <w:spacing w:line="276" w:lineRule="auto"/>
        <w:jc w:val="center"/>
        <w:rPr>
          <w:rFonts w:ascii="Times New Roman" w:hAnsi="Times New Roman" w:eastAsia="宋体" w:cs="Times New Roman"/>
          <w:sz w:val="24"/>
          <w:szCs w:val="24"/>
        </w:rPr>
      </w:pP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（1）学习理解：理解如何道歉及回应道歉，并拓展核心语言句型。</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首先，学生通过看和记忆有关的趣味视频并回答教师提问，识别视频中女士出现了什么问题，是哪种记忆不好，引入话题。之后，学生集体朗读书本对话内容，熟悉语篇内容，并根据对话的内容，理解话语的功能意念。然后，学生在教师的引导下，梳理、归纳并拓展对话的核心语言句型。最后，教师邀请学生朗读部分句型，感受功能意念背后的情感态度。</w:t>
      </w:r>
    </w:p>
    <w:p>
      <w:pPr>
        <w:spacing w:line="276" w:lineRule="auto"/>
        <w:jc w:val="center"/>
        <w:rPr>
          <w:rFonts w:ascii="Times New Roman" w:hAnsi="Times New Roman" w:eastAsia="宋体" w:cs="Times New Roman"/>
          <w:b/>
          <w:bCs/>
          <w:szCs w:val="21"/>
        </w:rPr>
      </w:pPr>
      <w:r>
        <w:rPr>
          <w:rFonts w:hint="eastAsia" w:ascii="Times New Roman" w:hAnsi="Times New Roman" w:eastAsia="宋体" w:cs="Times New Roman"/>
          <w:b/>
          <w:bCs/>
          <w:szCs w:val="21"/>
        </w:rPr>
        <w:t>表</w:t>
      </w:r>
      <w:r>
        <w:rPr>
          <w:rFonts w:ascii="Times New Roman" w:hAnsi="Times New Roman" w:eastAsia="宋体" w:cs="Times New Roman"/>
          <w:b/>
          <w:bCs/>
          <w:szCs w:val="21"/>
        </w:rPr>
        <w:t>3</w:t>
      </w:r>
      <w:r>
        <w:rPr>
          <w:rFonts w:hint="eastAsia" w:ascii="Times New Roman" w:hAnsi="Times New Roman" w:eastAsia="宋体" w:cs="Times New Roman"/>
          <w:b/>
          <w:bCs/>
          <w:szCs w:val="21"/>
        </w:rPr>
        <w:t>：学习理解环节活动流程图</w:t>
      </w:r>
    </w:p>
    <w:p>
      <w:pPr>
        <w:spacing w:line="276" w:lineRule="auto"/>
        <w:jc w:val="center"/>
        <w:rPr>
          <w:rFonts w:ascii="Times New Roman" w:hAnsi="Times New Roman" w:eastAsia="宋体" w:cs="Times New Roman"/>
          <w:b/>
          <w:bCs/>
          <w:szCs w:val="21"/>
        </w:rPr>
      </w:pPr>
      <w:r>
        <w:rPr>
          <w:rFonts w:ascii="Times New Roman" w:hAnsi="Times New Roman" w:eastAsia="宋体" w:cs="Times New Roman"/>
          <w:b/>
          <w:bCs/>
          <w:szCs w:val="21"/>
        </w:rPr>
        <mc:AlternateContent>
          <mc:Choice Requires="wpg">
            <w:drawing>
              <wp:anchor distT="0" distB="0" distL="114300" distR="114300" simplePos="0" relativeHeight="251659264" behindDoc="0" locked="0" layoutInCell="1" allowOverlap="1">
                <wp:simplePos x="0" y="0"/>
                <wp:positionH relativeFrom="column">
                  <wp:posOffset>535940</wp:posOffset>
                </wp:positionH>
                <wp:positionV relativeFrom="paragraph">
                  <wp:posOffset>89535</wp:posOffset>
                </wp:positionV>
                <wp:extent cx="4489450" cy="559435"/>
                <wp:effectExtent l="0" t="0" r="25400" b="12700"/>
                <wp:wrapNone/>
                <wp:docPr id="1102507113" name="组合 8"/>
                <wp:cNvGraphicFramePr/>
                <a:graphic xmlns:a="http://schemas.openxmlformats.org/drawingml/2006/main">
                  <a:graphicData uri="http://schemas.microsoft.com/office/word/2010/wordprocessingGroup">
                    <wpg:wgp>
                      <wpg:cNvGrpSpPr/>
                      <wpg:grpSpPr>
                        <a:xfrm>
                          <a:off x="0" y="0"/>
                          <a:ext cx="4489463" cy="559280"/>
                          <a:chOff x="0" y="0"/>
                          <a:chExt cx="4489463" cy="559280"/>
                        </a:xfrm>
                      </wpg:grpSpPr>
                      <wps:wsp>
                        <wps:cNvPr id="933295559" name="标注: 右箭头 2"/>
                        <wps:cNvSpPr/>
                        <wps:spPr>
                          <a:xfrm>
                            <a:off x="0" y="0"/>
                            <a:ext cx="1033780" cy="541020"/>
                          </a:xfrm>
                          <a:prstGeom prst="rightArrowCallout">
                            <a:avLst>
                              <a:gd name="adj1" fmla="val 25000"/>
                              <a:gd name="adj2" fmla="val 25000"/>
                              <a:gd name="adj3" fmla="val 25000"/>
                              <a:gd name="adj4" fmla="val 55229"/>
                            </a:avLst>
                          </a:prstGeom>
                        </wps:spPr>
                        <wps:style>
                          <a:lnRef idx="2">
                            <a:schemeClr val="dk1"/>
                          </a:lnRef>
                          <a:fillRef idx="1">
                            <a:schemeClr val="lt1"/>
                          </a:fillRef>
                          <a:effectRef idx="0">
                            <a:schemeClr val="dk1"/>
                          </a:effectRef>
                          <a:fontRef idx="minor">
                            <a:schemeClr val="dk1"/>
                          </a:fontRef>
                        </wps:style>
                        <wps:txbx>
                          <w:txbxContent>
                            <w:p>
                              <w:pPr>
                                <w:jc w:val="center"/>
                                <w:rPr>
                                  <w:rFonts w:ascii="宋体" w:hAnsi="宋体" w:eastAsia="宋体"/>
                                  <w:sz w:val="20"/>
                                  <w:szCs w:val="20"/>
                                </w:rPr>
                              </w:pPr>
                              <w:r>
                                <w:rPr>
                                  <w:rFonts w:hint="eastAsia" w:ascii="宋体" w:hAnsi="宋体" w:eastAsia="宋体"/>
                                  <w:sz w:val="20"/>
                                  <w:szCs w:val="20"/>
                                </w:rPr>
                                <w:t>引入</w:t>
                              </w:r>
                            </w:p>
                            <w:p>
                              <w:pPr>
                                <w:jc w:val="center"/>
                                <w:rPr>
                                  <w:rFonts w:ascii="宋体" w:hAnsi="宋体" w:eastAsia="宋体"/>
                                  <w:sz w:val="20"/>
                                  <w:szCs w:val="20"/>
                                </w:rPr>
                              </w:pPr>
                              <w:r>
                                <w:rPr>
                                  <w:rFonts w:hint="eastAsia" w:ascii="宋体" w:hAnsi="宋体" w:eastAsia="宋体"/>
                                  <w:sz w:val="20"/>
                                  <w:szCs w:val="20"/>
                                </w:rPr>
                                <w:t>话题</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5980657" name="标注: 右箭头 2"/>
                        <wps:cNvSpPr/>
                        <wps:spPr>
                          <a:xfrm>
                            <a:off x="1052493" y="7465"/>
                            <a:ext cx="1163955" cy="541020"/>
                          </a:xfrm>
                          <a:prstGeom prst="rightArrowCallout">
                            <a:avLst>
                              <a:gd name="adj1" fmla="val 25000"/>
                              <a:gd name="adj2" fmla="val 25000"/>
                              <a:gd name="adj3" fmla="val 25000"/>
                              <a:gd name="adj4" fmla="val 63162"/>
                            </a:avLst>
                          </a:prstGeom>
                        </wps:spPr>
                        <wps:style>
                          <a:lnRef idx="2">
                            <a:schemeClr val="dk1"/>
                          </a:lnRef>
                          <a:fillRef idx="1">
                            <a:schemeClr val="lt1"/>
                          </a:fillRef>
                          <a:effectRef idx="0">
                            <a:schemeClr val="dk1"/>
                          </a:effectRef>
                          <a:fontRef idx="minor">
                            <a:schemeClr val="dk1"/>
                          </a:fontRef>
                        </wps:style>
                        <wps:txbx>
                          <w:txbxContent>
                            <w:p>
                              <w:pPr>
                                <w:jc w:val="center"/>
                                <w:rPr>
                                  <w:rFonts w:ascii="宋体" w:hAnsi="宋体" w:eastAsia="宋体"/>
                                  <w:sz w:val="20"/>
                                  <w:szCs w:val="21"/>
                                </w:rPr>
                              </w:pPr>
                              <w:r>
                                <w:rPr>
                                  <w:rFonts w:hint="eastAsia" w:ascii="宋体" w:hAnsi="宋体" w:eastAsia="宋体"/>
                                  <w:sz w:val="20"/>
                                  <w:szCs w:val="21"/>
                                </w:rPr>
                                <w:t>理解</w:t>
                              </w:r>
                            </w:p>
                            <w:p>
                              <w:pPr>
                                <w:jc w:val="center"/>
                                <w:rPr>
                                  <w:rFonts w:ascii="宋体" w:hAnsi="宋体" w:eastAsia="宋体"/>
                                  <w:sz w:val="20"/>
                                  <w:szCs w:val="21"/>
                                </w:rPr>
                              </w:pPr>
                              <w:r>
                                <w:rPr>
                                  <w:rFonts w:hint="eastAsia" w:ascii="宋体" w:hAnsi="宋体" w:eastAsia="宋体"/>
                                  <w:sz w:val="20"/>
                                  <w:szCs w:val="21"/>
                                </w:rPr>
                                <w:t>功能意念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87017491" name="标注: 右箭头 2"/>
                        <wps:cNvSpPr/>
                        <wps:spPr>
                          <a:xfrm>
                            <a:off x="2239347" y="14929"/>
                            <a:ext cx="1238885" cy="541020"/>
                          </a:xfrm>
                          <a:prstGeom prst="rightArrowCallout">
                            <a:avLst>
                              <a:gd name="adj1" fmla="val 25000"/>
                              <a:gd name="adj2" fmla="val 25000"/>
                              <a:gd name="adj3" fmla="val 25000"/>
                              <a:gd name="adj4" fmla="val 67634"/>
                            </a:avLst>
                          </a:prstGeom>
                        </wps:spPr>
                        <wps:style>
                          <a:lnRef idx="2">
                            <a:schemeClr val="dk1"/>
                          </a:lnRef>
                          <a:fillRef idx="1">
                            <a:schemeClr val="lt1"/>
                          </a:fillRef>
                          <a:effectRef idx="0">
                            <a:schemeClr val="dk1"/>
                          </a:effectRef>
                          <a:fontRef idx="minor">
                            <a:schemeClr val="dk1"/>
                          </a:fontRef>
                        </wps:style>
                        <wps:txbx>
                          <w:txbxContent>
                            <w:p>
                              <w:pPr>
                                <w:jc w:val="center"/>
                                <w:rPr>
                                  <w:rFonts w:ascii="宋体" w:hAnsi="宋体" w:eastAsia="宋体"/>
                                  <w:sz w:val="20"/>
                                  <w:szCs w:val="21"/>
                                </w:rPr>
                              </w:pPr>
                              <w:r>
                                <w:rPr>
                                  <w:rFonts w:hint="eastAsia" w:ascii="宋体" w:hAnsi="宋体" w:eastAsia="宋体"/>
                                  <w:sz w:val="20"/>
                                  <w:szCs w:val="21"/>
                                </w:rPr>
                                <w:t>梳理、拓展核心句型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23970961" name="矩形 3"/>
                        <wps:cNvSpPr/>
                        <wps:spPr>
                          <a:xfrm>
                            <a:off x="3504578" y="7465"/>
                            <a:ext cx="984885" cy="551815"/>
                          </a:xfrm>
                          <a:prstGeom prst="rect">
                            <a:avLst/>
                          </a:prstGeom>
                        </wps:spPr>
                        <wps:style>
                          <a:lnRef idx="2">
                            <a:schemeClr val="dk1"/>
                          </a:lnRef>
                          <a:fillRef idx="1">
                            <a:schemeClr val="lt1"/>
                          </a:fillRef>
                          <a:effectRef idx="0">
                            <a:schemeClr val="dk1"/>
                          </a:effectRef>
                          <a:fontRef idx="minor">
                            <a:schemeClr val="dk1"/>
                          </a:fontRef>
                        </wps:style>
                        <wps:txbx>
                          <w:txbxContent>
                            <w:p>
                              <w:pPr>
                                <w:jc w:val="center"/>
                                <w:rPr>
                                  <w:rFonts w:ascii="宋体" w:hAnsi="宋体" w:eastAsia="宋体"/>
                                  <w:sz w:val="20"/>
                                  <w:szCs w:val="21"/>
                                </w:rPr>
                              </w:pPr>
                              <w:r>
                                <w:rPr>
                                  <w:rFonts w:hint="eastAsia" w:ascii="宋体" w:hAnsi="宋体" w:eastAsia="宋体"/>
                                  <w:sz w:val="20"/>
                                  <w:szCs w:val="21"/>
                                </w:rPr>
                                <w:t>理解话语背后的情感态度</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组合 8" o:spid="_x0000_s1026" o:spt="203" style="position:absolute;left:0pt;margin-left:42.2pt;margin-top:7.05pt;height:44.05pt;width:353.5pt;z-index:251659264;mso-width-relative:page;mso-height-relative:page;" coordsize="4489463,559280" o:gfxdata="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">
                <o:lock v:ext="edit" aspectratio="f"/>
                <v:shape id="标注: 右箭头 2" o:spid="_x0000_s1026" o:spt="78" type="#_x0000_t78" style="position:absolute;left:0;top:0;height:541020;width:1033780;v-text-anchor:middle;" fillcolor="#FFFFFF [3201]" filled="t" stroked="t" coordsize="21600,21600" o:gfxdata="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K&#10;8mC7wwAAAOIAAAAPAAAAAAAAAAEAIAAAACIAAABkcnMvZG93bnJldi54bWxQSwECFAAUAAAACACH&#10;TuJAMy8FnjsAAAA5AAAAEAAAAAAAAAABACAAAAASAQAAZHJzL3NoYXBleG1sLnhtbFBLBQYAAAAA&#10;BgAGAFsBAAC8AwAAAAA=&#10;" adj="11929,5400,18774,8100">
                  <v:fill on="t" focussize="0,0"/>
                  <v:stroke weight="1pt" color="#000000 [3200]" miterlimit="8" joinstyle="miter"/>
                  <v:imagedata o:title=""/>
                  <o:lock v:ext="edit" aspectratio="f"/>
                  <v:textbox>
                    <w:txbxContent>
                      <w:p>
                        <w:pPr>
                          <w:jc w:val="center"/>
                          <w:rPr>
                            <w:rFonts w:ascii="宋体" w:hAnsi="宋体" w:eastAsia="宋体"/>
                            <w:sz w:val="20"/>
                            <w:szCs w:val="20"/>
                          </w:rPr>
                        </w:pPr>
                        <w:r>
                          <w:rPr>
                            <w:rFonts w:hint="eastAsia" w:ascii="宋体" w:hAnsi="宋体" w:eastAsia="宋体"/>
                            <w:sz w:val="20"/>
                            <w:szCs w:val="20"/>
                          </w:rPr>
                          <w:t>引入</w:t>
                        </w:r>
                      </w:p>
                      <w:p>
                        <w:pPr>
                          <w:jc w:val="center"/>
                          <w:rPr>
                            <w:rFonts w:ascii="宋体" w:hAnsi="宋体" w:eastAsia="宋体"/>
                            <w:sz w:val="20"/>
                            <w:szCs w:val="20"/>
                          </w:rPr>
                        </w:pPr>
                        <w:r>
                          <w:rPr>
                            <w:rFonts w:hint="eastAsia" w:ascii="宋体" w:hAnsi="宋体" w:eastAsia="宋体"/>
                            <w:sz w:val="20"/>
                            <w:szCs w:val="20"/>
                          </w:rPr>
                          <w:t>话题</w:t>
                        </w:r>
                      </w:p>
                    </w:txbxContent>
                  </v:textbox>
                </v:shape>
                <v:shape id="标注: 右箭头 2" o:spid="_x0000_s1026" o:spt="78" type="#_x0000_t78" style="position:absolute;left:1052493;top:7465;height:541020;width:1163955;v-text-anchor:middle;" fillcolor="#FFFFFF [3201]" filled="t" stroked="t" coordsize="21600,21600" o:gfxdata="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hsEQ&#10;wAAAAOIAAAAPAAAAAAAAAAEAIAAAACIAAABkcnMvZG93bnJldi54bWxQSwECFAAUAAAACACHTuJA&#10;My8FnjsAAAA5AAAAEAAAAAAAAAABACAAAAAPAQAAZHJzL3NoYXBleG1sLnhtbFBLBQYAAAAABgAG&#10;AFsBAAC5AwAAAAA=&#10;" adj="13643,5400,19091,8100">
                  <v:fill on="t" focussize="0,0"/>
                  <v:stroke weight="1pt" color="#000000 [3200]" miterlimit="8" joinstyle="miter"/>
                  <v:imagedata o:title=""/>
                  <o:lock v:ext="edit" aspectratio="f"/>
                  <v:textbox>
                    <w:txbxContent>
                      <w:p>
                        <w:pPr>
                          <w:jc w:val="center"/>
                          <w:rPr>
                            <w:rFonts w:ascii="宋体" w:hAnsi="宋体" w:eastAsia="宋体"/>
                            <w:sz w:val="20"/>
                            <w:szCs w:val="21"/>
                          </w:rPr>
                        </w:pPr>
                        <w:r>
                          <w:rPr>
                            <w:rFonts w:hint="eastAsia" w:ascii="宋体" w:hAnsi="宋体" w:eastAsia="宋体"/>
                            <w:sz w:val="20"/>
                            <w:szCs w:val="21"/>
                          </w:rPr>
                          <w:t>理解</w:t>
                        </w:r>
                      </w:p>
                      <w:p>
                        <w:pPr>
                          <w:jc w:val="center"/>
                          <w:rPr>
                            <w:rFonts w:ascii="宋体" w:hAnsi="宋体" w:eastAsia="宋体"/>
                            <w:sz w:val="20"/>
                            <w:szCs w:val="21"/>
                          </w:rPr>
                        </w:pPr>
                        <w:r>
                          <w:rPr>
                            <w:rFonts w:hint="eastAsia" w:ascii="宋体" w:hAnsi="宋体" w:eastAsia="宋体"/>
                            <w:sz w:val="20"/>
                            <w:szCs w:val="21"/>
                          </w:rPr>
                          <w:t>功能意念</w:t>
                        </w:r>
                      </w:p>
                    </w:txbxContent>
                  </v:textbox>
                </v:shape>
                <v:shape id="标注: 右箭头 2" o:spid="_x0000_s1026" o:spt="78" type="#_x0000_t78" style="position:absolute;left:2239347;top:14929;height:541020;width:1238885;v-text-anchor:middle;" fillcolor="#FFFFFF [3201]" filled="t" stroked="t" coordsize="21600,21600" o:gfxdata="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BBvOCYxgAAAOMAAAAPAAAAAAAAAAEAIAAAACIAAABkcnMvZG93bnJldi54bWxQSwECFAAUAAAA&#10;CACHTuJAMy8FnjsAAAA5AAAAEAAAAAAAAAABACAAAAAVAQAAZHJzL3NoYXBleG1sLnhtbFBLBQYA&#10;AAAABgAGAFsBAAC/AwAAAAA=&#10;" adj="14609,5400,19242,8100">
                  <v:fill on="t" focussize="0,0"/>
                  <v:stroke weight="1pt" color="#000000 [3200]" miterlimit="8" joinstyle="miter"/>
                  <v:imagedata o:title=""/>
                  <o:lock v:ext="edit" aspectratio="f"/>
                  <v:textbox>
                    <w:txbxContent>
                      <w:p>
                        <w:pPr>
                          <w:jc w:val="center"/>
                          <w:rPr>
                            <w:rFonts w:ascii="宋体" w:hAnsi="宋体" w:eastAsia="宋体"/>
                            <w:sz w:val="20"/>
                            <w:szCs w:val="21"/>
                          </w:rPr>
                        </w:pPr>
                        <w:r>
                          <w:rPr>
                            <w:rFonts w:hint="eastAsia" w:ascii="宋体" w:hAnsi="宋体" w:eastAsia="宋体"/>
                            <w:sz w:val="20"/>
                            <w:szCs w:val="21"/>
                          </w:rPr>
                          <w:t>梳理、拓展核心句型</w:t>
                        </w:r>
                      </w:p>
                    </w:txbxContent>
                  </v:textbox>
                </v:shape>
                <v:rect id="矩形 3" o:spid="_x0000_s1026" o:spt="1" style="position:absolute;left:3504578;top:7465;height:551815;width:984885;v-text-anchor:middle;" fillcolor="#FFFFFF [3201]" filled="t" stroked="t" coordsize="21600,21600" o:gfxdata="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Wob&#10;OcEAAADjAAAADwAAAAAAAAABACAAAAAiAAAAZHJzL2Rvd25yZXYueG1sUEsBAhQAFAAAAAgAh07i&#10;QDMvBZ47AAAAOQAAABAAAAAAAAAAAQAgAAAAEAEAAGRycy9zaGFwZXhtbC54bWxQSwUGAAAAAAYA&#10;BgBbAQAAugMAAAAA&#10;">
                  <v:fill on="t" focussize="0,0"/>
                  <v:stroke weight="1pt" color="#000000 [3200]" miterlimit="8" joinstyle="miter"/>
                  <v:imagedata o:title=""/>
                  <o:lock v:ext="edit" aspectratio="f"/>
                  <v:textbox>
                    <w:txbxContent>
                      <w:p>
                        <w:pPr>
                          <w:jc w:val="center"/>
                          <w:rPr>
                            <w:rFonts w:ascii="宋体" w:hAnsi="宋体" w:eastAsia="宋体"/>
                            <w:sz w:val="20"/>
                            <w:szCs w:val="21"/>
                          </w:rPr>
                        </w:pPr>
                        <w:r>
                          <w:rPr>
                            <w:rFonts w:hint="eastAsia" w:ascii="宋体" w:hAnsi="宋体" w:eastAsia="宋体"/>
                            <w:sz w:val="20"/>
                            <w:szCs w:val="21"/>
                          </w:rPr>
                          <w:t>理解话语背后的情感态度</w:t>
                        </w:r>
                      </w:p>
                    </w:txbxContent>
                  </v:textbox>
                </v:rect>
              </v:group>
            </w:pict>
          </mc:Fallback>
        </mc:AlternateContent>
      </w:r>
    </w:p>
    <w:p>
      <w:pPr>
        <w:spacing w:line="276" w:lineRule="auto"/>
        <w:jc w:val="center"/>
        <w:rPr>
          <w:rFonts w:ascii="Times New Roman" w:hAnsi="Times New Roman" w:eastAsia="宋体" w:cs="Times New Roman"/>
          <w:b/>
          <w:bCs/>
          <w:szCs w:val="21"/>
        </w:rPr>
      </w:pPr>
    </w:p>
    <w:p>
      <w:pPr>
        <w:spacing w:line="276" w:lineRule="auto"/>
        <w:rPr>
          <w:rFonts w:ascii="Times New Roman" w:hAnsi="Times New Roman" w:eastAsia="宋体" w:cs="Times New Roman"/>
          <w:b/>
          <w:bCs/>
          <w:szCs w:val="21"/>
        </w:rPr>
      </w:pPr>
    </w:p>
    <w:p>
      <w:pPr>
        <w:spacing w:line="276" w:lineRule="auto"/>
        <w:rPr>
          <w:rFonts w:ascii="Times New Roman" w:hAnsi="Times New Roman" w:eastAsia="宋体" w:cs="Times New Roman"/>
          <w:b/>
          <w:bCs/>
          <w:szCs w:val="21"/>
        </w:rPr>
      </w:pP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w:t>
      </w:r>
      <w:r>
        <w:rPr>
          <w:rFonts w:ascii="Times New Roman" w:hAnsi="Times New Roman" w:eastAsia="宋体" w:cs="Times New Roman"/>
          <w:sz w:val="24"/>
          <w:szCs w:val="24"/>
        </w:rPr>
        <w:t>2</w:t>
      </w:r>
      <w:r>
        <w:rPr>
          <w:rFonts w:hint="eastAsia" w:ascii="Times New Roman" w:hAnsi="Times New Roman" w:eastAsia="宋体" w:cs="Times New Roman"/>
          <w:sz w:val="24"/>
          <w:szCs w:val="24"/>
        </w:rPr>
        <w:t>）应用实践：分角色扮演关于道歉的对话，并简要谈论人物犯错的原因及解决办法。</w:t>
      </w:r>
    </w:p>
    <w:p>
      <w:pPr>
        <w:spacing w:line="276" w:lineRule="auto"/>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在这一环节，学生根据所给情境及对于功能意念的提示，两人一组，运用相应句型，分角色扮演关于道歉的对话。教师所给情境为：</w:t>
      </w:r>
      <w:r>
        <w:rPr>
          <w:rFonts w:ascii="Times New Roman" w:hAnsi="Times New Roman" w:eastAsia="宋体" w:cs="Times New Roman"/>
          <w:sz w:val="24"/>
          <w:szCs w:val="24"/>
        </w:rPr>
        <w:t>Kitty has lost Ben’s pen. She can’t remember where she puts it.</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She couldn’t find Ben’s mobile phone. Her memory is bad these days. </w:t>
      </w:r>
    </w:p>
    <w:p>
      <w:pPr>
        <w:spacing w:line="276"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在此对话中，学生需要和课本所给对话一样，进行两轮道歉，其中一个会被接受，另一个会被拒绝。在这一环节中，学生能够将上一环节所学内容进行实践，从而巩固对于话语功能意念的理解，以及相应句型的掌握。</w:t>
      </w:r>
    </w:p>
    <w:p>
      <w:pPr>
        <w:spacing w:line="276"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在这之后，教师引导学生简要谈论对话中</w:t>
      </w:r>
      <w:r>
        <w:rPr>
          <w:rFonts w:ascii="Times New Roman" w:hAnsi="Times New Roman" w:eastAsia="宋体" w:cs="Times New Roman"/>
          <w:sz w:val="24"/>
          <w:szCs w:val="24"/>
        </w:rPr>
        <w:t>Kitty犯错的根本性原因，及解决办法，体会对话语篇背后隐含的意义。</w:t>
      </w:r>
    </w:p>
    <w:p>
      <w:pPr>
        <w:spacing w:line="276" w:lineRule="auto"/>
        <w:ind w:firstLine="240" w:firstLineChars="100"/>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3</w:t>
      </w:r>
      <w:r>
        <w:rPr>
          <w:rFonts w:hint="eastAsia" w:ascii="Times New Roman" w:hAnsi="Times New Roman" w:eastAsia="宋体" w:cs="Times New Roman"/>
          <w:sz w:val="24"/>
          <w:szCs w:val="24"/>
        </w:rPr>
        <w:t>）迁移创新：在小组内演出生活中真实发生的道歉情境。</w:t>
      </w:r>
    </w:p>
    <w:p>
      <w:pPr>
        <w:spacing w:line="276"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学生以</w:t>
      </w:r>
      <w:r>
        <w:rPr>
          <w:rFonts w:ascii="Times New Roman" w:hAnsi="Times New Roman" w:eastAsia="宋体" w:cs="Times New Roman"/>
          <w:sz w:val="24"/>
          <w:szCs w:val="24"/>
        </w:rPr>
        <w:t>2人小组的形式，根据本节课生成的检查表和句型，演出生活中真实发生的道歉情境，并进行回应。</w:t>
      </w:r>
      <w:r>
        <w:rPr>
          <w:rFonts w:hint="eastAsia" w:ascii="Times New Roman" w:hAnsi="Times New Roman" w:eastAsia="宋体" w:cs="Times New Roman"/>
          <w:sz w:val="24"/>
          <w:szCs w:val="24"/>
        </w:rPr>
        <w:t>之后，</w:t>
      </w:r>
      <w:r>
        <w:rPr>
          <w:rFonts w:ascii="Times New Roman" w:hAnsi="Times New Roman" w:eastAsia="宋体" w:cs="Times New Roman"/>
          <w:sz w:val="24"/>
          <w:szCs w:val="24"/>
        </w:rPr>
        <w:t>小组成员在全班展示对话内容，</w:t>
      </w:r>
      <w:r>
        <w:rPr>
          <w:rFonts w:hint="eastAsia" w:ascii="Times New Roman" w:hAnsi="Times New Roman" w:eastAsia="宋体" w:cs="Times New Roman"/>
          <w:sz w:val="24"/>
          <w:szCs w:val="24"/>
        </w:rPr>
        <w:t>教师根据学习检查表，</w:t>
      </w:r>
      <w:r>
        <w:rPr>
          <w:rFonts w:ascii="Times New Roman" w:hAnsi="Times New Roman" w:eastAsia="宋体" w:cs="Times New Roman"/>
          <w:sz w:val="24"/>
          <w:szCs w:val="24"/>
        </w:rPr>
        <w:t>邀请其他同学进行评价</w:t>
      </w:r>
      <w:r>
        <w:rPr>
          <w:rFonts w:hint="eastAsia" w:ascii="Times New Roman" w:hAnsi="Times New Roman" w:eastAsia="宋体" w:cs="Times New Roman"/>
          <w:sz w:val="24"/>
          <w:szCs w:val="24"/>
        </w:rPr>
        <w:t>，并进行适当地引导和补充</w:t>
      </w:r>
      <w:r>
        <w:rPr>
          <w:rFonts w:ascii="Times New Roman" w:hAnsi="Times New Roman" w:eastAsia="宋体" w:cs="Times New Roman"/>
          <w:sz w:val="24"/>
          <w:szCs w:val="24"/>
        </w:rPr>
        <w:t>。</w:t>
      </w:r>
    </w:p>
    <w:p>
      <w:pPr>
        <w:spacing w:line="276" w:lineRule="auto"/>
        <w:rPr>
          <w:rFonts w:ascii="Times New Roman" w:hAnsi="Times New Roman" w:eastAsia="宋体" w:cs="Times New Roman"/>
          <w:sz w:val="24"/>
          <w:szCs w:val="24"/>
        </w:rPr>
      </w:pPr>
      <w:r>
        <w:rPr>
          <w:rFonts w:ascii="Times New Roman" w:hAnsi="Times New Roman" w:eastAsia="宋体" w:cs="Times New Roman"/>
          <w:sz w:val="24"/>
          <w:szCs w:val="24"/>
        </w:rPr>
        <w:t xml:space="preserve">3. </w:t>
      </w:r>
      <w:r>
        <w:rPr>
          <w:rFonts w:hint="eastAsia" w:ascii="Times New Roman" w:hAnsi="Times New Roman" w:eastAsia="宋体" w:cs="Times New Roman"/>
          <w:sz w:val="24"/>
          <w:szCs w:val="24"/>
        </w:rPr>
        <w:t>落实学生中心，引导自主评价</w:t>
      </w:r>
    </w:p>
    <w:p>
      <w:pPr>
        <w:spacing w:line="27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在口语教学课的设计中，教师要鼓励学生参与评价标准的协商与制定，从评价的接受者转变为评价活动的主体和积极参与者，而有效调控自己的学习进程并从中获得成就感和自信心（王蔷、李亮，</w:t>
      </w:r>
      <w:r>
        <w:rPr>
          <w:rFonts w:ascii="Times New Roman" w:hAnsi="Times New Roman" w:eastAsia="宋体" w:cs="Times New Roman"/>
          <w:sz w:val="24"/>
          <w:szCs w:val="24"/>
        </w:rPr>
        <w:t>2019）</w:t>
      </w:r>
      <w:r>
        <w:rPr>
          <w:rFonts w:hint="eastAsia" w:ascii="Times New Roman" w:hAnsi="Times New Roman" w:eastAsia="宋体" w:cs="Times New Roman"/>
          <w:sz w:val="24"/>
          <w:szCs w:val="24"/>
        </w:rPr>
        <w:t>。</w:t>
      </w:r>
    </w:p>
    <w:p>
      <w:pPr>
        <w:spacing w:line="27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以本节课为例，最终输出环节中学习评价表的大部分内容，由教师进行预设，最终由学生在学习的过程中自主生成，或在教师的引导下，由学生生成。学生通过课堂的生成，主动习得相应的核心素养。</w:t>
      </w:r>
    </w:p>
    <w:p>
      <w:pPr>
        <w:spacing w:line="276" w:lineRule="auto"/>
        <w:jc w:val="center"/>
        <w:rPr>
          <w:rFonts w:ascii="Times New Roman" w:hAnsi="Times New Roman" w:eastAsia="宋体" w:cs="Times New Roman"/>
          <w:b/>
          <w:bCs/>
          <w:szCs w:val="21"/>
        </w:rPr>
      </w:pPr>
      <w:r>
        <w:rPr>
          <w:rFonts w:hint="eastAsia" w:ascii="Times New Roman" w:hAnsi="Times New Roman" w:eastAsia="宋体" w:cs="Times New Roman"/>
          <w:b/>
          <w:bCs/>
          <w:szCs w:val="21"/>
        </w:rPr>
        <w:t>表</w:t>
      </w:r>
      <w:r>
        <w:rPr>
          <w:rFonts w:ascii="Times New Roman" w:hAnsi="Times New Roman" w:eastAsia="宋体" w:cs="Times New Roman"/>
          <w:b/>
          <w:bCs/>
          <w:szCs w:val="21"/>
        </w:rPr>
        <w:t>4</w:t>
      </w:r>
      <w:r>
        <w:rPr>
          <w:rFonts w:hint="eastAsia" w:ascii="Times New Roman" w:hAnsi="Times New Roman" w:eastAsia="宋体" w:cs="Times New Roman"/>
          <w:b/>
          <w:bCs/>
          <w:szCs w:val="21"/>
        </w:rPr>
        <w:t>：学生学习评价表的生成</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1701"/>
        <w:gridCol w:w="2541"/>
        <w:gridCol w:w="1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pPr>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评价标准（教师预设）</w:t>
            </w:r>
          </w:p>
        </w:tc>
        <w:tc>
          <w:tcPr>
            <w:tcW w:w="1701" w:type="dxa"/>
          </w:tcPr>
          <w:p>
            <w:pPr>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引导生成的环节</w:t>
            </w:r>
          </w:p>
        </w:tc>
        <w:tc>
          <w:tcPr>
            <w:tcW w:w="2541" w:type="dxa"/>
          </w:tcPr>
          <w:p>
            <w:pPr>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评价说明</w:t>
            </w:r>
          </w:p>
        </w:tc>
        <w:tc>
          <w:tcPr>
            <w:tcW w:w="1791" w:type="dxa"/>
          </w:tcPr>
          <w:p>
            <w:pPr>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呈现方式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pPr>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1. Act with emotions and use body language</w:t>
            </w:r>
            <w:r>
              <w:rPr>
                <w:rFonts w:hint="eastAsia" w:ascii="Times New Roman" w:hAnsi="Times New Roman" w:eastAsia="宋体" w:cs="Times New Roman"/>
                <w:kern w:val="0"/>
                <w:sz w:val="20"/>
                <w:szCs w:val="21"/>
              </w:rPr>
              <w:t>.</w:t>
            </w:r>
          </w:p>
        </w:tc>
        <w:tc>
          <w:tcPr>
            <w:tcW w:w="1701"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学习理解：</w:t>
            </w:r>
          </w:p>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Thin</w:t>
            </w:r>
            <w:r>
              <w:rPr>
                <w:rFonts w:ascii="Times New Roman" w:hAnsi="Times New Roman" w:eastAsia="宋体" w:cs="Times New Roman"/>
                <w:kern w:val="0"/>
                <w:sz w:val="20"/>
                <w:szCs w:val="21"/>
              </w:rPr>
              <w:t>k and say</w:t>
            </w:r>
          </w:p>
          <w:p>
            <w:pPr>
              <w:jc w:val="left"/>
              <w:rPr>
                <w:rFonts w:ascii="Times New Roman" w:hAnsi="Times New Roman" w:eastAsia="宋体" w:cs="Times New Roman"/>
                <w:kern w:val="0"/>
                <w:sz w:val="20"/>
                <w:szCs w:val="21"/>
              </w:rPr>
            </w:pPr>
          </w:p>
        </w:tc>
        <w:tc>
          <w:tcPr>
            <w:tcW w:w="2541"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通过让学生朗读’</w:t>
            </w:r>
            <w:r>
              <w:rPr>
                <w:rFonts w:ascii="Times New Roman" w:hAnsi="Times New Roman" w:eastAsia="宋体" w:cs="Times New Roman"/>
                <w:kern w:val="0"/>
                <w:sz w:val="20"/>
                <w:szCs w:val="21"/>
              </w:rPr>
              <w:t>make apologies’，以及’reject apologies’，读出感情，可以加上肢体动作</w:t>
            </w:r>
            <w:r>
              <w:rPr>
                <w:rFonts w:hint="eastAsia" w:ascii="Times New Roman" w:hAnsi="Times New Roman" w:eastAsia="宋体" w:cs="Times New Roman"/>
                <w:kern w:val="0"/>
                <w:sz w:val="20"/>
                <w:szCs w:val="21"/>
              </w:rPr>
              <w:t>，从而</w:t>
            </w:r>
            <w:r>
              <w:rPr>
                <w:rFonts w:ascii="Times New Roman" w:hAnsi="Times New Roman" w:eastAsia="宋体" w:cs="Times New Roman"/>
                <w:kern w:val="0"/>
                <w:sz w:val="20"/>
                <w:szCs w:val="21"/>
              </w:rPr>
              <w:t>引出第一个检查表的要求</w:t>
            </w:r>
            <w:r>
              <w:rPr>
                <w:rFonts w:hint="eastAsia" w:ascii="Times New Roman" w:hAnsi="Times New Roman" w:eastAsia="宋体" w:cs="Times New Roman"/>
                <w:kern w:val="0"/>
                <w:sz w:val="20"/>
                <w:szCs w:val="21"/>
              </w:rPr>
              <w:t>。</w:t>
            </w:r>
          </w:p>
        </w:tc>
        <w:tc>
          <w:tcPr>
            <w:tcW w:w="1791" w:type="dxa"/>
          </w:tcPr>
          <w:p>
            <w:pPr>
              <w:jc w:val="left"/>
              <w:rPr>
                <w:rFonts w:ascii="Times New Roman" w:hAnsi="Times New Roman" w:eastAsia="宋体" w:cs="Times New Roman"/>
                <w:kern w:val="0"/>
                <w:sz w:val="20"/>
                <w:szCs w:val="21"/>
              </w:rPr>
            </w:pPr>
          </w:p>
          <w:p>
            <w:pPr>
              <w:jc w:val="left"/>
              <w:rPr>
                <w:rFonts w:ascii="Times New Roman" w:hAnsi="Times New Roman" w:eastAsia="宋体" w:cs="Times New Roman"/>
                <w:kern w:val="0"/>
                <w:sz w:val="20"/>
                <w:szCs w:val="21"/>
              </w:rPr>
            </w:pPr>
          </w:p>
          <w:p>
            <w:pPr>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学生自主生成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pPr>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2. Use the sentence patterns in the chart.</w:t>
            </w:r>
            <w:r>
              <w:rPr>
                <w:rFonts w:ascii="Times New Roman" w:hAnsi="Times New Roman" w:eastAsia="宋体" w:cs="Times New Roman"/>
                <w:kern w:val="0"/>
                <w:sz w:val="20"/>
                <w:szCs w:val="21"/>
              </w:rPr>
              <w:tab/>
            </w:r>
          </w:p>
        </w:tc>
        <w:tc>
          <w:tcPr>
            <w:tcW w:w="1701"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应用实践：</w:t>
            </w:r>
          </w:p>
          <w:p>
            <w:pPr>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Pair-work</w:t>
            </w:r>
          </w:p>
        </w:tc>
        <w:tc>
          <w:tcPr>
            <w:tcW w:w="2541"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在做小组对话前，教师提醒学生运用到本节课所学的句型。</w:t>
            </w:r>
          </w:p>
        </w:tc>
        <w:tc>
          <w:tcPr>
            <w:tcW w:w="1791"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 xml:space="preserve"> </w:t>
            </w:r>
            <w:r>
              <w:rPr>
                <w:rFonts w:ascii="Times New Roman" w:hAnsi="Times New Roman" w:eastAsia="宋体" w:cs="Times New Roman"/>
                <w:kern w:val="0"/>
                <w:sz w:val="20"/>
                <w:szCs w:val="21"/>
              </w:rPr>
              <w:t xml:space="preserve"> </w:t>
            </w:r>
            <w:r>
              <w:rPr>
                <w:rFonts w:hint="eastAsia" w:ascii="Times New Roman" w:hAnsi="Times New Roman" w:eastAsia="宋体" w:cs="Times New Roman"/>
                <w:kern w:val="0"/>
                <w:sz w:val="20"/>
                <w:szCs w:val="21"/>
              </w:rPr>
              <w:t>教师引导生成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pPr>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3. Be real when responding to an apology.</w:t>
            </w:r>
          </w:p>
        </w:tc>
        <w:tc>
          <w:tcPr>
            <w:tcW w:w="1701"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应用实践：</w:t>
            </w:r>
          </w:p>
          <w:p>
            <w:pPr>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Pair-work</w:t>
            </w:r>
          </w:p>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或</w:t>
            </w:r>
          </w:p>
          <w:p>
            <w:pPr>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Free talk：How to improve one’s memory?</w:t>
            </w:r>
          </w:p>
        </w:tc>
        <w:tc>
          <w:tcPr>
            <w:tcW w:w="2541"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在做小组对话时，学生对于道歉是否接受和拒绝，以及给出的建议可能出现不真实的情况，教师适当引导学生，得出对话需要真实的要求。</w:t>
            </w:r>
          </w:p>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在给出如何提高记忆力的建议时，学生给出的建议要合理且真实，教师也可以在本环节引导学生想出“Be</w:t>
            </w:r>
            <w:r>
              <w:rPr>
                <w:rFonts w:ascii="Times New Roman" w:hAnsi="Times New Roman" w:eastAsia="宋体" w:cs="Times New Roman"/>
                <w:kern w:val="0"/>
                <w:sz w:val="20"/>
                <w:szCs w:val="21"/>
              </w:rPr>
              <w:t xml:space="preserve"> real</w:t>
            </w:r>
            <w:r>
              <w:rPr>
                <w:rFonts w:hint="eastAsia" w:ascii="Times New Roman" w:hAnsi="Times New Roman" w:eastAsia="宋体" w:cs="Times New Roman"/>
                <w:kern w:val="0"/>
                <w:sz w:val="20"/>
                <w:szCs w:val="21"/>
              </w:rPr>
              <w:t>”的要求。</w:t>
            </w:r>
          </w:p>
        </w:tc>
        <w:tc>
          <w:tcPr>
            <w:tcW w:w="1791" w:type="dxa"/>
          </w:tcPr>
          <w:p>
            <w:pPr>
              <w:jc w:val="left"/>
              <w:rPr>
                <w:rFonts w:ascii="Times New Roman" w:hAnsi="Times New Roman" w:eastAsia="宋体" w:cs="Times New Roman"/>
                <w:kern w:val="0"/>
                <w:sz w:val="20"/>
                <w:szCs w:val="21"/>
              </w:rPr>
            </w:pPr>
          </w:p>
          <w:p>
            <w:pPr>
              <w:jc w:val="left"/>
              <w:rPr>
                <w:rFonts w:ascii="Times New Roman" w:hAnsi="Times New Roman" w:eastAsia="宋体" w:cs="Times New Roman"/>
                <w:kern w:val="0"/>
                <w:sz w:val="20"/>
                <w:szCs w:val="21"/>
              </w:rPr>
            </w:pPr>
          </w:p>
          <w:p>
            <w:pPr>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学生自主生成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4</w:t>
            </w:r>
            <w:r>
              <w:rPr>
                <w:rFonts w:ascii="Times New Roman" w:hAnsi="Times New Roman" w:eastAsia="宋体" w:cs="Times New Roman"/>
                <w:kern w:val="0"/>
                <w:sz w:val="20"/>
                <w:szCs w:val="21"/>
              </w:rPr>
              <w:t>. Give suggestions about how to improve one’s memory.</w:t>
            </w:r>
          </w:p>
        </w:tc>
        <w:tc>
          <w:tcPr>
            <w:tcW w:w="1701"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应用实践：</w:t>
            </w:r>
          </w:p>
          <w:p>
            <w:pPr>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Free talk：How to improve one’s memory?</w:t>
            </w:r>
          </w:p>
        </w:tc>
        <w:tc>
          <w:tcPr>
            <w:tcW w:w="2541"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在本环节结束后，教师提醒学生，在后续的对话中，要记得给出相应的建议。</w:t>
            </w:r>
          </w:p>
        </w:tc>
        <w:tc>
          <w:tcPr>
            <w:tcW w:w="1791" w:type="dxa"/>
          </w:tcPr>
          <w:p>
            <w:pPr>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教师引导生成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5</w:t>
            </w:r>
            <w:r>
              <w:rPr>
                <w:rFonts w:ascii="Times New Roman" w:hAnsi="Times New Roman" w:eastAsia="宋体" w:cs="Times New Roman"/>
                <w:kern w:val="0"/>
                <w:sz w:val="20"/>
                <w:szCs w:val="21"/>
              </w:rPr>
              <w:t>. I</w:t>
            </w:r>
            <w:r>
              <w:rPr>
                <w:rFonts w:hint="eastAsia" w:ascii="Times New Roman" w:hAnsi="Times New Roman" w:eastAsia="宋体" w:cs="Times New Roman"/>
                <w:kern w:val="0"/>
                <w:sz w:val="20"/>
                <w:szCs w:val="21"/>
              </w:rPr>
              <w:t>nclude</w:t>
            </w:r>
            <w:r>
              <w:rPr>
                <w:rFonts w:ascii="Times New Roman" w:hAnsi="Times New Roman" w:eastAsia="宋体" w:cs="Times New Roman"/>
                <w:kern w:val="0"/>
                <w:sz w:val="20"/>
                <w:szCs w:val="21"/>
              </w:rPr>
              <w:t xml:space="preserve"> two apologies and excuses.</w:t>
            </w:r>
          </w:p>
        </w:tc>
        <w:tc>
          <w:tcPr>
            <w:tcW w:w="1701"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迁移创新：</w:t>
            </w:r>
          </w:p>
          <w:p>
            <w:pPr>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Act it out</w:t>
            </w:r>
          </w:p>
        </w:tc>
        <w:tc>
          <w:tcPr>
            <w:tcW w:w="2541" w:type="dxa"/>
          </w:tcPr>
          <w:p>
            <w:pPr>
              <w:jc w:val="left"/>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在本环节开始前，询问学生课本中的包括几次道歉和理由，基于操练的要求，提醒学生要包括2次道歉和理由。</w:t>
            </w:r>
          </w:p>
        </w:tc>
        <w:tc>
          <w:tcPr>
            <w:tcW w:w="1791" w:type="dxa"/>
          </w:tcPr>
          <w:p>
            <w:pPr>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教师引导生成</w:t>
            </w:r>
          </w:p>
        </w:tc>
      </w:tr>
    </w:tbl>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4</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精心设计作业，关注课后评价</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“教学评一体化”教学模式的重点在于整体协同性，即将教师的教学过程、学生的学习过程和教学评价过程集为一体化的协同过程（顾明华，2</w:t>
      </w:r>
      <w:r>
        <w:rPr>
          <w:rFonts w:ascii="Times New Roman" w:hAnsi="Times New Roman" w:eastAsia="宋体" w:cs="Times New Roman"/>
          <w:sz w:val="24"/>
          <w:szCs w:val="24"/>
        </w:rPr>
        <w:t>021</w:t>
      </w:r>
      <w:r>
        <w:rPr>
          <w:rFonts w:hint="eastAsia" w:ascii="Times New Roman" w:hAnsi="Times New Roman" w:eastAsia="宋体" w:cs="Times New Roman"/>
          <w:sz w:val="24"/>
          <w:szCs w:val="24"/>
        </w:rPr>
        <w:t>）。因此，对于学生学习的评价应该落实到课堂教学的方方面面。教师通过设计合适的课后作业，检测学生对于课堂知识的掌握情况，进行课后的学习效果评价。</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在本节课中，课后作业包括朗读附有自查表的功能性对话、笔头填写小组对话、翻译、改进课堂最后一个环节的对话这几个内容。作业根据教学目标进行制定，同时包括口头和笔头，其难度循序渐进，起到巩固课堂所学的作用。</w:t>
      </w:r>
    </w:p>
    <w:p>
      <w:pPr>
        <w:spacing w:line="276" w:lineRule="auto"/>
        <w:jc w:val="center"/>
        <w:rPr>
          <w:rFonts w:ascii="Times New Roman" w:hAnsi="Times New Roman" w:eastAsia="宋体" w:cs="Times New Roman"/>
          <w:b/>
          <w:bCs/>
          <w:szCs w:val="21"/>
        </w:rPr>
      </w:pPr>
      <w:r>
        <w:rPr>
          <w:rFonts w:hint="eastAsia" w:ascii="Times New Roman" w:hAnsi="Times New Roman" w:eastAsia="宋体" w:cs="Times New Roman"/>
          <w:b/>
          <w:bCs/>
          <w:szCs w:val="21"/>
        </w:rPr>
        <w:t>图</w:t>
      </w:r>
      <w:r>
        <w:rPr>
          <w:rFonts w:ascii="Times New Roman" w:hAnsi="Times New Roman" w:eastAsia="宋体" w:cs="Times New Roman"/>
          <w:b/>
          <w:bCs/>
          <w:szCs w:val="21"/>
        </w:rPr>
        <w:t xml:space="preserve">1 </w:t>
      </w:r>
      <w:r>
        <w:rPr>
          <w:rFonts w:hint="eastAsia" w:ascii="Times New Roman" w:hAnsi="Times New Roman" w:eastAsia="宋体" w:cs="Times New Roman"/>
          <w:b/>
          <w:bCs/>
          <w:szCs w:val="21"/>
        </w:rPr>
        <w:t>课后作业的布置（笔头填写小组对话）</w:t>
      </w:r>
    </w:p>
    <w:p>
      <w:pPr>
        <w:spacing w:line="276"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drawing>
          <wp:inline distT="0" distB="0" distL="0" distR="0">
            <wp:extent cx="4632325" cy="1085215"/>
            <wp:effectExtent l="0" t="0" r="0" b="635"/>
            <wp:docPr id="5725818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581869" name="图片 2"/>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4661184" cy="1092062"/>
                    </a:xfrm>
                    <a:prstGeom prst="rect">
                      <a:avLst/>
                    </a:prstGeom>
                  </pic:spPr>
                </pic:pic>
              </a:graphicData>
            </a:graphic>
          </wp:inline>
        </w:drawing>
      </w:r>
    </w:p>
    <w:p>
      <w:pPr>
        <w:spacing w:line="276" w:lineRule="auto"/>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以“笔头填写小组对话”这一则作业为例，在该作业的设计中，笔者首先考虑了本节课中学生需要掌握道歉相关功能意念及其句型这一教学目标，设计了这一作业。在作业的设计中，利用班级学生的真人照片，创建对话情景，使学生能够在相对真实的情景中巩固所学。</w:t>
      </w:r>
    </w:p>
    <w:p>
      <w:pPr>
        <w:spacing w:line="276"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四、</w:t>
      </w:r>
      <w:r>
        <w:rPr>
          <w:rFonts w:hint="eastAsia" w:ascii="Times New Roman" w:hAnsi="Times New Roman" w:eastAsia="宋体" w:cs="Times New Roman"/>
          <w:b/>
          <w:bCs/>
          <w:sz w:val="24"/>
          <w:szCs w:val="24"/>
        </w:rPr>
        <w:t>教学评一体化下初中英语口语教学活动设计的思考</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w:t>
      </w:r>
      <w:r>
        <w:rPr>
          <w:rFonts w:hint="eastAsia" w:ascii="Times New Roman" w:hAnsi="Times New Roman" w:eastAsia="宋体" w:cs="Times New Roman"/>
          <w:sz w:val="24"/>
          <w:szCs w:val="24"/>
        </w:rPr>
        <w:t xml:space="preserve"> 以学生为中心，设计学习活动</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 xml:space="preserve"> 教学的目的、任务不在“教”，而在“学”。教学活动的设计要尊重学生的发展规律，设计合理的学习活动，促进学生在学习中发展（刘献君，2</w:t>
      </w:r>
      <w:r>
        <w:rPr>
          <w:rFonts w:ascii="Times New Roman" w:hAnsi="Times New Roman" w:eastAsia="宋体" w:cs="Times New Roman"/>
          <w:sz w:val="24"/>
          <w:szCs w:val="24"/>
        </w:rPr>
        <w:t>012</w:t>
      </w:r>
      <w:r>
        <w:rPr>
          <w:rFonts w:hint="eastAsia" w:ascii="Times New Roman" w:hAnsi="Times New Roman" w:eastAsia="宋体" w:cs="Times New Roman"/>
          <w:sz w:val="24"/>
          <w:szCs w:val="24"/>
        </w:rPr>
        <w:t>），英语语言的学习亦是如此，学生通过自身的学习活动，使新旧知识不断组合重构，将语言能力从理论知识转化为自我运用。因此，在教学中，教学活动的设计应以充分考虑学生的学情为前提，设计出符合学生发展规律的学习活动，从而自然地促进学生的学习。学生能够自主地参与活动，这也能提高学生英语口语学习的兴趣。</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2</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更新评价理念，丰富评价方式</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课程评价的目的不仅是为了考察初中生学习目标的完成程度，更是为了检验和改进初中生的学习情况和教师教的情况，提高教学水平，进而有效地促进初中生的发展（李铁锋，2</w:t>
      </w:r>
      <w:r>
        <w:rPr>
          <w:rFonts w:ascii="Times New Roman" w:hAnsi="Times New Roman" w:eastAsia="宋体" w:cs="Times New Roman"/>
          <w:sz w:val="24"/>
          <w:szCs w:val="24"/>
        </w:rPr>
        <w:t>020</w:t>
      </w:r>
      <w:r>
        <w:rPr>
          <w:rFonts w:hint="eastAsia" w:ascii="Times New Roman" w:hAnsi="Times New Roman" w:eastAsia="宋体" w:cs="Times New Roman"/>
          <w:sz w:val="24"/>
          <w:szCs w:val="24"/>
        </w:rPr>
        <w:t>）。因为，在设计教学评价的过程中，要重视形成性评价，加强学生自主、探究、合作学习，以提高学生的学习素养为目标。同时，丰富评价的方式，结合教师评价、师生互评、生生互评等评价方式，根据不同的活动运用不同的评价方式。最后，注重学生自主的评价标准生成。在教学的过程中，引导学生自主生成评价标准，从评价的被动接受者变成主动参与者，从而促进学生的学习。</w:t>
      </w:r>
    </w:p>
    <w:p>
      <w:pPr>
        <w:spacing w:line="276" w:lineRule="auto"/>
        <w:rPr>
          <w:rFonts w:ascii="Times New Roman" w:hAnsi="Times New Roman" w:eastAsia="宋体" w:cs="Times New Roman"/>
          <w:sz w:val="24"/>
          <w:szCs w:val="24"/>
        </w:rPr>
      </w:pPr>
      <w:r>
        <w:rPr>
          <w:rFonts w:ascii="Times New Roman" w:hAnsi="Times New Roman" w:eastAsia="宋体" w:cs="Times New Roman"/>
          <w:sz w:val="24"/>
          <w:szCs w:val="24"/>
        </w:rPr>
        <w:t xml:space="preserve">3. </w:t>
      </w:r>
      <w:r>
        <w:rPr>
          <w:rFonts w:hint="eastAsia" w:ascii="Times New Roman" w:hAnsi="Times New Roman" w:eastAsia="宋体" w:cs="Times New Roman"/>
          <w:sz w:val="24"/>
          <w:szCs w:val="24"/>
        </w:rPr>
        <w:t>提升评价素养，实施动态评价</w:t>
      </w:r>
    </w:p>
    <w:p>
      <w:pPr>
        <w:spacing w:line="276" w:lineRule="auto"/>
        <w:ind w:firstLine="240" w:firstLineChars="100"/>
        <w:rPr>
          <w:rFonts w:ascii="Times New Roman" w:hAnsi="Times New Roman" w:eastAsia="宋体" w:cs="Times New Roman"/>
          <w:sz w:val="24"/>
          <w:szCs w:val="24"/>
        </w:rPr>
      </w:pPr>
      <w:r>
        <w:rPr>
          <w:rFonts w:hint="eastAsia" w:ascii="Times New Roman" w:hAnsi="Times New Roman" w:eastAsia="宋体" w:cs="Times New Roman"/>
          <w:sz w:val="24"/>
          <w:szCs w:val="24"/>
        </w:rPr>
        <w:t>在课堂教学的实施阶段，学生的课堂反馈是灵活多变的，这就要求教师在精心备课、预设评价重点之外，还需要有较高的实施动态评价的能力。教师可以通过实时的提问、观察、生生互评等方式实施互动评价，向学生提供支架，及时给予学生反馈，帮助学生取得更大的进步。这就对教师的课堂评价能力提出了更高的要求，作为教师，应该系统学习评价的知识，并在实践中不断改进评价的方法。教师也要注意自身在课堂中实时反馈的能力，通过课前预设</w:t>
      </w:r>
      <w:r>
        <w:rPr>
          <w:rFonts w:ascii="Times New Roman" w:hAnsi="Times New Roman" w:eastAsia="宋体" w:cs="Times New Roman"/>
          <w:sz w:val="24"/>
          <w:szCs w:val="24"/>
        </w:rPr>
        <w:t>—</w:t>
      </w:r>
      <w:r>
        <w:rPr>
          <w:rFonts w:hint="eastAsia" w:ascii="Times New Roman" w:hAnsi="Times New Roman" w:eastAsia="宋体" w:cs="Times New Roman"/>
          <w:sz w:val="24"/>
          <w:szCs w:val="24"/>
        </w:rPr>
        <w:t>课中操练</w:t>
      </w:r>
      <w:r>
        <w:rPr>
          <w:rFonts w:ascii="Times New Roman" w:hAnsi="Times New Roman" w:eastAsia="宋体" w:cs="Times New Roman"/>
          <w:sz w:val="24"/>
          <w:szCs w:val="24"/>
        </w:rPr>
        <w:t>—</w:t>
      </w:r>
      <w:r>
        <w:rPr>
          <w:rFonts w:hint="eastAsia" w:ascii="Times New Roman" w:hAnsi="Times New Roman" w:eastAsia="宋体" w:cs="Times New Roman"/>
          <w:sz w:val="24"/>
          <w:szCs w:val="24"/>
        </w:rPr>
        <w:t>课后反思的方式，提升自己的评价反馈能力。</w:t>
      </w:r>
      <w:r>
        <w:rPr>
          <w:rFonts w:ascii="Times New Roman" w:hAnsi="Times New Roman" w:eastAsia="宋体" w:cs="Times New Roman"/>
          <w:sz w:val="24"/>
          <w:szCs w:val="24"/>
        </w:rPr>
        <w:tab/>
      </w:r>
    </w:p>
    <w:p>
      <w:pPr>
        <w:spacing w:line="276"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五、</w:t>
      </w:r>
      <w:r>
        <w:rPr>
          <w:rFonts w:hint="eastAsia" w:ascii="Times New Roman" w:hAnsi="Times New Roman" w:eastAsia="宋体" w:cs="Times New Roman"/>
          <w:b/>
          <w:bCs/>
          <w:sz w:val="24"/>
          <w:szCs w:val="24"/>
        </w:rPr>
        <w:t>结语</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综上，将教学评一体化的理念运用于初中英语的口语教学中，需要教师将评价的理念渗透到教学活动的各个环节中，从而培养学生的英语思维品质、提高语言运用能力及文化品格。教师应该运用多样的评价方式和活动，循序渐进地在各个教学活动中展开，从而达到本节课的教学目标。</w:t>
      </w:r>
    </w:p>
    <w:p>
      <w:pPr>
        <w:spacing w:line="27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然而，本次研究只是一个开始，对于教学评一体化在口语教学中的运用，本文的见解可能还有很多不足之处。比如：在标准制定的环节，学生需要完成两轮道歉和理由的对话，规定是否还是有些死板？如何才能在完成教学目标的同时，通过合理的评价策略，使语境更加具备真实性？在话轮发生的过程中，大部分学生会按照课本功能意念的顺序来进行对话。如何才能通过评价，引导更多学生注意到话轮产生的自然性，使之更接近真实生活中发生的对话？</w:t>
      </w:r>
    </w:p>
    <w:p>
      <w:pPr>
        <w:spacing w:line="276"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笔者认为，随着新课标的颁布以及课程理念不断的更新，如何在口语课程中实施好教学评一体化的理念，从而促进学生的口语学习，还有待更多的理论探讨和实践积累。</w:t>
      </w:r>
    </w:p>
    <w:p>
      <w:pPr>
        <w:spacing w:line="276" w:lineRule="auto"/>
        <w:rPr>
          <w:rFonts w:ascii="Times New Roman" w:hAnsi="Times New Roman" w:eastAsia="宋体" w:cs="Times New Roman"/>
          <w:sz w:val="24"/>
          <w:szCs w:val="24"/>
        </w:rPr>
      </w:pPr>
    </w:p>
    <w:p>
      <w:pPr>
        <w:spacing w:line="276"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参考文献：</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1] </w:t>
      </w:r>
      <w:r>
        <w:rPr>
          <w:rFonts w:hint="eastAsia" w:ascii="Times New Roman" w:hAnsi="Times New Roman" w:eastAsia="宋体" w:cs="Times New Roman"/>
          <w:sz w:val="24"/>
          <w:szCs w:val="24"/>
        </w:rPr>
        <w:t>中华人民共和国教育部.</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义务教育英语课程标准（2</w:t>
      </w:r>
      <w:r>
        <w:rPr>
          <w:rFonts w:ascii="Times New Roman" w:hAnsi="Times New Roman" w:eastAsia="宋体" w:cs="Times New Roman"/>
          <w:sz w:val="24"/>
          <w:szCs w:val="24"/>
        </w:rPr>
        <w:t>022</w:t>
      </w:r>
      <w:r>
        <w:rPr>
          <w:rFonts w:hint="eastAsia" w:ascii="Times New Roman" w:hAnsi="Times New Roman" w:eastAsia="宋体" w:cs="Times New Roman"/>
          <w:sz w:val="24"/>
          <w:szCs w:val="24"/>
        </w:rPr>
        <w:t>年版）[</w:t>
      </w:r>
      <w:r>
        <w:rPr>
          <w:rFonts w:ascii="Times New Roman" w:hAnsi="Times New Roman" w:eastAsia="宋体" w:cs="Times New Roman"/>
          <w:sz w:val="24"/>
          <w:szCs w:val="24"/>
        </w:rPr>
        <w:t xml:space="preserve">S]. </w:t>
      </w:r>
      <w:r>
        <w:rPr>
          <w:rFonts w:hint="eastAsia" w:ascii="Times New Roman" w:hAnsi="Times New Roman" w:eastAsia="宋体" w:cs="Times New Roman"/>
          <w:sz w:val="24"/>
          <w:szCs w:val="24"/>
        </w:rPr>
        <w:t>北京：北京师范大学出版社，2</w:t>
      </w:r>
      <w:r>
        <w:rPr>
          <w:rFonts w:ascii="Times New Roman" w:hAnsi="Times New Roman" w:eastAsia="宋体" w:cs="Times New Roman"/>
          <w:sz w:val="24"/>
          <w:szCs w:val="24"/>
        </w:rPr>
        <w:t>022.</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2] </w:t>
      </w:r>
      <w:r>
        <w:rPr>
          <w:rFonts w:hint="eastAsia" w:ascii="Times New Roman" w:hAnsi="Times New Roman" w:eastAsia="宋体" w:cs="Times New Roman"/>
          <w:sz w:val="24"/>
          <w:szCs w:val="24"/>
        </w:rPr>
        <w:t>王蔷，李亮.</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推动核心素养背景下英语课堂教-学-评一</w:t>
      </w:r>
      <w:r>
        <w:rPr>
          <w:rFonts w:ascii="Times New Roman" w:hAnsi="Times New Roman" w:eastAsia="宋体" w:cs="Times New Roman"/>
          <w:sz w:val="24"/>
          <w:szCs w:val="24"/>
        </w:rPr>
        <w:t>体化：意义、理论与方</w:t>
      </w:r>
      <w:r>
        <w:rPr>
          <w:rFonts w:hint="eastAsia" w:ascii="Times New Roman" w:hAnsi="Times New Roman" w:eastAsia="宋体" w:cs="Times New Roman"/>
          <w:sz w:val="24"/>
          <w:szCs w:val="24"/>
        </w:rPr>
        <w:t>法</w:t>
      </w:r>
      <w:r>
        <w:rPr>
          <w:rFonts w:ascii="Times New Roman" w:hAnsi="Times New Roman" w:eastAsia="宋体" w:cs="Times New Roman"/>
          <w:sz w:val="24"/>
          <w:szCs w:val="24"/>
        </w:rPr>
        <w:t xml:space="preserve">[J]. </w:t>
      </w:r>
      <w:r>
        <w:rPr>
          <w:rFonts w:hint="eastAsia" w:ascii="Times New Roman" w:hAnsi="Times New Roman" w:eastAsia="宋体" w:cs="Times New Roman"/>
          <w:sz w:val="24"/>
          <w:szCs w:val="24"/>
        </w:rPr>
        <w:t>课程·教材·教法，2</w:t>
      </w:r>
      <w:r>
        <w:rPr>
          <w:rFonts w:ascii="Times New Roman" w:hAnsi="Times New Roman" w:eastAsia="宋体" w:cs="Times New Roman"/>
          <w:sz w:val="24"/>
          <w:szCs w:val="24"/>
        </w:rPr>
        <w:t>019(5):114-120</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3] </w:t>
      </w:r>
      <w:r>
        <w:rPr>
          <w:rFonts w:hint="eastAsia" w:ascii="Times New Roman" w:hAnsi="Times New Roman" w:eastAsia="宋体" w:cs="Times New Roman"/>
          <w:sz w:val="24"/>
          <w:szCs w:val="24"/>
        </w:rPr>
        <w:t>叶红萍.</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初中英语口语教学探索</w:t>
      </w:r>
      <w:r>
        <w:rPr>
          <w:rFonts w:ascii="Times New Roman" w:hAnsi="Times New Roman" w:eastAsia="宋体" w:cs="Times New Roman"/>
          <w:sz w:val="24"/>
          <w:szCs w:val="24"/>
        </w:rPr>
        <w:t xml:space="preserve">[J]. </w:t>
      </w:r>
      <w:r>
        <w:rPr>
          <w:rFonts w:hint="eastAsia" w:ascii="Times New Roman" w:hAnsi="Times New Roman" w:eastAsia="宋体" w:cs="Times New Roman"/>
          <w:sz w:val="24"/>
          <w:szCs w:val="24"/>
        </w:rPr>
        <w:t>山西师大学报（社会科学版）研究生论文专刊，2</w:t>
      </w:r>
      <w:r>
        <w:rPr>
          <w:rFonts w:ascii="Times New Roman" w:hAnsi="Times New Roman" w:eastAsia="宋体" w:cs="Times New Roman"/>
          <w:sz w:val="24"/>
          <w:szCs w:val="24"/>
        </w:rPr>
        <w:t>012(39)</w:t>
      </w:r>
      <w:r>
        <w:rPr>
          <w:rFonts w:hint="eastAsia" w:ascii="Times New Roman" w:hAnsi="Times New Roman" w:eastAsia="宋体" w:cs="Times New Roman"/>
          <w:sz w:val="24"/>
          <w:szCs w:val="24"/>
        </w:rPr>
        <w:t>:1</w:t>
      </w:r>
      <w:r>
        <w:rPr>
          <w:rFonts w:ascii="Times New Roman" w:hAnsi="Times New Roman" w:eastAsia="宋体" w:cs="Times New Roman"/>
          <w:sz w:val="24"/>
          <w:szCs w:val="24"/>
        </w:rPr>
        <w:t>85</w:t>
      </w:r>
      <w:r>
        <w:rPr>
          <w:rFonts w:hint="eastAsia" w:ascii="Times New Roman" w:hAnsi="Times New Roman" w:eastAsia="宋体" w:cs="Times New Roman"/>
          <w:sz w:val="24"/>
          <w:szCs w:val="24"/>
        </w:rPr>
        <w:t>-</w:t>
      </w:r>
      <w:r>
        <w:rPr>
          <w:rFonts w:ascii="Times New Roman" w:hAnsi="Times New Roman" w:eastAsia="宋体" w:cs="Times New Roman"/>
          <w:sz w:val="24"/>
          <w:szCs w:val="24"/>
        </w:rPr>
        <w:t>187</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4] </w:t>
      </w:r>
      <w:r>
        <w:rPr>
          <w:rFonts w:hint="eastAsia" w:ascii="Times New Roman" w:hAnsi="Times New Roman" w:eastAsia="宋体" w:cs="Times New Roman"/>
          <w:sz w:val="24"/>
          <w:szCs w:val="24"/>
        </w:rPr>
        <w:t>曹春霞.</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初中英语新课程口语教学有效性提高的途径与策略[</w:t>
      </w:r>
      <w:r>
        <w:rPr>
          <w:rFonts w:ascii="Times New Roman" w:hAnsi="Times New Roman" w:eastAsia="宋体" w:cs="Times New Roman"/>
          <w:sz w:val="24"/>
          <w:szCs w:val="24"/>
        </w:rPr>
        <w:t>J]. 2015(2):116-118</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5] </w:t>
      </w:r>
      <w:r>
        <w:rPr>
          <w:rFonts w:hint="eastAsia" w:ascii="Times New Roman" w:hAnsi="Times New Roman" w:eastAsia="宋体" w:cs="Times New Roman"/>
          <w:sz w:val="24"/>
          <w:szCs w:val="24"/>
        </w:rPr>
        <w:t>顾明华.</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小学英语“教学评一体化”作业设计思考与实践[</w:t>
      </w:r>
      <w:r>
        <w:rPr>
          <w:rFonts w:ascii="Times New Roman" w:hAnsi="Times New Roman" w:eastAsia="宋体" w:cs="Times New Roman"/>
          <w:sz w:val="24"/>
          <w:szCs w:val="24"/>
        </w:rPr>
        <w:t>J]. 2021(51): 117-118</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6] </w:t>
      </w:r>
      <w:r>
        <w:rPr>
          <w:rFonts w:hint="eastAsia" w:ascii="Times New Roman" w:hAnsi="Times New Roman" w:eastAsia="宋体" w:cs="Times New Roman"/>
          <w:sz w:val="24"/>
          <w:szCs w:val="24"/>
        </w:rPr>
        <w:t>刘献君.</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论“以学生为中心”[</w:t>
      </w:r>
      <w:r>
        <w:rPr>
          <w:rFonts w:ascii="Times New Roman" w:hAnsi="Times New Roman" w:eastAsia="宋体" w:cs="Times New Roman"/>
          <w:sz w:val="24"/>
          <w:szCs w:val="24"/>
        </w:rPr>
        <w:t>J]. 2012(33):1-6</w:t>
      </w:r>
    </w:p>
    <w:p>
      <w:pPr>
        <w:spacing w:line="276"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7] </w:t>
      </w:r>
      <w:r>
        <w:rPr>
          <w:rFonts w:hint="eastAsia" w:ascii="Times New Roman" w:hAnsi="Times New Roman" w:eastAsia="宋体" w:cs="Times New Roman"/>
          <w:sz w:val="24"/>
          <w:szCs w:val="24"/>
        </w:rPr>
        <w:t>张丽华.</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浅谈英语教学评价</w:t>
      </w:r>
      <w:r>
        <w:rPr>
          <w:rFonts w:ascii="Times New Roman" w:hAnsi="Times New Roman" w:eastAsia="宋体" w:cs="Times New Roman"/>
          <w:sz w:val="24"/>
          <w:szCs w:val="24"/>
        </w:rPr>
        <w:t>[J]. 2007(2):154-155</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93C"/>
    <w:rsid w:val="00001DF6"/>
    <w:rsid w:val="00037DEA"/>
    <w:rsid w:val="00044EFC"/>
    <w:rsid w:val="00046AD2"/>
    <w:rsid w:val="00047001"/>
    <w:rsid w:val="000515C7"/>
    <w:rsid w:val="00055E1F"/>
    <w:rsid w:val="00076D74"/>
    <w:rsid w:val="000C2422"/>
    <w:rsid w:val="000D707B"/>
    <w:rsid w:val="000E31D4"/>
    <w:rsid w:val="000F4D85"/>
    <w:rsid w:val="000F5D6A"/>
    <w:rsid w:val="00102A87"/>
    <w:rsid w:val="00104E85"/>
    <w:rsid w:val="00107E4D"/>
    <w:rsid w:val="00131A3A"/>
    <w:rsid w:val="00153833"/>
    <w:rsid w:val="00153C17"/>
    <w:rsid w:val="00155E45"/>
    <w:rsid w:val="001715BF"/>
    <w:rsid w:val="00186EA6"/>
    <w:rsid w:val="001968FF"/>
    <w:rsid w:val="001A63DF"/>
    <w:rsid w:val="001B258A"/>
    <w:rsid w:val="001D383E"/>
    <w:rsid w:val="001D6D46"/>
    <w:rsid w:val="001E6B1C"/>
    <w:rsid w:val="001E7365"/>
    <w:rsid w:val="00201F26"/>
    <w:rsid w:val="00225DE0"/>
    <w:rsid w:val="002332EC"/>
    <w:rsid w:val="00276220"/>
    <w:rsid w:val="002A4D9F"/>
    <w:rsid w:val="002B0DC4"/>
    <w:rsid w:val="002B4B0A"/>
    <w:rsid w:val="002D4669"/>
    <w:rsid w:val="00313DE2"/>
    <w:rsid w:val="00313FBE"/>
    <w:rsid w:val="0032237D"/>
    <w:rsid w:val="00323581"/>
    <w:rsid w:val="00327910"/>
    <w:rsid w:val="00342C03"/>
    <w:rsid w:val="00344668"/>
    <w:rsid w:val="003738B1"/>
    <w:rsid w:val="00374937"/>
    <w:rsid w:val="00382031"/>
    <w:rsid w:val="00386161"/>
    <w:rsid w:val="003972F4"/>
    <w:rsid w:val="003A4636"/>
    <w:rsid w:val="003D4B81"/>
    <w:rsid w:val="003E7EDD"/>
    <w:rsid w:val="003F63E1"/>
    <w:rsid w:val="00403507"/>
    <w:rsid w:val="00406BE6"/>
    <w:rsid w:val="00411654"/>
    <w:rsid w:val="00414E65"/>
    <w:rsid w:val="00420918"/>
    <w:rsid w:val="0042286C"/>
    <w:rsid w:val="004266A9"/>
    <w:rsid w:val="004314D5"/>
    <w:rsid w:val="0044251C"/>
    <w:rsid w:val="00447C2B"/>
    <w:rsid w:val="0045325D"/>
    <w:rsid w:val="00460E65"/>
    <w:rsid w:val="00473E44"/>
    <w:rsid w:val="00474660"/>
    <w:rsid w:val="004922CC"/>
    <w:rsid w:val="004A3D14"/>
    <w:rsid w:val="004A71FF"/>
    <w:rsid w:val="004A7CFF"/>
    <w:rsid w:val="004B20C7"/>
    <w:rsid w:val="004B3F44"/>
    <w:rsid w:val="004C3DCD"/>
    <w:rsid w:val="004D3479"/>
    <w:rsid w:val="004F0DDC"/>
    <w:rsid w:val="004F3695"/>
    <w:rsid w:val="004F667D"/>
    <w:rsid w:val="00501718"/>
    <w:rsid w:val="00527642"/>
    <w:rsid w:val="005421DB"/>
    <w:rsid w:val="00550A1B"/>
    <w:rsid w:val="00557D89"/>
    <w:rsid w:val="00580CBA"/>
    <w:rsid w:val="005A4E77"/>
    <w:rsid w:val="005C576D"/>
    <w:rsid w:val="005C6D58"/>
    <w:rsid w:val="005C7D59"/>
    <w:rsid w:val="005D02A8"/>
    <w:rsid w:val="005D3AB0"/>
    <w:rsid w:val="005D486A"/>
    <w:rsid w:val="005F06B9"/>
    <w:rsid w:val="005F372B"/>
    <w:rsid w:val="005F5929"/>
    <w:rsid w:val="005F6C22"/>
    <w:rsid w:val="005F7603"/>
    <w:rsid w:val="00603EEA"/>
    <w:rsid w:val="00614BDB"/>
    <w:rsid w:val="006345CF"/>
    <w:rsid w:val="0064688C"/>
    <w:rsid w:val="006602D8"/>
    <w:rsid w:val="0066155E"/>
    <w:rsid w:val="0067128D"/>
    <w:rsid w:val="00672702"/>
    <w:rsid w:val="00672DAE"/>
    <w:rsid w:val="00674242"/>
    <w:rsid w:val="006878C0"/>
    <w:rsid w:val="00693782"/>
    <w:rsid w:val="00696C13"/>
    <w:rsid w:val="00696D7A"/>
    <w:rsid w:val="006A2574"/>
    <w:rsid w:val="006A3E0D"/>
    <w:rsid w:val="006A6D5E"/>
    <w:rsid w:val="006A6FF5"/>
    <w:rsid w:val="006B0E09"/>
    <w:rsid w:val="006B4D74"/>
    <w:rsid w:val="006B78B3"/>
    <w:rsid w:val="006D3198"/>
    <w:rsid w:val="006D370F"/>
    <w:rsid w:val="006D4B85"/>
    <w:rsid w:val="006E2D1C"/>
    <w:rsid w:val="006E4F89"/>
    <w:rsid w:val="006E6F8E"/>
    <w:rsid w:val="00711178"/>
    <w:rsid w:val="00713CB3"/>
    <w:rsid w:val="0071557C"/>
    <w:rsid w:val="00715EE2"/>
    <w:rsid w:val="00717AAF"/>
    <w:rsid w:val="00720BF8"/>
    <w:rsid w:val="00722757"/>
    <w:rsid w:val="00722A83"/>
    <w:rsid w:val="00730711"/>
    <w:rsid w:val="0073441B"/>
    <w:rsid w:val="00734D59"/>
    <w:rsid w:val="00735CF9"/>
    <w:rsid w:val="00736073"/>
    <w:rsid w:val="00757835"/>
    <w:rsid w:val="00757A31"/>
    <w:rsid w:val="007804B4"/>
    <w:rsid w:val="00783F30"/>
    <w:rsid w:val="00784F3E"/>
    <w:rsid w:val="007A00FE"/>
    <w:rsid w:val="007A7633"/>
    <w:rsid w:val="007D384B"/>
    <w:rsid w:val="007D4D37"/>
    <w:rsid w:val="007D7C7E"/>
    <w:rsid w:val="007E32D3"/>
    <w:rsid w:val="007E5F09"/>
    <w:rsid w:val="007F4751"/>
    <w:rsid w:val="007F543B"/>
    <w:rsid w:val="008033DB"/>
    <w:rsid w:val="00804FF4"/>
    <w:rsid w:val="008128FF"/>
    <w:rsid w:val="00817882"/>
    <w:rsid w:val="00825ED1"/>
    <w:rsid w:val="008339F6"/>
    <w:rsid w:val="0084296A"/>
    <w:rsid w:val="00883930"/>
    <w:rsid w:val="008A1495"/>
    <w:rsid w:val="008A60A1"/>
    <w:rsid w:val="008B0085"/>
    <w:rsid w:val="008D3E59"/>
    <w:rsid w:val="008D6A0E"/>
    <w:rsid w:val="008E1DA7"/>
    <w:rsid w:val="008E7B18"/>
    <w:rsid w:val="008F0D9C"/>
    <w:rsid w:val="008F526A"/>
    <w:rsid w:val="008F6886"/>
    <w:rsid w:val="00902329"/>
    <w:rsid w:val="00904B71"/>
    <w:rsid w:val="009075D2"/>
    <w:rsid w:val="00913EC0"/>
    <w:rsid w:val="00925443"/>
    <w:rsid w:val="009338ED"/>
    <w:rsid w:val="00935979"/>
    <w:rsid w:val="00965E5E"/>
    <w:rsid w:val="00966604"/>
    <w:rsid w:val="0097184D"/>
    <w:rsid w:val="009748C1"/>
    <w:rsid w:val="009B3446"/>
    <w:rsid w:val="009B6EF2"/>
    <w:rsid w:val="009D26A5"/>
    <w:rsid w:val="009E5F6D"/>
    <w:rsid w:val="009F19C4"/>
    <w:rsid w:val="009F29DF"/>
    <w:rsid w:val="00A00C2B"/>
    <w:rsid w:val="00A32B52"/>
    <w:rsid w:val="00A36CA9"/>
    <w:rsid w:val="00A40112"/>
    <w:rsid w:val="00A4096C"/>
    <w:rsid w:val="00A45DF9"/>
    <w:rsid w:val="00A614D5"/>
    <w:rsid w:val="00A65707"/>
    <w:rsid w:val="00A66706"/>
    <w:rsid w:val="00A6715E"/>
    <w:rsid w:val="00A84204"/>
    <w:rsid w:val="00A87EA4"/>
    <w:rsid w:val="00AA632F"/>
    <w:rsid w:val="00AB2296"/>
    <w:rsid w:val="00AB42D4"/>
    <w:rsid w:val="00AB44BC"/>
    <w:rsid w:val="00AB4C45"/>
    <w:rsid w:val="00AC0D03"/>
    <w:rsid w:val="00AC31E1"/>
    <w:rsid w:val="00AD2ECE"/>
    <w:rsid w:val="00AE1628"/>
    <w:rsid w:val="00AE4ACA"/>
    <w:rsid w:val="00AF1DBC"/>
    <w:rsid w:val="00AF3E4B"/>
    <w:rsid w:val="00AF71AC"/>
    <w:rsid w:val="00B16A4C"/>
    <w:rsid w:val="00B20915"/>
    <w:rsid w:val="00B20DE8"/>
    <w:rsid w:val="00B30F5A"/>
    <w:rsid w:val="00B34956"/>
    <w:rsid w:val="00B67424"/>
    <w:rsid w:val="00B80533"/>
    <w:rsid w:val="00B90D63"/>
    <w:rsid w:val="00B947D1"/>
    <w:rsid w:val="00BA23D0"/>
    <w:rsid w:val="00BB0865"/>
    <w:rsid w:val="00BC3831"/>
    <w:rsid w:val="00BF70C9"/>
    <w:rsid w:val="00C017B0"/>
    <w:rsid w:val="00C021EC"/>
    <w:rsid w:val="00C031A6"/>
    <w:rsid w:val="00C12C0D"/>
    <w:rsid w:val="00C16386"/>
    <w:rsid w:val="00C177D8"/>
    <w:rsid w:val="00C23E95"/>
    <w:rsid w:val="00C25236"/>
    <w:rsid w:val="00C255B7"/>
    <w:rsid w:val="00C33644"/>
    <w:rsid w:val="00C34D4E"/>
    <w:rsid w:val="00C43684"/>
    <w:rsid w:val="00C51130"/>
    <w:rsid w:val="00C52628"/>
    <w:rsid w:val="00C53B1D"/>
    <w:rsid w:val="00C6238B"/>
    <w:rsid w:val="00C67B07"/>
    <w:rsid w:val="00C700F9"/>
    <w:rsid w:val="00C7166E"/>
    <w:rsid w:val="00C82D53"/>
    <w:rsid w:val="00C83177"/>
    <w:rsid w:val="00C83928"/>
    <w:rsid w:val="00C8459E"/>
    <w:rsid w:val="00C87442"/>
    <w:rsid w:val="00CA2AA2"/>
    <w:rsid w:val="00CA5CB1"/>
    <w:rsid w:val="00CB2184"/>
    <w:rsid w:val="00CB2C74"/>
    <w:rsid w:val="00CB2F17"/>
    <w:rsid w:val="00CC3117"/>
    <w:rsid w:val="00CC7F93"/>
    <w:rsid w:val="00CD47DF"/>
    <w:rsid w:val="00CD6F7C"/>
    <w:rsid w:val="00CD7440"/>
    <w:rsid w:val="00CE4743"/>
    <w:rsid w:val="00D124DB"/>
    <w:rsid w:val="00D17BCE"/>
    <w:rsid w:val="00D22D4D"/>
    <w:rsid w:val="00D42527"/>
    <w:rsid w:val="00D54718"/>
    <w:rsid w:val="00D62DEC"/>
    <w:rsid w:val="00D65707"/>
    <w:rsid w:val="00D81400"/>
    <w:rsid w:val="00D9306E"/>
    <w:rsid w:val="00D95DC3"/>
    <w:rsid w:val="00DA2A08"/>
    <w:rsid w:val="00DA2BDB"/>
    <w:rsid w:val="00DA7523"/>
    <w:rsid w:val="00DC06CB"/>
    <w:rsid w:val="00DD3477"/>
    <w:rsid w:val="00DD477B"/>
    <w:rsid w:val="00DD645D"/>
    <w:rsid w:val="00DD6A3F"/>
    <w:rsid w:val="00DE3689"/>
    <w:rsid w:val="00E023EC"/>
    <w:rsid w:val="00E067BC"/>
    <w:rsid w:val="00E1533A"/>
    <w:rsid w:val="00E2120E"/>
    <w:rsid w:val="00E425ED"/>
    <w:rsid w:val="00E42720"/>
    <w:rsid w:val="00E5079B"/>
    <w:rsid w:val="00E5293C"/>
    <w:rsid w:val="00E5649C"/>
    <w:rsid w:val="00E6237E"/>
    <w:rsid w:val="00E72DC7"/>
    <w:rsid w:val="00E845C9"/>
    <w:rsid w:val="00E911BF"/>
    <w:rsid w:val="00E96396"/>
    <w:rsid w:val="00EA64D7"/>
    <w:rsid w:val="00EB26C8"/>
    <w:rsid w:val="00EB7DB7"/>
    <w:rsid w:val="00EC7644"/>
    <w:rsid w:val="00ED7718"/>
    <w:rsid w:val="00EE1867"/>
    <w:rsid w:val="00F0232D"/>
    <w:rsid w:val="00F04FD2"/>
    <w:rsid w:val="00F05148"/>
    <w:rsid w:val="00F05204"/>
    <w:rsid w:val="00F17FBC"/>
    <w:rsid w:val="00F20A8D"/>
    <w:rsid w:val="00F254C5"/>
    <w:rsid w:val="00F263F3"/>
    <w:rsid w:val="00F270B7"/>
    <w:rsid w:val="00F3140B"/>
    <w:rsid w:val="00F32544"/>
    <w:rsid w:val="00F35CEA"/>
    <w:rsid w:val="00F37F73"/>
    <w:rsid w:val="00F464B3"/>
    <w:rsid w:val="00F53717"/>
    <w:rsid w:val="00F7439A"/>
    <w:rsid w:val="00F856FB"/>
    <w:rsid w:val="00FA07E6"/>
    <w:rsid w:val="00FB6CE5"/>
    <w:rsid w:val="00FC6A95"/>
    <w:rsid w:val="00FD51B6"/>
    <w:rsid w:val="00FE0D56"/>
    <w:rsid w:val="00FE6111"/>
    <w:rsid w:val="00FF2E78"/>
    <w:rsid w:val="00FF5BB8"/>
    <w:rsid w:val="00FF762F"/>
    <w:rsid w:val="6CD73F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tabs>
        <w:tab w:val="center" w:pos="4153"/>
        <w:tab w:val="right" w:pos="8306"/>
      </w:tabs>
      <w:snapToGrid w:val="0"/>
      <w:jc w:val="center"/>
    </w:pPr>
    <w:rPr>
      <w:sz w:val="18"/>
      <w:szCs w:val="18"/>
    </w:rPr>
  </w:style>
  <w:style w:type="table" w:styleId="5">
    <w:name w:val="Table Grid"/>
    <w:basedOn w:val="4"/>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DE6280-0092-4253-A721-16F340AF09F5}">
  <ds:schemaRefs/>
</ds:datastoreItem>
</file>

<file path=docProps/app.xml><?xml version="1.0" encoding="utf-8"?>
<Properties xmlns="http://schemas.openxmlformats.org/officeDocument/2006/extended-properties" xmlns:vt="http://schemas.openxmlformats.org/officeDocument/2006/docPropsVTypes">
  <Template>Normal</Template>
  <Pages>6</Pages>
  <Words>854</Words>
  <Characters>4868</Characters>
  <Lines>40</Lines>
  <Paragraphs>11</Paragraphs>
  <TotalTime>386</TotalTime>
  <ScaleCrop>false</ScaleCrop>
  <LinksUpToDate>false</LinksUpToDate>
  <CharactersWithSpaces>5711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2023-05-24T11:42:00Z</dcterms:created>
  <dc:creator>CHEN JIANI</dc:creator>
  <cp:lastModifiedBy>Pan</cp:lastModifiedBy>
  <dcterms:modified xsi:type="dcterms:W3CDTF">2023-05-31T08:00:17Z</dcterms:modified>
  <cp:revision>308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4242100038934AD2897D5A7A0CC246A3_13</vt:lpwstr>
  </property>
</Properties>
</file>