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ind w:firstLine="640" w:firstLineChars="200"/>
        <w:jc w:val="center"/>
        <w:rPr>
          <w:rFonts w:ascii="宋体" w:hAnsi="宋体" w:eastAsia="宋体" w:cs="宋体"/>
          <w:kern w:val="36"/>
          <w:sz w:val="32"/>
          <w:szCs w:val="32"/>
        </w:rPr>
      </w:pPr>
      <w:r>
        <w:rPr>
          <w:rFonts w:hint="eastAsia" w:ascii="宋体" w:hAnsi="宋体" w:eastAsia="宋体" w:cs="宋体"/>
          <w:kern w:val="36"/>
          <w:sz w:val="32"/>
          <w:szCs w:val="32"/>
        </w:rPr>
        <w:t>基于项目化学习的初中英语阅读学习指导</w:t>
      </w:r>
    </w:p>
    <w:p>
      <w:pPr>
        <w:spacing w:before="156" w:beforeLines="50" w:after="156" w:afterLines="50" w:line="276" w:lineRule="auto"/>
        <w:ind w:firstLine="480" w:firstLineChars="200"/>
        <w:jc w:val="center"/>
        <w:rPr>
          <w:rFonts w:ascii="宋体" w:hAnsi="宋体" w:eastAsia="宋体" w:cs="宋体"/>
          <w:kern w:val="36"/>
          <w:sz w:val="24"/>
          <w:szCs w:val="24"/>
        </w:rPr>
      </w:pPr>
      <w:r>
        <w:rPr>
          <w:rFonts w:hint="eastAsia" w:ascii="宋体" w:hAnsi="宋体" w:eastAsia="宋体" w:cs="宋体"/>
          <w:kern w:val="36"/>
          <w:sz w:val="24"/>
          <w:szCs w:val="24"/>
        </w:rPr>
        <w:t>上海市园南中学 司韵韵</w:t>
      </w:r>
    </w:p>
    <w:p>
      <w:pPr>
        <w:spacing w:line="276" w:lineRule="auto"/>
        <w:ind w:firstLine="512" w:firstLineChars="200"/>
        <w:rPr>
          <w:rFonts w:ascii="宋体" w:hAnsi="宋体" w:eastAsia="宋体" w:cs="宋体"/>
          <w:spacing w:val="8"/>
          <w:kern w:val="0"/>
          <w:sz w:val="24"/>
          <w:szCs w:val="24"/>
        </w:rPr>
      </w:pPr>
    </w:p>
    <w:p>
      <w:pPr>
        <w:spacing w:line="276" w:lineRule="auto"/>
        <w:ind w:firstLine="482" w:firstLineChars="200"/>
        <w:rPr>
          <w:rFonts w:ascii="宋体" w:hAnsi="宋体" w:eastAsia="宋体" w:cs="宋体"/>
          <w:kern w:val="36"/>
          <w:sz w:val="24"/>
          <w:szCs w:val="24"/>
        </w:rPr>
      </w:pPr>
      <w:r>
        <w:rPr>
          <w:rFonts w:hint="eastAsia" w:ascii="宋体" w:hAnsi="宋体" w:eastAsia="宋体" w:cs="宋体"/>
          <w:b/>
          <w:bCs/>
          <w:kern w:val="36"/>
          <w:sz w:val="24"/>
          <w:szCs w:val="24"/>
        </w:rPr>
        <w:t>摘要</w:t>
      </w:r>
      <w:r>
        <w:rPr>
          <w:rFonts w:hint="eastAsia" w:ascii="宋体" w:hAnsi="宋体" w:eastAsia="宋体" w:cs="宋体"/>
          <w:kern w:val="36"/>
          <w:sz w:val="24"/>
          <w:szCs w:val="24"/>
        </w:rPr>
        <w:t>：本文介绍了一种新的英语阅读学习模式：基于项目化学习的初中英语阅读指导。通过构建阅读课程的目标、指导步骤和评价方法，培养学生的阅读策略、语言技能、语言应用和社会交往技能，引导学生自主阅读，以满足学生的不同需求。该模式能够提高学生的英语阅读理解能力、阅读兴趣和阅读自信心，培养学生的英语核心素养。同时，该模式激发了学生对英语阅读的热情和学习动力，</w:t>
      </w:r>
      <w:bookmarkStart w:id="0" w:name="_GoBack"/>
      <w:bookmarkEnd w:id="0"/>
      <w:r>
        <w:rPr>
          <w:rFonts w:hint="eastAsia" w:ascii="宋体" w:hAnsi="宋体" w:eastAsia="宋体" w:cs="宋体"/>
          <w:kern w:val="36"/>
          <w:sz w:val="24"/>
          <w:szCs w:val="24"/>
        </w:rPr>
        <w:t>进一步激发了学生的自主、合作与实践，为英语阅读教学改革和创新提供新的思路和方法，进一步促进初中英语阅读教学的改革和创新。</w:t>
      </w:r>
    </w:p>
    <w:p>
      <w:pPr>
        <w:spacing w:line="276" w:lineRule="auto"/>
        <w:ind w:firstLine="480" w:firstLineChars="200"/>
        <w:rPr>
          <w:rFonts w:ascii="宋体" w:hAnsi="宋体" w:eastAsia="宋体" w:cs="宋体"/>
          <w:kern w:val="36"/>
          <w:sz w:val="24"/>
          <w:szCs w:val="24"/>
        </w:rPr>
      </w:pPr>
      <w:r>
        <w:rPr>
          <w:rFonts w:hint="eastAsia" w:ascii="宋体" w:hAnsi="宋体" w:eastAsia="宋体" w:cs="宋体"/>
          <w:kern w:val="36"/>
          <w:sz w:val="24"/>
          <w:szCs w:val="24"/>
        </w:rPr>
        <w:t>关键词：初中英语阅读，项目化学习，英语核心素养</w:t>
      </w:r>
    </w:p>
    <w:p>
      <w:pPr>
        <w:spacing w:line="276" w:lineRule="auto"/>
        <w:ind w:firstLine="480" w:firstLineChars="200"/>
        <w:rPr>
          <w:rFonts w:ascii="宋体" w:hAnsi="宋体" w:eastAsia="宋体" w:cs="宋体"/>
          <w:kern w:val="36"/>
          <w:sz w:val="24"/>
          <w:szCs w:val="24"/>
        </w:rPr>
      </w:pPr>
    </w:p>
    <w:p>
      <w:pPr>
        <w:pStyle w:val="12"/>
        <w:numPr>
          <w:ilvl w:val="0"/>
          <w:numId w:val="1"/>
        </w:numPr>
        <w:spacing w:line="276" w:lineRule="auto"/>
        <w:ind w:left="0" w:firstLine="480"/>
        <w:rPr>
          <w:rFonts w:ascii="宋体" w:hAnsi="宋体" w:eastAsia="宋体" w:cs="宋体"/>
          <w:kern w:val="36"/>
          <w:sz w:val="24"/>
          <w:szCs w:val="24"/>
        </w:rPr>
      </w:pPr>
      <w:r>
        <w:rPr>
          <w:rFonts w:hint="eastAsia" w:ascii="宋体" w:hAnsi="宋体" w:eastAsia="宋体" w:cs="宋体"/>
          <w:kern w:val="36"/>
          <w:sz w:val="24"/>
          <w:szCs w:val="24"/>
        </w:rPr>
        <w:t>现今初中英语阅读教学现状分析</w:t>
      </w:r>
    </w:p>
    <w:p>
      <w:pPr>
        <w:pStyle w:val="12"/>
        <w:spacing w:line="276" w:lineRule="auto"/>
        <w:ind w:firstLine="480"/>
        <w:rPr>
          <w:rFonts w:ascii="宋体" w:hAnsi="宋体" w:eastAsia="宋体" w:cs="宋体"/>
          <w:kern w:val="36"/>
          <w:sz w:val="24"/>
          <w:szCs w:val="24"/>
        </w:rPr>
      </w:pPr>
      <w:r>
        <w:rPr>
          <w:rFonts w:hint="eastAsia" w:ascii="宋体" w:hAnsi="宋体" w:eastAsia="宋体" w:cs="宋体"/>
          <w:kern w:val="36"/>
          <w:sz w:val="24"/>
          <w:szCs w:val="24"/>
        </w:rPr>
        <w:t>随着全球化的加速和信息技术的不断发展，英语已经成为一种跨国交流和文化交流的重要工具，具备扎实的英语阅读和理解能力对于学生在未来的学术、职业以及全球化交流中具有至关重要的作用，英语阅读能力则是学习英语的基础和核心能力之一。然而，在我国初中英语阅读教学中，由于存在一些问题和困难，如重语言技能，轻学生语言应用和语境理解能力，课程难以贴合学生的学习习惯，以及单一化的教学模式令学生对英语阅读学习的兴趣大大减退，学生的英语阅读能力普遍较弱。</w:t>
      </w:r>
    </w:p>
    <w:p>
      <w:pPr>
        <w:pStyle w:val="12"/>
        <w:spacing w:line="276" w:lineRule="auto"/>
        <w:ind w:firstLine="480"/>
        <w:rPr>
          <w:rFonts w:ascii="宋体" w:hAnsi="宋体" w:eastAsia="宋体" w:cs="宋体"/>
          <w:kern w:val="36"/>
          <w:sz w:val="24"/>
          <w:szCs w:val="24"/>
        </w:rPr>
      </w:pPr>
      <w:r>
        <w:rPr>
          <w:rFonts w:hint="eastAsia" w:ascii="宋体" w:hAnsi="宋体" w:eastAsia="宋体" w:cs="宋体"/>
          <w:kern w:val="36"/>
          <w:sz w:val="24"/>
          <w:szCs w:val="24"/>
        </w:rPr>
        <w:t>这与学生接受义务制教育以来的学习习惯养成、英语词汇量积累、语法知识储备和语篇理解能力锻炼不足有关。这些问题还包括教师的教学方法陈旧，侧重于阅读技巧的讲解和练习，缺乏针对性、多样化和趣味性的教学手段。其次，教师教学内容单一，课本和阅读材料的选择单一，难以激发学生的兴趣与热情，从而导致课堂氛围单调。再次，当前教育侧重于技能培养而忽略素养的提升，学生在语言知识和语言应用方面有待加强。因此，我们的阅读指导方案需要着重培养学生的英语核心素养，如跨学科思维、批判性思维和创造力等，提升学生的语言能力、文化意识、思维品质及学习能力。最后，缺乏教学评估体系，无法全面有效地评估学生的阅读能力和学习效果。</w:t>
      </w:r>
    </w:p>
    <w:p>
      <w:pPr>
        <w:spacing w:line="276" w:lineRule="auto"/>
        <w:ind w:firstLine="480" w:firstLineChars="200"/>
        <w:rPr>
          <w:rFonts w:ascii="宋体" w:hAnsi="宋体" w:eastAsia="宋体" w:cs="宋体"/>
          <w:kern w:val="36"/>
          <w:sz w:val="24"/>
          <w:szCs w:val="24"/>
        </w:rPr>
      </w:pPr>
      <w:r>
        <w:rPr>
          <w:rFonts w:hint="eastAsia" w:ascii="宋体" w:hAnsi="宋体" w:eastAsia="宋体" w:cs="宋体"/>
          <w:kern w:val="36"/>
          <w:sz w:val="24"/>
          <w:szCs w:val="24"/>
        </w:rPr>
        <w:t>针对这些问题，我们需要采取相应的措施来改进初中英语阅读教学。《英语课程标准（2022年版）》明确提出学生应通过课程学习发展语言能力；培育文化意识，加深对中华文化的理解和认同，梳理国际视野，坚定文化自信；提升思维品质，初步从多角度观察和认识世界、看待事物，逐步发展逻辑思维、辩证思维和创新思维；提高学习能力，学生能主动参与语言实践活动，乐于交流、大胆尝试，学会自主探究，合作互助，学会反思和评价学习进展。作为英语教师，首先尝试从学生的英语素材积累入手，加强学生的词汇记忆和语法学习，并提升学生的生活知识和情感态度。其次，教师应该采用多种教学手段，比如说学生主导的项目化学习，激发学生的学习热情，培养学生的阅读策略和语言技能。同样重要的是，应该采用多样化的阅读材料，引导学生多角度、多形式的思考理解。最后，建立评估体系，如写作、口语和听力等多种形式的评估，来全面评估学生的英语阅读能力和学习效果。</w:t>
      </w:r>
    </w:p>
    <w:p>
      <w:pPr>
        <w:pStyle w:val="12"/>
        <w:spacing w:line="276" w:lineRule="auto"/>
        <w:ind w:firstLine="480"/>
        <w:rPr>
          <w:rFonts w:ascii="宋体" w:hAnsi="宋体" w:eastAsia="宋体" w:cs="宋体"/>
          <w:kern w:val="36"/>
          <w:sz w:val="24"/>
          <w:szCs w:val="24"/>
        </w:rPr>
      </w:pPr>
      <w:r>
        <w:rPr>
          <w:rFonts w:hint="eastAsia" w:ascii="宋体" w:hAnsi="宋体" w:eastAsia="宋体" w:cs="宋体"/>
          <w:kern w:val="36"/>
          <w:sz w:val="24"/>
          <w:szCs w:val="24"/>
        </w:rPr>
        <w:t>在这个基础上，基于项目化学习的初中英语阅读指导能够进一步加强与完善初中英语阅读教学。项目化学习的特点是学生主导和自主学习，让学生在实际情境下解决现实问题，从而在实践中提高学生的语言技能和能力，促进学生的综合素养发展。此外，项目化学习还可以调动学生的学习积极性，增加学生的学习兴趣和参与度。</w:t>
      </w:r>
    </w:p>
    <w:p>
      <w:pPr>
        <w:pStyle w:val="12"/>
        <w:numPr>
          <w:ilvl w:val="0"/>
          <w:numId w:val="1"/>
        </w:numPr>
        <w:spacing w:line="276" w:lineRule="auto"/>
        <w:ind w:left="0" w:firstLine="480"/>
        <w:rPr>
          <w:rFonts w:ascii="宋体" w:hAnsi="宋体" w:eastAsia="宋体" w:cs="宋体"/>
          <w:kern w:val="36"/>
          <w:sz w:val="24"/>
          <w:szCs w:val="24"/>
        </w:rPr>
      </w:pPr>
      <w:r>
        <w:rPr>
          <w:rFonts w:hint="eastAsia" w:ascii="宋体" w:hAnsi="宋体" w:eastAsia="宋体" w:cs="宋体"/>
          <w:kern w:val="36"/>
          <w:sz w:val="24"/>
          <w:szCs w:val="24"/>
        </w:rPr>
        <w:t>基于项目化学习的初中英语阅读指导实施</w:t>
      </w:r>
    </w:p>
    <w:p>
      <w:pPr>
        <w:pStyle w:val="12"/>
        <w:numPr>
          <w:ilvl w:val="0"/>
          <w:numId w:val="2"/>
        </w:numPr>
        <w:spacing w:line="276" w:lineRule="auto"/>
        <w:ind w:left="0" w:firstLine="480"/>
        <w:rPr>
          <w:rFonts w:ascii="宋体" w:hAnsi="宋体" w:eastAsia="宋体" w:cs="宋体"/>
          <w:kern w:val="36"/>
          <w:sz w:val="24"/>
          <w:szCs w:val="24"/>
        </w:rPr>
      </w:pPr>
      <w:r>
        <w:rPr>
          <w:rFonts w:hint="eastAsia" w:ascii="宋体" w:hAnsi="宋体" w:eastAsia="宋体" w:cs="宋体"/>
          <w:kern w:val="36"/>
          <w:sz w:val="24"/>
          <w:szCs w:val="24"/>
        </w:rPr>
        <w:t>项目化学习的概念和特点</w:t>
      </w:r>
    </w:p>
    <w:p>
      <w:pPr>
        <w:spacing w:line="276" w:lineRule="auto"/>
        <w:ind w:firstLine="480" w:firstLineChars="200"/>
        <w:rPr>
          <w:rFonts w:ascii="宋体" w:hAnsi="宋体" w:eastAsia="宋体" w:cs="宋体"/>
          <w:kern w:val="36"/>
          <w:sz w:val="24"/>
          <w:szCs w:val="24"/>
        </w:rPr>
      </w:pPr>
      <w:r>
        <w:rPr>
          <w:rFonts w:hint="eastAsia" w:ascii="宋体" w:hAnsi="宋体" w:eastAsia="宋体" w:cs="宋体"/>
          <w:kern w:val="36"/>
          <w:sz w:val="24"/>
          <w:szCs w:val="24"/>
        </w:rPr>
        <w:t>项目化学习是一种以项目为核心的学习模式，是一种跨学科的学习方式，倡导学生通过实践、探究和合作等方式在解决项目问题的过程中获得知识和能力。项目是学习的核心，项目过程中学生需要对问题进行探究、提出问题、制定计划、实施行动、获得反馈和总结反思。项目化学习学习模式可以培养学生的实践能力、合作能力、问题解决能力及创新能力等，同时也能够帮助学生建立跨越学科的联系，从而提高学生的学习参与度和自主学习能力。</w:t>
      </w:r>
    </w:p>
    <w:p>
      <w:pPr>
        <w:pStyle w:val="12"/>
        <w:numPr>
          <w:ilvl w:val="0"/>
          <w:numId w:val="2"/>
        </w:numPr>
        <w:spacing w:line="276" w:lineRule="auto"/>
        <w:ind w:left="0" w:firstLine="480"/>
        <w:rPr>
          <w:rFonts w:ascii="宋体" w:hAnsi="宋体" w:eastAsia="宋体" w:cs="宋体"/>
          <w:kern w:val="36"/>
          <w:sz w:val="24"/>
          <w:szCs w:val="24"/>
        </w:rPr>
      </w:pPr>
      <w:r>
        <w:rPr>
          <w:rFonts w:hint="eastAsia" w:ascii="宋体" w:hAnsi="宋体" w:eastAsia="宋体" w:cs="宋体"/>
          <w:kern w:val="36"/>
          <w:sz w:val="24"/>
          <w:szCs w:val="24"/>
        </w:rPr>
        <w:t>项目化学习在英语阅读学习中的应用</w:t>
      </w:r>
    </w:p>
    <w:p>
      <w:pPr>
        <w:spacing w:line="276" w:lineRule="auto"/>
        <w:ind w:firstLine="480" w:firstLineChars="200"/>
        <w:rPr>
          <w:sz w:val="24"/>
          <w:szCs w:val="24"/>
        </w:rPr>
      </w:pPr>
      <w:r>
        <w:rPr>
          <w:sz w:val="24"/>
          <w:szCs w:val="24"/>
        </w:rPr>
        <w:t>随着教育改革的推进和教育理念的更新，项目化学习在教育领域的应用越来越广泛。在英语阅读教学中，项目化学习有助于打破传统的教学模式，通过引导学生解决实际问题，提高阅读兴趣和能力</w:t>
      </w:r>
      <w:r>
        <w:rPr>
          <w:rFonts w:hint="eastAsia"/>
          <w:sz w:val="24"/>
          <w:szCs w:val="24"/>
        </w:rPr>
        <w:t>的</w:t>
      </w:r>
      <w:r>
        <w:rPr>
          <w:sz w:val="24"/>
          <w:szCs w:val="24"/>
        </w:rPr>
        <w:t>同时，也为学生提供了更多自主学习和合作学习的机会，有助于培养学生的综合素养和跨学科思维能力。</w:t>
      </w:r>
    </w:p>
    <w:p>
      <w:pPr>
        <w:spacing w:line="276" w:lineRule="auto"/>
        <w:ind w:firstLine="480" w:firstLineChars="200"/>
        <w:rPr>
          <w:rFonts w:ascii="宋体" w:hAnsi="宋体" w:eastAsia="宋体" w:cs="宋体"/>
          <w:kern w:val="36"/>
          <w:sz w:val="24"/>
          <w:szCs w:val="24"/>
        </w:rPr>
      </w:pPr>
      <w:r>
        <w:rPr>
          <w:rFonts w:hint="eastAsia" w:ascii="宋体" w:hAnsi="宋体" w:eastAsia="宋体" w:cs="宋体"/>
          <w:kern w:val="36"/>
          <w:sz w:val="24"/>
          <w:szCs w:val="24"/>
        </w:rPr>
        <w:t>初中英语项目化学习是语言学习与语言运用相结合的过程，不仅能帮助学生掌握语言知识，而且体会语言背后所承载的文化内涵，学生能够在对中西文化进行比较的过程中提升自身的思维品质，形成一定的跨文化意识与沟通能力。</w:t>
      </w:r>
    </w:p>
    <w:p>
      <w:pPr>
        <w:spacing w:line="276" w:lineRule="auto"/>
        <w:ind w:firstLine="480" w:firstLineChars="200"/>
        <w:rPr>
          <w:rFonts w:ascii="宋体" w:hAnsi="宋体" w:eastAsia="宋体" w:cs="宋体"/>
          <w:kern w:val="36"/>
          <w:sz w:val="24"/>
          <w:szCs w:val="24"/>
        </w:rPr>
      </w:pPr>
      <w:r>
        <w:rPr>
          <w:rFonts w:hint="eastAsia" w:ascii="宋体" w:hAnsi="宋体" w:eastAsia="宋体" w:cs="宋体"/>
          <w:kern w:val="36"/>
          <w:sz w:val="24"/>
          <w:szCs w:val="24"/>
        </w:rPr>
        <w:t>项目化学习在英语阅读学习中的应用可以帮助学生在阅读中更深层次的探索、理解和应用知识点，从而提高学生的英语阅读水平。项目化学习理论在英语阅读学习中的应用可以让学生首先了解一个新的话题或问题，并随后探究和讨论该话题或问题，调查相关背景知识，初步了解要阅读的文本基本信息和背景，在文本阅读过程中解读文本中的具体细节，比如文本中的字词、短语，从而逐步加深对文本的理解。然后，学生们可以利用阅读后的知识作为未来项目的素材，并分享和展示他们的项目成果。教师则可以通过提供有关文本的评价和反馈，以了解学生在多层次的阅读过程中发展的英语阅读技能的水平。</w:t>
      </w:r>
    </w:p>
    <w:p>
      <w:pPr>
        <w:pStyle w:val="12"/>
        <w:numPr>
          <w:ilvl w:val="0"/>
          <w:numId w:val="2"/>
        </w:numPr>
        <w:spacing w:line="276" w:lineRule="auto"/>
        <w:ind w:firstLineChars="0"/>
        <w:rPr>
          <w:rFonts w:ascii="宋体" w:hAnsi="宋体" w:eastAsia="宋体" w:cs="宋体"/>
          <w:kern w:val="36"/>
          <w:sz w:val="24"/>
          <w:szCs w:val="24"/>
        </w:rPr>
      </w:pPr>
      <w:r>
        <w:rPr>
          <w:rFonts w:hint="eastAsia" w:ascii="宋体" w:hAnsi="宋体" w:eastAsia="宋体" w:cs="宋体"/>
          <w:kern w:val="36"/>
          <w:sz w:val="24"/>
          <w:szCs w:val="24"/>
        </w:rPr>
        <w:t>项目化学习的英语阅读指导设计与实践</w:t>
      </w:r>
    </w:p>
    <w:p>
      <w:pPr>
        <w:pStyle w:val="13"/>
        <w:numPr>
          <w:ilvl w:val="0"/>
          <w:numId w:val="3"/>
        </w:numPr>
        <w:spacing w:before="0" w:beforeAutospacing="0" w:after="0" w:afterAutospacing="0" w:line="276" w:lineRule="auto"/>
        <w:jc w:val="both"/>
        <w:rPr>
          <w:color w:val="000000"/>
        </w:rPr>
      </w:pPr>
      <w:r>
        <w:rPr>
          <w:rFonts w:hint="eastAsia"/>
          <w:color w:val="000000"/>
        </w:rPr>
        <w:t>基于课堂、</w:t>
      </w:r>
      <w:r>
        <w:rPr>
          <w:rFonts w:hint="eastAsia"/>
          <w:color w:val="121212"/>
          <w:shd w:val="clear" w:color="auto" w:fill="FFFFFF"/>
        </w:rPr>
        <w:t>启发思维，</w:t>
      </w:r>
      <w:r>
        <w:rPr>
          <w:rFonts w:hint="eastAsia"/>
        </w:rPr>
        <w:t>基于教材，理解迁移</w:t>
      </w:r>
    </w:p>
    <w:p>
      <w:pPr>
        <w:pStyle w:val="13"/>
        <w:spacing w:before="0" w:beforeAutospacing="0" w:after="0" w:afterAutospacing="0" w:line="276" w:lineRule="auto"/>
        <w:ind w:firstLine="480" w:firstLineChars="200"/>
        <w:jc w:val="both"/>
        <w:rPr>
          <w:color w:val="000000"/>
        </w:rPr>
      </w:pPr>
      <w:r>
        <w:rPr>
          <w:rFonts w:hint="eastAsia"/>
          <w:color w:val="000000"/>
        </w:rPr>
        <w:t>英语学科以“人与自然”“人与社会”“人与自我”三大主题设计课程内容，这就要求教师需善于利用教材，有意识引导学生在学习过程中认识自我、认识世界、认识自然《牛津英语（上海版）》七年级下册第六单元阅读课t</w:t>
      </w:r>
      <w:r>
        <w:rPr>
          <w:color w:val="000000"/>
        </w:rPr>
        <w:t>he grasshopper and the ant</w:t>
      </w:r>
      <w:r>
        <w:rPr>
          <w:rFonts w:hint="eastAsia"/>
          <w:color w:val="000000"/>
        </w:rPr>
        <w:t>与六年级下册第三单元阅读课Dragon</w:t>
      </w:r>
      <w:r>
        <w:rPr>
          <w:color w:val="000000"/>
        </w:rPr>
        <w:t xml:space="preserve"> </w:t>
      </w:r>
      <w:r>
        <w:rPr>
          <w:rFonts w:hint="eastAsia"/>
          <w:color w:val="000000"/>
        </w:rPr>
        <w:t>Boat</w:t>
      </w:r>
      <w:r>
        <w:rPr>
          <w:color w:val="000000"/>
        </w:rPr>
        <w:t xml:space="preserve"> Festival</w:t>
      </w:r>
      <w:r>
        <w:rPr>
          <w:rFonts w:hint="eastAsia"/>
          <w:color w:val="000000"/>
        </w:rPr>
        <w:t>是两篇学生较为喜欢的阅读文本，文章故事性强，节日话题以及寓言故事都贴合学生学习与生活真实情境，在有限的课堂时间内学生无法充分表达和展示自我对文本的理解与个人的知识储备积累，因此教师在进行单元教学设计时，有意识地基于课程标准确立拓展阅读研究任务，以一个教学班为试点，以两个主题为学生探究方向，以项目化阅读指导模式验证教学系统性、综合性、和递进性的特点。</w:t>
      </w:r>
    </w:p>
    <w:p>
      <w:pPr>
        <w:pStyle w:val="13"/>
        <w:spacing w:before="0" w:beforeAutospacing="0" w:after="0" w:afterAutospacing="0" w:line="276" w:lineRule="auto"/>
        <w:ind w:firstLine="480" w:firstLineChars="200"/>
        <w:jc w:val="both"/>
      </w:pPr>
      <w:r>
        <w:rPr>
          <w:rFonts w:hint="eastAsia"/>
          <w:color w:val="000000"/>
        </w:rPr>
        <w:t>在课堂主阅读任务完成之后，教师与七年级学生进行头脑风暴，提问学生“课文寓言故事为什么以动物作为主角，在中国寓言故事中，是否也是如此呢？中国寓言中是否也有类似鼓励人们勤奋劳作的故事呢？中西方在讲述寓言故事时候，是否有些异同呢？”问题的提出引发学生共鸣与思考，但单一的主题任务无法满足所有学生需求，</w:t>
      </w:r>
      <w:r>
        <w:rPr>
          <w:rFonts w:hint="eastAsia"/>
        </w:rPr>
        <w:t>教师结合七年级学情与教材端午节阅读文本设定两大主题，</w:t>
      </w:r>
      <w:r>
        <w:rPr>
          <w:rFonts w:hint="eastAsia"/>
          <w:color w:val="000000"/>
        </w:rPr>
        <w:t>引导学生进行</w:t>
      </w:r>
      <w:r>
        <w:rPr>
          <w:rFonts w:hint="eastAsia"/>
        </w:rPr>
        <w:t>单元阅读文本知识迁移的同时</w:t>
      </w:r>
      <w:r>
        <w:rPr>
          <w:rFonts w:hint="eastAsia"/>
          <w:color w:val="000000"/>
        </w:rPr>
        <w:t>给与他们更多话题选择。项目开始前，教师</w:t>
      </w:r>
      <w:r>
        <w:rPr>
          <w:rFonts w:hint="eastAsia"/>
        </w:rPr>
        <w:t>引导学生挑选其中更为感兴趣的主题在课后进行自由分组，选定组长，着手项目化学习研究方案。</w:t>
      </w:r>
    </w:p>
    <w:p>
      <w:pPr>
        <w:pStyle w:val="13"/>
        <w:spacing w:before="0" w:beforeAutospacing="0" w:after="0" w:afterAutospacing="0" w:line="276" w:lineRule="auto"/>
        <w:ind w:firstLine="480" w:firstLineChars="200"/>
        <w:jc w:val="both"/>
        <w:rPr>
          <w:color w:val="000000"/>
        </w:rPr>
      </w:pPr>
      <w:r>
        <w:rPr>
          <w:rFonts w:hint="eastAsia"/>
        </w:rPr>
        <w:t>教师在整个过程中需引导学生在真实情境中发现问题、解决问题，协同学生共同制定分阶段任务表（见表1），在任务驱动下鼓励学生在注重教材与生活深度融合的基础上大胆提问，踊跃探究，让学生在生活中思考、求知，从而在实践中提升自己的学习能力，学会欣赏优秀文化，提高鉴赏能力，提升文化意识</w:t>
      </w:r>
      <w:r>
        <w:rPr>
          <w:rFonts w:hint="eastAsia"/>
          <w:color w:val="000000"/>
        </w:rPr>
        <w:t>。</w:t>
      </w:r>
    </w:p>
    <w:tbl>
      <w:tblPr>
        <w:tblStyle w:val="8"/>
        <w:tblW w:w="0" w:type="auto"/>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3686"/>
        <w:gridCol w:w="2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Stage</w:t>
            </w:r>
          </w:p>
        </w:tc>
        <w:tc>
          <w:tcPr>
            <w:tcW w:w="3686"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Task</w:t>
            </w:r>
          </w:p>
        </w:tc>
        <w:tc>
          <w:tcPr>
            <w:tcW w:w="2051"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Arrangement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1</w:t>
            </w:r>
          </w:p>
        </w:tc>
        <w:tc>
          <w:tcPr>
            <w:tcW w:w="3686"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Learn the passage</w:t>
            </w:r>
          </w:p>
        </w:tc>
        <w:tc>
          <w:tcPr>
            <w:tcW w:w="2051" w:type="dxa"/>
            <w:vMerge w:val="restart"/>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1 period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2</w:t>
            </w:r>
          </w:p>
        </w:tc>
        <w:tc>
          <w:tcPr>
            <w:tcW w:w="3686"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Confirm the topic and form the team</w:t>
            </w:r>
          </w:p>
        </w:tc>
        <w:tc>
          <w:tcPr>
            <w:tcW w:w="2051" w:type="dxa"/>
            <w:vMerge w:val="continue"/>
            <w:vAlign w:val="center"/>
          </w:tcPr>
          <w:p>
            <w:pPr>
              <w:pStyle w:val="13"/>
              <w:spacing w:before="0" w:beforeAutospacing="0" w:after="0" w:afterAutospacing="0" w:line="276" w:lineRule="auto"/>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3</w:t>
            </w:r>
          </w:p>
        </w:tc>
        <w:tc>
          <w:tcPr>
            <w:tcW w:w="3686"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Discuss problems and share ideas</w:t>
            </w:r>
          </w:p>
        </w:tc>
        <w:tc>
          <w:tcPr>
            <w:tcW w:w="2051"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1 period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4</w:t>
            </w:r>
          </w:p>
        </w:tc>
        <w:tc>
          <w:tcPr>
            <w:tcW w:w="3686"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Do presentations</w:t>
            </w:r>
          </w:p>
        </w:tc>
        <w:tc>
          <w:tcPr>
            <w:tcW w:w="2051" w:type="dxa"/>
            <w:vAlign w:val="center"/>
          </w:tcPr>
          <w:p>
            <w:pPr>
              <w:pStyle w:val="13"/>
              <w:spacing w:before="0" w:beforeAutospacing="0" w:after="0" w:afterAutospacing="0" w:line="276" w:lineRule="auto"/>
              <w:jc w:val="center"/>
              <w:rPr>
                <w:rFonts w:ascii="Times New Roman" w:hAnsi="Times New Roman" w:cs="Times New Roman"/>
              </w:rPr>
            </w:pPr>
            <w:r>
              <w:rPr>
                <w:rFonts w:ascii="Times New Roman" w:hAnsi="Times New Roman" w:cs="Times New Roman"/>
              </w:rPr>
              <w:t>1-2 periods</w:t>
            </w:r>
          </w:p>
        </w:tc>
      </w:tr>
    </w:tbl>
    <w:p>
      <w:pPr>
        <w:pStyle w:val="13"/>
        <w:spacing w:before="0" w:beforeAutospacing="0" w:after="0" w:afterAutospacing="0" w:line="276" w:lineRule="auto"/>
        <w:ind w:firstLine="480" w:firstLineChars="200"/>
        <w:jc w:val="center"/>
      </w:pPr>
      <w:r>
        <w:rPr>
          <w:rFonts w:hint="eastAsia"/>
        </w:rPr>
        <w:t>表1</w:t>
      </w:r>
    </w:p>
    <w:p>
      <w:pPr>
        <w:pStyle w:val="13"/>
        <w:numPr>
          <w:ilvl w:val="0"/>
          <w:numId w:val="3"/>
        </w:numPr>
        <w:spacing w:before="0" w:beforeAutospacing="0" w:after="0" w:afterAutospacing="0" w:line="276" w:lineRule="auto"/>
        <w:rPr>
          <w:color w:val="000000"/>
        </w:rPr>
      </w:pPr>
      <w:r>
        <w:rPr>
          <w:rFonts w:hint="eastAsia"/>
          <w:color w:val="121212"/>
          <w:shd w:val="clear" w:color="auto" w:fill="FFFFFF"/>
        </w:rPr>
        <w:t>搭建支架、互助共赢，</w:t>
      </w:r>
      <w:r>
        <w:rPr>
          <w:rFonts w:hint="eastAsia"/>
        </w:rPr>
        <w:t>小组合作，学习迁移</w:t>
      </w:r>
    </w:p>
    <w:p>
      <w:pPr>
        <w:pStyle w:val="13"/>
        <w:spacing w:before="0" w:beforeAutospacing="0" w:after="0" w:afterAutospacing="0" w:line="276" w:lineRule="auto"/>
        <w:ind w:firstLine="480" w:firstLineChars="200"/>
        <w:rPr>
          <w:color w:val="121212"/>
          <w:shd w:val="clear" w:color="auto" w:fill="FFFFFF"/>
        </w:rPr>
      </w:pPr>
      <w:r>
        <w:rPr>
          <w:rFonts w:hint="eastAsia"/>
          <w:color w:val="121212"/>
          <w:shd w:val="clear" w:color="auto" w:fill="FFFFFF"/>
        </w:rPr>
        <w:t>学生在一周时间内能基本完成分组并在组长带领下进行小组讨论，确定项目化学习具体探究内容，筛选小组内头脑风暴最有价值的问题，教师可针对学生的困惑进行解答与指导，对于无法完成分组学生进行合理协调与分配，让学生能够在整个项目化学习过程中体验独立任务的实践、团队任务的合作，从而实现语言知识乃至学习能力的迁移。在阶段2第二课时前，各小组基本完成分工与细则落实，如表2所示，该组确定探究</w:t>
      </w:r>
      <w:r>
        <w:rPr>
          <w:rFonts w:ascii="Times New Roman" w:hAnsi="Times New Roman" w:cs="Times New Roman"/>
          <w:color w:val="121212"/>
          <w:shd w:val="clear" w:color="auto" w:fill="FFFFFF"/>
        </w:rPr>
        <w:t>Comparison of Chinese fables in ‘Lie zi’ and foreign Aesop’s fables</w:t>
      </w:r>
      <w:r>
        <w:rPr>
          <w:rFonts w:hint="eastAsia"/>
          <w:color w:val="121212"/>
          <w:shd w:val="clear" w:color="auto" w:fill="FFFFFF"/>
        </w:rPr>
        <w:t>（中外寓言故事对比——列子与伊索寓言）并落实明确分工与进度安排。在第二课时学生交流与分享阶段成果和困惑时，学生间能可视化看到不同小组亮点与不足，促进互相学习与提议，教师在这个过程引导学生完善过程性资料积累、项目化学习的问题链设计以及过程性评价。</w:t>
      </w:r>
    </w:p>
    <w:tbl>
      <w:tblPr>
        <w:tblStyle w:val="8"/>
        <w:tblW w:w="0" w:type="auto"/>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1517"/>
        <w:gridCol w:w="2207"/>
        <w:gridCol w:w="1560"/>
        <w:gridCol w:w="1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4" w:type="dxa"/>
            <w:gridSpan w:val="5"/>
            <w:vAlign w:val="center"/>
          </w:tcPr>
          <w:p>
            <w:pPr>
              <w:pStyle w:val="13"/>
              <w:spacing w:before="0" w:beforeAutospacing="0" w:after="0" w:afterAutospacing="0" w:line="276" w:lineRule="auto"/>
              <w:ind w:firstLine="480" w:firstLineChars="200"/>
              <w:jc w:val="center"/>
              <w:rPr>
                <w:rFonts w:ascii="Times New Roman" w:hAnsi="Times New Roman" w:cs="Times New Roman"/>
                <w:color w:val="121212"/>
                <w:shd w:val="clear" w:color="auto" w:fill="FFFFFF"/>
              </w:rPr>
            </w:pPr>
            <w:r>
              <w:rPr>
                <w:rFonts w:ascii="Times New Roman" w:hAnsi="Times New Roman" w:cs="Times New Roman"/>
                <w:color w:val="121212"/>
                <w:shd w:val="clear" w:color="auto" w:fill="FFFFFF"/>
              </w:rPr>
              <w:t>Topic： Comparison of Chinese fables in “Lie zi” and foreign Aesop‘s fables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vAlign w:val="center"/>
          </w:tcPr>
          <w:p>
            <w:pPr>
              <w:pStyle w:val="13"/>
              <w:spacing w:before="0" w:beforeAutospacing="0" w:after="0" w:afterAutospacing="0" w:line="276" w:lineRule="auto"/>
              <w:ind w:firstLine="295" w:firstLineChars="123"/>
              <w:rPr>
                <w:rFonts w:ascii="Times New Roman" w:hAnsi="Times New Roman" w:cs="Times New Roman"/>
                <w:color w:val="121212"/>
                <w:shd w:val="clear" w:color="auto" w:fill="FFFFFF"/>
              </w:rPr>
            </w:pPr>
            <w:r>
              <w:rPr>
                <w:rFonts w:ascii="Times New Roman" w:hAnsi="Times New Roman" w:cs="Times New Roman"/>
                <w:color w:val="121212"/>
                <w:shd w:val="clear" w:color="auto" w:fill="FFFFFF"/>
              </w:rPr>
              <w:t>Member</w:t>
            </w:r>
          </w:p>
        </w:tc>
        <w:tc>
          <w:tcPr>
            <w:tcW w:w="1517" w:type="dxa"/>
            <w:vAlign w:val="center"/>
          </w:tcPr>
          <w:p>
            <w:pPr>
              <w:pStyle w:val="13"/>
              <w:spacing w:before="0" w:beforeAutospacing="0" w:after="0" w:afterAutospacing="0" w:line="276" w:lineRule="auto"/>
              <w:ind w:leftChars="-40" w:hanging="84" w:hangingChars="35"/>
              <w:jc w:val="center"/>
              <w:rPr>
                <w:rFonts w:ascii="Times New Roman" w:hAnsi="Times New Roman" w:cs="Times New Roman"/>
                <w:color w:val="121212"/>
                <w:shd w:val="clear" w:color="auto" w:fill="FFFFFF"/>
              </w:rPr>
            </w:pPr>
            <w:r>
              <w:rPr>
                <w:rFonts w:ascii="Times New Roman" w:hAnsi="Times New Roman" w:cs="Times New Roman"/>
                <w:color w:val="121212"/>
                <w:shd w:val="clear" w:color="auto" w:fill="FFFFFF"/>
              </w:rPr>
              <w:t>Duty</w:t>
            </w:r>
          </w:p>
        </w:tc>
        <w:tc>
          <w:tcPr>
            <w:tcW w:w="2207" w:type="dxa"/>
            <w:vAlign w:val="center"/>
          </w:tcPr>
          <w:p>
            <w:pPr>
              <w:pStyle w:val="13"/>
              <w:spacing w:before="0" w:beforeAutospacing="0" w:after="0" w:afterAutospacing="0" w:line="276" w:lineRule="auto"/>
              <w:ind w:left="-3" w:leftChars="-80" w:hanging="165" w:hangingChars="69"/>
              <w:jc w:val="center"/>
              <w:rPr>
                <w:rFonts w:ascii="Times New Roman" w:hAnsi="Times New Roman" w:cs="Times New Roman"/>
                <w:color w:val="121212"/>
                <w:shd w:val="clear" w:color="auto" w:fill="FFFFFF"/>
              </w:rPr>
            </w:pPr>
            <w:r>
              <w:rPr>
                <w:rFonts w:ascii="Times New Roman" w:hAnsi="Times New Roman" w:cs="Times New Roman"/>
                <w:color w:val="121212"/>
                <w:shd w:val="clear" w:color="auto" w:fill="FFFFFF"/>
              </w:rPr>
              <w:t>Possible difficulties</w:t>
            </w:r>
          </w:p>
        </w:tc>
        <w:tc>
          <w:tcPr>
            <w:tcW w:w="1560" w:type="dxa"/>
            <w:vAlign w:val="center"/>
          </w:tcPr>
          <w:p>
            <w:pPr>
              <w:pStyle w:val="13"/>
              <w:spacing w:before="0" w:beforeAutospacing="0" w:after="0" w:afterAutospacing="0" w:line="276" w:lineRule="auto"/>
              <w:ind w:firstLine="180" w:firstLineChars="75"/>
              <w:jc w:val="center"/>
              <w:rPr>
                <w:rFonts w:ascii="Times New Roman" w:hAnsi="Times New Roman" w:cs="Times New Roman"/>
                <w:color w:val="121212"/>
                <w:shd w:val="clear" w:color="auto" w:fill="FFFFFF"/>
              </w:rPr>
            </w:pPr>
            <w:r>
              <w:rPr>
                <w:rFonts w:ascii="Times New Roman" w:hAnsi="Times New Roman" w:cs="Times New Roman"/>
                <w:color w:val="121212"/>
                <w:shd w:val="clear" w:color="auto" w:fill="FFFFFF"/>
              </w:rPr>
              <w:t>solution</w:t>
            </w:r>
          </w:p>
        </w:tc>
        <w:tc>
          <w:tcPr>
            <w:tcW w:w="1269" w:type="dxa"/>
            <w:vAlign w:val="center"/>
          </w:tcPr>
          <w:p>
            <w:pPr>
              <w:pStyle w:val="13"/>
              <w:spacing w:before="0" w:beforeAutospacing="0" w:after="0" w:afterAutospacing="0" w:line="276" w:lineRule="auto"/>
              <w:ind w:leftChars="-49" w:hanging="103" w:hangingChars="43"/>
              <w:jc w:val="center"/>
              <w:rPr>
                <w:rFonts w:ascii="Times New Roman" w:hAnsi="Times New Roman" w:cs="Times New Roman"/>
                <w:color w:val="121212"/>
                <w:shd w:val="clear" w:color="auto" w:fill="FFFFFF"/>
              </w:rPr>
            </w:pPr>
            <w:r>
              <w:rPr>
                <w:rFonts w:ascii="Times New Roman" w:hAnsi="Times New Roman" w:cs="Times New Roman"/>
                <w:color w:val="121212"/>
                <w:shd w:val="clear" w:color="auto" w:fill="FFFFFF"/>
              </w:rPr>
              <w:t>Time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tcPr>
          <w:p>
            <w:pPr>
              <w:pStyle w:val="13"/>
              <w:spacing w:before="0" w:beforeAutospacing="0" w:after="0" w:afterAutospacing="0" w:line="276" w:lineRule="auto"/>
              <w:ind w:firstLine="480" w:firstLineChars="200"/>
              <w:rPr>
                <w:color w:val="121212"/>
                <w:shd w:val="clear" w:color="auto" w:fill="FFFFFF"/>
              </w:rPr>
            </w:pPr>
          </w:p>
        </w:tc>
        <w:tc>
          <w:tcPr>
            <w:tcW w:w="1517" w:type="dxa"/>
            <w:vAlign w:val="center"/>
          </w:tcPr>
          <w:p>
            <w:pPr>
              <w:pStyle w:val="13"/>
              <w:spacing w:before="0" w:beforeAutospacing="0" w:after="0" w:afterAutospacing="0" w:line="276" w:lineRule="auto"/>
              <w:ind w:leftChars="-32" w:hanging="67" w:hangingChars="28"/>
              <w:jc w:val="center"/>
              <w:rPr>
                <w:color w:val="121212"/>
                <w:shd w:val="clear" w:color="auto" w:fill="FFFFFF"/>
              </w:rPr>
            </w:pPr>
            <w:r>
              <w:rPr>
                <w:rFonts w:hint="eastAsia"/>
                <w:color w:val="121212"/>
                <w:shd w:val="clear" w:color="auto" w:fill="FFFFFF"/>
              </w:rPr>
              <w:t>文献、资料搜索</w:t>
            </w:r>
          </w:p>
        </w:tc>
        <w:tc>
          <w:tcPr>
            <w:tcW w:w="2207"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560"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269" w:type="dxa"/>
            <w:vAlign w:val="center"/>
          </w:tcPr>
          <w:p>
            <w:pPr>
              <w:pStyle w:val="13"/>
              <w:spacing w:before="0" w:beforeAutospacing="0" w:after="0" w:afterAutospacing="0" w:line="276" w:lineRule="auto"/>
              <w:ind w:firstLine="480" w:firstLineChars="200"/>
              <w:jc w:val="center"/>
              <w:rPr>
                <w:color w:val="121212"/>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tcPr>
          <w:p>
            <w:pPr>
              <w:pStyle w:val="13"/>
              <w:spacing w:before="0" w:beforeAutospacing="0" w:after="0" w:afterAutospacing="0" w:line="276" w:lineRule="auto"/>
              <w:ind w:firstLine="480" w:firstLineChars="200"/>
              <w:rPr>
                <w:color w:val="121212"/>
                <w:shd w:val="clear" w:color="auto" w:fill="FFFFFF"/>
              </w:rPr>
            </w:pPr>
          </w:p>
        </w:tc>
        <w:tc>
          <w:tcPr>
            <w:tcW w:w="1517" w:type="dxa"/>
            <w:vAlign w:val="center"/>
          </w:tcPr>
          <w:p>
            <w:pPr>
              <w:pStyle w:val="13"/>
              <w:spacing w:before="0" w:beforeAutospacing="0" w:after="0" w:afterAutospacing="0" w:line="276" w:lineRule="auto"/>
              <w:ind w:leftChars="-32" w:hanging="67" w:hangingChars="28"/>
              <w:jc w:val="center"/>
              <w:rPr>
                <w:color w:val="121212"/>
                <w:shd w:val="clear" w:color="auto" w:fill="FFFFFF"/>
              </w:rPr>
            </w:pPr>
            <w:r>
              <w:rPr>
                <w:rFonts w:hint="eastAsia"/>
                <w:color w:val="121212"/>
                <w:shd w:val="clear" w:color="auto" w:fill="FFFFFF"/>
              </w:rPr>
              <w:t>文献汇总与翻译</w:t>
            </w:r>
          </w:p>
        </w:tc>
        <w:tc>
          <w:tcPr>
            <w:tcW w:w="2207"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560"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269" w:type="dxa"/>
            <w:vAlign w:val="center"/>
          </w:tcPr>
          <w:p>
            <w:pPr>
              <w:pStyle w:val="13"/>
              <w:spacing w:before="0" w:beforeAutospacing="0" w:after="0" w:afterAutospacing="0" w:line="276" w:lineRule="auto"/>
              <w:ind w:firstLine="480" w:firstLineChars="200"/>
              <w:jc w:val="center"/>
              <w:rPr>
                <w:color w:val="121212"/>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tcPr>
          <w:p>
            <w:pPr>
              <w:pStyle w:val="13"/>
              <w:spacing w:before="0" w:beforeAutospacing="0" w:after="0" w:afterAutospacing="0" w:line="276" w:lineRule="auto"/>
              <w:ind w:firstLine="480" w:firstLineChars="200"/>
              <w:rPr>
                <w:color w:val="121212"/>
                <w:shd w:val="clear" w:color="auto" w:fill="FFFFFF"/>
              </w:rPr>
            </w:pPr>
          </w:p>
        </w:tc>
        <w:tc>
          <w:tcPr>
            <w:tcW w:w="1517" w:type="dxa"/>
            <w:vAlign w:val="center"/>
          </w:tcPr>
          <w:p>
            <w:pPr>
              <w:pStyle w:val="13"/>
              <w:spacing w:before="0" w:beforeAutospacing="0" w:after="0" w:afterAutospacing="0" w:line="276" w:lineRule="auto"/>
              <w:ind w:leftChars="-32" w:hanging="67" w:hangingChars="28"/>
              <w:jc w:val="center"/>
              <w:rPr>
                <w:color w:val="121212"/>
                <w:shd w:val="clear" w:color="auto" w:fill="FFFFFF"/>
              </w:rPr>
            </w:pPr>
            <w:r>
              <w:rPr>
                <w:rFonts w:hint="eastAsia"/>
                <w:color w:val="121212"/>
                <w:shd w:val="clear" w:color="auto" w:fill="FFFFFF"/>
              </w:rPr>
              <w:t>文本筛选</w:t>
            </w:r>
          </w:p>
        </w:tc>
        <w:tc>
          <w:tcPr>
            <w:tcW w:w="2207"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560"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269" w:type="dxa"/>
            <w:vAlign w:val="center"/>
          </w:tcPr>
          <w:p>
            <w:pPr>
              <w:pStyle w:val="13"/>
              <w:spacing w:before="0" w:beforeAutospacing="0" w:after="0" w:afterAutospacing="0" w:line="276" w:lineRule="auto"/>
              <w:ind w:firstLine="480" w:firstLineChars="200"/>
              <w:jc w:val="center"/>
              <w:rPr>
                <w:color w:val="121212"/>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tcPr>
          <w:p>
            <w:pPr>
              <w:pStyle w:val="13"/>
              <w:spacing w:before="0" w:beforeAutospacing="0" w:after="0" w:afterAutospacing="0" w:line="276" w:lineRule="auto"/>
              <w:ind w:firstLine="480" w:firstLineChars="200"/>
              <w:rPr>
                <w:color w:val="121212"/>
                <w:shd w:val="clear" w:color="auto" w:fill="FFFFFF"/>
              </w:rPr>
            </w:pPr>
          </w:p>
        </w:tc>
        <w:tc>
          <w:tcPr>
            <w:tcW w:w="1517" w:type="dxa"/>
            <w:vAlign w:val="center"/>
          </w:tcPr>
          <w:p>
            <w:pPr>
              <w:pStyle w:val="13"/>
              <w:spacing w:before="0" w:beforeAutospacing="0" w:after="0" w:afterAutospacing="0" w:line="276" w:lineRule="auto"/>
              <w:ind w:leftChars="-32" w:hanging="67" w:hangingChars="28"/>
              <w:jc w:val="center"/>
              <w:rPr>
                <w:color w:val="121212"/>
                <w:shd w:val="clear" w:color="auto" w:fill="FFFFFF"/>
              </w:rPr>
            </w:pPr>
            <w:r>
              <w:rPr>
                <w:rFonts w:hint="eastAsia"/>
                <w:color w:val="121212"/>
                <w:shd w:val="clear" w:color="auto" w:fill="FFFFFF"/>
              </w:rPr>
              <w:t>PPT制作与美化</w:t>
            </w:r>
          </w:p>
        </w:tc>
        <w:tc>
          <w:tcPr>
            <w:tcW w:w="2207"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560"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269" w:type="dxa"/>
            <w:vAlign w:val="center"/>
          </w:tcPr>
          <w:p>
            <w:pPr>
              <w:pStyle w:val="13"/>
              <w:spacing w:before="0" w:beforeAutospacing="0" w:after="0" w:afterAutospacing="0" w:line="276" w:lineRule="auto"/>
              <w:ind w:firstLine="480" w:firstLineChars="200"/>
              <w:jc w:val="center"/>
              <w:rPr>
                <w:color w:val="121212"/>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tcPr>
          <w:p>
            <w:pPr>
              <w:pStyle w:val="13"/>
              <w:spacing w:before="0" w:beforeAutospacing="0" w:after="0" w:afterAutospacing="0" w:line="276" w:lineRule="auto"/>
              <w:ind w:firstLine="480" w:firstLineChars="200"/>
              <w:rPr>
                <w:color w:val="121212"/>
                <w:shd w:val="clear" w:color="auto" w:fill="FFFFFF"/>
              </w:rPr>
            </w:pPr>
          </w:p>
        </w:tc>
        <w:tc>
          <w:tcPr>
            <w:tcW w:w="1517" w:type="dxa"/>
            <w:vAlign w:val="center"/>
          </w:tcPr>
          <w:p>
            <w:pPr>
              <w:pStyle w:val="13"/>
              <w:spacing w:before="0" w:beforeAutospacing="0" w:after="0" w:afterAutospacing="0" w:line="276" w:lineRule="auto"/>
              <w:rPr>
                <w:color w:val="121212"/>
                <w:shd w:val="clear" w:color="auto" w:fill="FFFFFF"/>
              </w:rPr>
            </w:pPr>
            <w:r>
              <w:rPr>
                <w:rFonts w:hint="eastAsia"/>
                <w:color w:val="121212"/>
                <w:shd w:val="clear" w:color="auto" w:fill="FFFFFF"/>
              </w:rPr>
              <w:t>汇报与展示</w:t>
            </w:r>
          </w:p>
        </w:tc>
        <w:tc>
          <w:tcPr>
            <w:tcW w:w="2207"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560" w:type="dxa"/>
            <w:vAlign w:val="center"/>
          </w:tcPr>
          <w:p>
            <w:pPr>
              <w:pStyle w:val="13"/>
              <w:spacing w:before="0" w:beforeAutospacing="0" w:after="0" w:afterAutospacing="0" w:line="276" w:lineRule="auto"/>
              <w:ind w:firstLine="480" w:firstLineChars="200"/>
              <w:jc w:val="center"/>
              <w:rPr>
                <w:color w:val="121212"/>
                <w:shd w:val="clear" w:color="auto" w:fill="FFFFFF"/>
              </w:rPr>
            </w:pPr>
          </w:p>
        </w:tc>
        <w:tc>
          <w:tcPr>
            <w:tcW w:w="1269" w:type="dxa"/>
            <w:vAlign w:val="center"/>
          </w:tcPr>
          <w:p>
            <w:pPr>
              <w:pStyle w:val="13"/>
              <w:spacing w:before="0" w:beforeAutospacing="0" w:after="0" w:afterAutospacing="0" w:line="276" w:lineRule="auto"/>
              <w:ind w:firstLine="480" w:firstLineChars="200"/>
              <w:jc w:val="center"/>
              <w:rPr>
                <w:color w:val="121212"/>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8054" w:type="dxa"/>
            <w:gridSpan w:val="5"/>
          </w:tcPr>
          <w:p>
            <w:pPr>
              <w:pStyle w:val="13"/>
              <w:spacing w:before="0" w:beforeAutospacing="0" w:after="0" w:afterAutospacing="0" w:line="276" w:lineRule="auto"/>
              <w:ind w:firstLine="480" w:firstLineChars="200"/>
              <w:rPr>
                <w:color w:val="121212"/>
                <w:shd w:val="clear" w:color="auto" w:fill="FFFFFF"/>
              </w:rPr>
            </w:pPr>
            <w:r>
              <w:rPr>
                <w:rFonts w:hint="eastAsia"/>
                <w:color w:val="121212"/>
                <w:shd w:val="clear" w:color="auto" w:fill="FFFFFF"/>
              </w:rPr>
              <w:t>集体讨论内容(问题链)1.</w:t>
            </w:r>
            <w:r>
              <w:rPr>
                <w:color w:val="121212"/>
                <w:shd w:val="clear" w:color="auto" w:fill="FFFFFF"/>
              </w:rPr>
              <w:t xml:space="preserve"> </w:t>
            </w:r>
          </w:p>
          <w:p>
            <w:pPr>
              <w:pStyle w:val="13"/>
              <w:spacing w:before="0" w:beforeAutospacing="0" w:after="0" w:afterAutospacing="0" w:line="276" w:lineRule="auto"/>
              <w:ind w:firstLine="480" w:firstLineChars="200"/>
              <w:rPr>
                <w:color w:val="121212"/>
                <w:shd w:val="clear" w:color="auto" w:fill="FFFFFF"/>
              </w:rPr>
            </w:pPr>
            <w:r>
              <w:rPr>
                <w:rFonts w:hint="eastAsia"/>
                <w:color w:val="121212"/>
                <w:shd w:val="clear" w:color="auto" w:fill="FFFFFF"/>
              </w:rPr>
              <w:t>2.</w:t>
            </w:r>
            <w:r>
              <w:rPr>
                <w:color w:val="121212"/>
                <w:shd w:val="clear" w:color="auto" w:fill="FFFFFF"/>
              </w:rPr>
              <w:t xml:space="preserve"> </w:t>
            </w:r>
          </w:p>
          <w:p>
            <w:pPr>
              <w:pStyle w:val="13"/>
              <w:spacing w:before="0" w:beforeAutospacing="0" w:after="0" w:afterAutospacing="0" w:line="276" w:lineRule="auto"/>
              <w:ind w:firstLine="480" w:firstLineChars="200"/>
              <w:rPr>
                <w:color w:val="121212"/>
                <w:shd w:val="clear" w:color="auto" w:fill="FFFFFF"/>
              </w:rPr>
            </w:pPr>
            <w:r>
              <w:rPr>
                <w:rFonts w:hint="eastAsia"/>
                <w:color w:val="121212"/>
                <w:shd w:val="clear" w:color="auto" w:fill="FFFFFF"/>
              </w:rPr>
              <w:t>3</w:t>
            </w:r>
          </w:p>
          <w:p>
            <w:pPr>
              <w:pStyle w:val="13"/>
              <w:spacing w:before="0" w:beforeAutospacing="0" w:after="0" w:afterAutospacing="0" w:line="276" w:lineRule="auto"/>
              <w:ind w:firstLine="480" w:firstLineChars="200"/>
              <w:rPr>
                <w:color w:val="121212"/>
                <w:shd w:val="clear" w:color="auto" w:fill="FFFFFF"/>
              </w:rPr>
            </w:pPr>
          </w:p>
        </w:tc>
      </w:tr>
    </w:tbl>
    <w:p>
      <w:pPr>
        <w:pStyle w:val="13"/>
        <w:spacing w:before="0" w:beforeAutospacing="0" w:after="0" w:afterAutospacing="0" w:line="276" w:lineRule="auto"/>
        <w:ind w:firstLine="480" w:firstLineChars="200"/>
        <w:rPr>
          <w:color w:val="121212"/>
          <w:shd w:val="clear" w:color="auto" w:fill="FFFFFF"/>
        </w:rPr>
      </w:pPr>
      <w:r>
        <w:rPr>
          <w:rFonts w:hint="eastAsia"/>
          <w:color w:val="121212"/>
          <w:shd w:val="clear" w:color="auto" w:fill="FFFFFF"/>
        </w:rPr>
        <w:t xml:space="preserve">                             表2</w:t>
      </w:r>
    </w:p>
    <w:p>
      <w:pPr>
        <w:pStyle w:val="13"/>
        <w:spacing w:before="0" w:beforeAutospacing="0" w:after="0" w:afterAutospacing="0" w:line="276" w:lineRule="auto"/>
        <w:ind w:firstLine="480" w:firstLineChars="200"/>
        <w:rPr>
          <w:color w:val="121212"/>
          <w:shd w:val="clear" w:color="auto" w:fill="FFFFFF"/>
        </w:rPr>
      </w:pPr>
    </w:p>
    <w:p>
      <w:pPr>
        <w:pStyle w:val="13"/>
        <w:spacing w:before="0" w:beforeAutospacing="0" w:after="0" w:afterAutospacing="0" w:line="276" w:lineRule="auto"/>
        <w:ind w:firstLine="480" w:firstLineChars="200"/>
        <w:jc w:val="both"/>
        <w:rPr>
          <w:color w:val="121212"/>
          <w:shd w:val="clear" w:color="auto" w:fill="FFFFFF"/>
        </w:rPr>
      </w:pPr>
      <w:r>
        <w:rPr>
          <w:rFonts w:hint="eastAsia"/>
          <w:color w:val="121212"/>
          <w:shd w:val="clear" w:color="auto" w:fill="FFFFFF"/>
        </w:rPr>
        <w:t>在表格中，我们能看到项目化学习探究、合作、互动的雏形，学生在过程中既自主学习英语拓展阅读材料，同时学习解决实际问题能力，比如如何读懂词汇量庞大的英语原版文本并汲取有效信息概括文本；如何利用网络资源检索所需信息等。在问题链设置完成后的问题驱动下，学生在合作完成任务中及与其他成员讨论与协作过程中，逐渐开展多学科如历史、语文、美术、信息等领域内容整合。学生将根据自己拟定的进度表，完成各自任务，形成完整的一份演示文稿初稿。</w:t>
      </w:r>
    </w:p>
    <w:p>
      <w:pPr>
        <w:pStyle w:val="13"/>
        <w:numPr>
          <w:ilvl w:val="0"/>
          <w:numId w:val="3"/>
        </w:numPr>
        <w:spacing w:before="0" w:beforeAutospacing="0" w:after="0" w:afterAutospacing="0" w:line="276" w:lineRule="auto"/>
        <w:jc w:val="both"/>
        <w:rPr>
          <w:color w:val="000000"/>
        </w:rPr>
      </w:pPr>
      <w:r>
        <w:rPr>
          <w:rFonts w:hint="eastAsia"/>
          <w:color w:val="000000"/>
        </w:rPr>
        <w:t>分享交流、提升感悟，</w:t>
      </w:r>
      <w:r>
        <w:rPr>
          <w:rFonts w:hint="eastAsia"/>
        </w:rPr>
        <w:t>学科整合，能力迁移</w:t>
      </w:r>
    </w:p>
    <w:p>
      <w:pPr>
        <w:pStyle w:val="13"/>
        <w:spacing w:before="0" w:beforeAutospacing="0" w:after="0" w:afterAutospacing="0" w:line="276" w:lineRule="auto"/>
        <w:ind w:firstLine="480" w:firstLineChars="200"/>
        <w:jc w:val="both"/>
      </w:pPr>
      <w:r>
        <w:rPr>
          <w:rFonts w:hint="eastAsia"/>
        </w:rPr>
        <w:t>项目成果分享展示既是项目验收环节，也是展示自我、提升能力的平台。学生通过前期教材学习、材料搜索，构建知识和能力，分阶段开展主题项目研究，不断克服困难，反思和改进，形成完整汇报文稿以及演示文档进行课堂小组汇报。</w:t>
      </w:r>
    </w:p>
    <w:p>
      <w:pPr>
        <w:pStyle w:val="12"/>
        <w:spacing w:line="276" w:lineRule="auto"/>
        <w:ind w:firstLine="480"/>
        <w:rPr>
          <w:rFonts w:ascii="宋体" w:hAnsi="宋体" w:eastAsia="宋体"/>
          <w:sz w:val="24"/>
          <w:szCs w:val="24"/>
        </w:rPr>
      </w:pPr>
      <w:r>
        <w:rPr>
          <w:rFonts w:hint="eastAsia"/>
          <w:sz w:val="24"/>
          <w:szCs w:val="24"/>
        </w:rPr>
        <w:t>同学与老师都可以看到，</w:t>
      </w:r>
      <w:r>
        <w:rPr>
          <w:rFonts w:hint="eastAsia" w:ascii="宋体" w:hAnsi="宋体" w:eastAsia="宋体"/>
          <w:sz w:val="24"/>
          <w:szCs w:val="24"/>
        </w:rPr>
        <w:t>平时羞于开口的学生为展示小组成果，站在讲台自信表达</w:t>
      </w:r>
      <w:r>
        <w:rPr>
          <w:rFonts w:hint="eastAsia"/>
          <w:sz w:val="24"/>
          <w:szCs w:val="24"/>
        </w:rPr>
        <w:t>。在各个小组</w:t>
      </w:r>
      <w:r>
        <w:rPr>
          <w:rFonts w:hint="eastAsia" w:ascii="宋体" w:hAnsi="宋体" w:eastAsia="宋体"/>
          <w:sz w:val="24"/>
          <w:szCs w:val="24"/>
        </w:rPr>
        <w:t>图文并茂的解说</w:t>
      </w:r>
      <w:r>
        <w:rPr>
          <w:rFonts w:hint="eastAsia"/>
          <w:sz w:val="24"/>
          <w:szCs w:val="24"/>
        </w:rPr>
        <w:t>过程中</w:t>
      </w:r>
      <w:r>
        <w:rPr>
          <w:rFonts w:hint="eastAsia" w:ascii="宋体" w:hAnsi="宋体" w:eastAsia="宋体"/>
          <w:sz w:val="24"/>
          <w:szCs w:val="24"/>
        </w:rPr>
        <w:t>，</w:t>
      </w:r>
      <w:r>
        <w:rPr>
          <w:rFonts w:hint="eastAsia"/>
          <w:sz w:val="24"/>
          <w:szCs w:val="24"/>
        </w:rPr>
        <w:t>他组</w:t>
      </w:r>
      <w:r>
        <w:rPr>
          <w:rFonts w:hint="eastAsia" w:ascii="宋体" w:hAnsi="宋体" w:eastAsia="宋体"/>
          <w:sz w:val="24"/>
          <w:szCs w:val="24"/>
        </w:rPr>
        <w:t>同学不仅参与学科与文化融合学习的过程，也</w:t>
      </w:r>
      <w:r>
        <w:rPr>
          <w:rFonts w:hint="eastAsia"/>
          <w:sz w:val="24"/>
          <w:szCs w:val="24"/>
        </w:rPr>
        <w:t>进行英语听、说、读的训练，以学生为主体的课堂，让英语学习的专注度与参与度达到前所未有的高度</w:t>
      </w:r>
      <w:r>
        <w:rPr>
          <w:rFonts w:hint="eastAsia" w:ascii="宋体" w:hAnsi="宋体" w:eastAsia="宋体"/>
          <w:sz w:val="24"/>
          <w:szCs w:val="24"/>
        </w:rPr>
        <w:t>。</w:t>
      </w:r>
    </w:p>
    <w:p>
      <w:pPr>
        <w:pStyle w:val="12"/>
        <w:spacing w:line="276" w:lineRule="auto"/>
        <w:ind w:firstLine="480"/>
        <w:rPr>
          <w:rFonts w:ascii="宋体" w:hAnsi="宋体" w:eastAsia="宋体"/>
          <w:sz w:val="24"/>
          <w:szCs w:val="24"/>
        </w:rPr>
      </w:pPr>
      <w:r>
        <w:rPr>
          <w:rFonts w:hint="eastAsia" w:ascii="宋体" w:hAnsi="宋体" w:eastAsia="宋体"/>
          <w:sz w:val="24"/>
          <w:szCs w:val="24"/>
        </w:rPr>
        <w:t>此次项目实践中，多数小组针对选取节日或寓言故事的异同比较，依旧以</w:t>
      </w:r>
      <w:r>
        <w:rPr>
          <w:rFonts w:ascii="Times New Roman" w:hAnsi="Times New Roman" w:eastAsia="宋体" w:cs="Times New Roman"/>
          <w:color w:val="121212"/>
          <w:sz w:val="24"/>
          <w:szCs w:val="24"/>
          <w:shd w:val="clear" w:color="auto" w:fill="FFFFFF"/>
        </w:rPr>
        <w:t>Comparison of Chinese fables in “Lie zi” and foreign Aesop‘s fables</w:t>
      </w:r>
      <w:r>
        <w:rPr>
          <w:rFonts w:hint="eastAsia" w:ascii="Times New Roman" w:hAnsi="Times New Roman" w:eastAsia="宋体" w:cs="Times New Roman"/>
          <w:color w:val="121212"/>
          <w:sz w:val="24"/>
          <w:szCs w:val="24"/>
          <w:shd w:val="clear" w:color="auto" w:fill="FFFFFF"/>
        </w:rPr>
        <w:t>（</w:t>
      </w:r>
      <w:r>
        <w:rPr>
          <w:rFonts w:hint="eastAsia" w:ascii="宋体" w:hAnsi="宋体" w:eastAsia="宋体"/>
          <w:sz w:val="24"/>
          <w:szCs w:val="24"/>
        </w:rPr>
        <w:t>图1</w:t>
      </w:r>
      <w:r>
        <w:rPr>
          <w:rFonts w:hint="eastAsia" w:ascii="Times New Roman" w:hAnsi="Times New Roman" w:eastAsia="宋体" w:cs="Times New Roman"/>
          <w:color w:val="121212"/>
          <w:sz w:val="24"/>
          <w:szCs w:val="24"/>
          <w:shd w:val="clear" w:color="auto" w:fill="FFFFFF"/>
        </w:rPr>
        <w:t>）</w:t>
      </w:r>
      <w:r>
        <w:rPr>
          <w:rFonts w:hint="eastAsia" w:ascii="宋体" w:hAnsi="宋体" w:eastAsia="宋体"/>
          <w:sz w:val="24"/>
          <w:szCs w:val="24"/>
        </w:rPr>
        <w:t>该组学生主题汇报与展示为例，演示文稿清晰的目录、直观的中西寓言故事异同对比让英语课堂真正呈现学生学习内容的勾连。在整个活动中自发的内心体验，将所学多学科知识迁移转化为综合实践能力的体现，也让教师看到了学生思维被激活，在自由表达的过程中，形成正确的价值观，</w:t>
      </w:r>
      <w:r>
        <w:rPr>
          <w:rFonts w:hint="eastAsia" w:ascii="宋体" w:hAnsi="宋体" w:eastAsia="宋体" w:cs="宋体"/>
          <w:kern w:val="36"/>
          <w:sz w:val="24"/>
          <w:szCs w:val="24"/>
        </w:rPr>
        <w:t>提升思维品质与文化意识，</w:t>
      </w:r>
      <w:r>
        <w:rPr>
          <w:rFonts w:hint="eastAsia" w:ascii="宋体" w:hAnsi="宋体" w:eastAsia="宋体"/>
          <w:sz w:val="24"/>
          <w:szCs w:val="24"/>
        </w:rPr>
        <w:t>助力核心素养的培养，这也正是传统讲授型英语阅读课堂难以攻克的一大难点。</w:t>
      </w:r>
    </w:p>
    <w:p>
      <w:pPr>
        <w:pStyle w:val="13"/>
        <w:spacing w:before="0" w:beforeAutospacing="0" w:after="0" w:afterAutospacing="0" w:line="276" w:lineRule="auto"/>
        <w:ind w:firstLine="480" w:firstLineChars="200"/>
        <w:rPr>
          <w:color w:val="000000"/>
        </w:rPr>
      </w:pPr>
    </w:p>
    <w:p>
      <w:pPr>
        <w:pStyle w:val="12"/>
        <w:spacing w:line="276" w:lineRule="auto"/>
        <w:ind w:firstLine="0" w:firstLineChars="0"/>
        <w:rPr>
          <w:rFonts w:ascii="宋体" w:hAnsi="宋体" w:eastAsia="宋体"/>
          <w:sz w:val="24"/>
          <w:szCs w:val="24"/>
        </w:rPr>
      </w:pPr>
      <w:r>
        <w:rPr>
          <w:rFonts w:ascii="宋体" w:hAnsi="宋体" w:eastAsia="宋体"/>
          <w:sz w:val="24"/>
          <w:szCs w:val="24"/>
        </w:rPr>
        <w:drawing>
          <wp:inline distT="0" distB="0" distL="0" distR="0">
            <wp:extent cx="5400040" cy="7078345"/>
            <wp:effectExtent l="0" t="0" r="0" b="8255"/>
            <wp:docPr id="727999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9959"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400040" cy="7078345"/>
                    </a:xfrm>
                    <a:prstGeom prst="rect">
                      <a:avLst/>
                    </a:prstGeom>
                    <a:noFill/>
                    <a:ln>
                      <a:noFill/>
                    </a:ln>
                  </pic:spPr>
                </pic:pic>
              </a:graphicData>
            </a:graphic>
          </wp:inline>
        </w:drawing>
      </w:r>
    </w:p>
    <w:p>
      <w:pPr>
        <w:pStyle w:val="12"/>
        <w:spacing w:line="276" w:lineRule="auto"/>
        <w:ind w:firstLine="480"/>
        <w:jc w:val="center"/>
        <w:rPr>
          <w:rFonts w:ascii="宋体" w:hAnsi="宋体" w:eastAsia="宋体"/>
          <w:sz w:val="24"/>
          <w:szCs w:val="24"/>
        </w:rPr>
      </w:pPr>
      <w:r>
        <w:rPr>
          <w:rFonts w:hint="eastAsia" w:ascii="宋体" w:hAnsi="宋体" w:eastAsia="宋体"/>
          <w:sz w:val="24"/>
          <w:szCs w:val="24"/>
        </w:rPr>
        <w:t>图1（学生成果展示）</w:t>
      </w:r>
    </w:p>
    <w:p>
      <w:pPr>
        <w:pStyle w:val="12"/>
        <w:spacing w:line="276" w:lineRule="auto"/>
        <w:ind w:firstLine="480"/>
        <w:jc w:val="center"/>
        <w:rPr>
          <w:rFonts w:hint="eastAsia" w:ascii="宋体" w:hAnsi="宋体" w:eastAsia="宋体"/>
          <w:sz w:val="24"/>
          <w:szCs w:val="24"/>
        </w:rPr>
      </w:pPr>
    </w:p>
    <w:p>
      <w:pPr>
        <w:spacing w:after="240" w:line="276" w:lineRule="auto"/>
        <w:ind w:firstLine="480" w:firstLineChars="200"/>
        <w:rPr>
          <w:rFonts w:ascii="宋体" w:hAnsi="宋体" w:eastAsia="宋体"/>
          <w:sz w:val="24"/>
          <w:szCs w:val="24"/>
        </w:rPr>
      </w:pPr>
      <w:r>
        <w:rPr>
          <w:rFonts w:ascii="宋体" w:hAnsi="宋体" w:eastAsia="宋体"/>
          <w:sz w:val="24"/>
          <w:szCs w:val="24"/>
        </w:rPr>
        <w:t>在项目化学习的阅读</w:t>
      </w:r>
      <w:r>
        <w:rPr>
          <w:rFonts w:hint="eastAsia" w:ascii="宋体" w:hAnsi="宋体" w:eastAsia="宋体"/>
          <w:sz w:val="24"/>
          <w:szCs w:val="24"/>
        </w:rPr>
        <w:t>学习</w:t>
      </w:r>
      <w:r>
        <w:rPr>
          <w:rFonts w:ascii="宋体" w:hAnsi="宋体" w:eastAsia="宋体"/>
          <w:sz w:val="24"/>
          <w:szCs w:val="24"/>
        </w:rPr>
        <w:t>指导模式中，</w:t>
      </w:r>
      <w:r>
        <w:rPr>
          <w:rFonts w:hint="eastAsia" w:ascii="宋体" w:hAnsi="宋体" w:eastAsia="宋体"/>
          <w:sz w:val="24"/>
          <w:szCs w:val="24"/>
        </w:rPr>
        <w:t>还应注重</w:t>
      </w:r>
      <w:r>
        <w:rPr>
          <w:rFonts w:ascii="宋体" w:hAnsi="宋体" w:eastAsia="宋体"/>
          <w:sz w:val="24"/>
          <w:szCs w:val="24"/>
        </w:rPr>
        <w:t>多元化评价，包括写作、口语、听力等多种形式。教师可以通过评价学生对项目的完成情况、对文本的理解程度、讨论的参与度等方面来评估学生的阅读能力。</w:t>
      </w:r>
      <w:r>
        <w:rPr>
          <w:rFonts w:hint="eastAsia" w:ascii="宋体" w:hAnsi="宋体" w:eastAsia="宋体"/>
          <w:sz w:val="24"/>
          <w:szCs w:val="24"/>
        </w:rPr>
        <w:t>此次的项目化学习实践过程中，形成成果展示评价表（表3）记录阶段4学生分组展示课堂评价以及对于整个活动四个阶段的行为表现评价表（表4）。</w:t>
      </w:r>
      <w:r>
        <w:rPr>
          <w:rFonts w:ascii="宋体" w:hAnsi="宋体" w:eastAsia="宋体"/>
          <w:sz w:val="24"/>
          <w:szCs w:val="24"/>
        </w:rPr>
        <w:t>教师鼓励学生进行自我评价和同伴互评，以促进学生的自我反思和互相学习。</w:t>
      </w:r>
      <w:r>
        <w:rPr>
          <w:rFonts w:hint="eastAsia" w:ascii="宋体" w:hAnsi="宋体" w:eastAsia="宋体"/>
          <w:sz w:val="24"/>
          <w:szCs w:val="24"/>
        </w:rPr>
        <w:t>正是在这样的多元评价下，学生基于自身与他人的不足，改善共性问题，不断优化个人及小组的成果，在展示与修改的过程中，以终为始，提升学习能力与学习自信。而各类阶段性</w:t>
      </w:r>
      <w:r>
        <w:rPr>
          <w:rFonts w:ascii="宋体" w:hAnsi="宋体" w:eastAsia="宋体"/>
          <w:sz w:val="24"/>
          <w:szCs w:val="24"/>
        </w:rPr>
        <w:t>评价结果</w:t>
      </w:r>
      <w:r>
        <w:rPr>
          <w:rFonts w:hint="eastAsia" w:ascii="宋体" w:hAnsi="宋体" w:eastAsia="宋体"/>
          <w:sz w:val="24"/>
          <w:szCs w:val="24"/>
        </w:rPr>
        <w:t>也可</w:t>
      </w:r>
      <w:r>
        <w:rPr>
          <w:rFonts w:ascii="宋体" w:hAnsi="宋体" w:eastAsia="宋体"/>
          <w:sz w:val="24"/>
          <w:szCs w:val="24"/>
        </w:rPr>
        <w:t>作为调整教学策略和进一步优化项目化学习阅读指导模式的依据。</w:t>
      </w:r>
      <w:r>
        <w:rPr>
          <w:rFonts w:hint="eastAsia" w:ascii="宋体" w:hAnsi="宋体" w:eastAsia="宋体"/>
          <w:color w:val="558ED5" w:themeColor="text2" w:themeTint="99"/>
          <w:sz w:val="24"/>
          <w:szCs w:val="24"/>
          <w14:textFill>
            <w14:solidFill>
              <w14:schemeClr w14:val="tx2">
                <w14:lumMod w14:val="60000"/>
                <w14:lumOff w14:val="40000"/>
              </w14:schemeClr>
            </w14:solidFill>
          </w14:textFill>
        </w:rPr>
        <w:t xml:space="preserve">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1417"/>
        <w:gridCol w:w="1699"/>
        <w:gridCol w:w="1699"/>
        <w:gridCol w:w="1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评价要素</w:t>
            </w:r>
          </w:p>
        </w:tc>
        <w:tc>
          <w:tcPr>
            <w:tcW w:w="1417"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自评</w:t>
            </w:r>
          </w:p>
        </w:tc>
        <w:tc>
          <w:tcPr>
            <w:tcW w:w="1699"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组长</w:t>
            </w:r>
          </w:p>
        </w:tc>
        <w:tc>
          <w:tcPr>
            <w:tcW w:w="1699"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他组</w:t>
            </w:r>
          </w:p>
        </w:tc>
        <w:tc>
          <w:tcPr>
            <w:tcW w:w="1699"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他组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项目参与度</w:t>
            </w:r>
          </w:p>
          <w:p>
            <w:pPr>
              <w:spacing w:line="276" w:lineRule="auto"/>
              <w:jc w:val="center"/>
              <w:rPr>
                <w:rFonts w:ascii="宋体" w:hAnsi="宋体" w:eastAsia="宋体"/>
                <w:sz w:val="24"/>
                <w:szCs w:val="24"/>
              </w:rPr>
            </w:pPr>
            <w:r>
              <w:rPr>
                <w:rFonts w:hint="eastAsia" w:ascii="宋体" w:hAnsi="宋体" w:eastAsia="宋体"/>
                <w:sz w:val="24"/>
                <w:szCs w:val="24"/>
              </w:rPr>
              <w:t>☆☆☆</w:t>
            </w:r>
          </w:p>
        </w:tc>
        <w:tc>
          <w:tcPr>
            <w:tcW w:w="1417"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项目完成度</w:t>
            </w:r>
          </w:p>
          <w:p>
            <w:pPr>
              <w:spacing w:line="276" w:lineRule="auto"/>
              <w:jc w:val="center"/>
              <w:rPr>
                <w:rFonts w:ascii="宋体" w:hAnsi="宋体" w:eastAsia="宋体"/>
                <w:sz w:val="24"/>
                <w:szCs w:val="24"/>
              </w:rPr>
            </w:pPr>
            <w:r>
              <w:rPr>
                <w:rFonts w:hint="eastAsia" w:ascii="宋体" w:hAnsi="宋体" w:eastAsia="宋体"/>
                <w:sz w:val="24"/>
                <w:szCs w:val="24"/>
              </w:rPr>
              <w:t>☆☆☆</w:t>
            </w:r>
          </w:p>
        </w:tc>
        <w:tc>
          <w:tcPr>
            <w:tcW w:w="1417"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语言表达</w:t>
            </w:r>
          </w:p>
          <w:p>
            <w:pPr>
              <w:spacing w:line="276" w:lineRule="auto"/>
              <w:jc w:val="center"/>
              <w:rPr>
                <w:rFonts w:ascii="宋体" w:hAnsi="宋体" w:eastAsia="宋体"/>
                <w:sz w:val="24"/>
                <w:szCs w:val="24"/>
              </w:rPr>
            </w:pPr>
            <w:r>
              <w:rPr>
                <w:rFonts w:hint="eastAsia" w:ascii="宋体" w:hAnsi="宋体" w:eastAsia="宋体"/>
                <w:sz w:val="24"/>
                <w:szCs w:val="24"/>
              </w:rPr>
              <w:t>☆☆☆</w:t>
            </w:r>
          </w:p>
        </w:tc>
        <w:tc>
          <w:tcPr>
            <w:tcW w:w="1417"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讲稿设计</w:t>
            </w:r>
          </w:p>
          <w:p>
            <w:pPr>
              <w:spacing w:line="276" w:lineRule="auto"/>
              <w:jc w:val="center"/>
              <w:rPr>
                <w:rFonts w:ascii="宋体" w:hAnsi="宋体" w:eastAsia="宋体"/>
                <w:sz w:val="24"/>
                <w:szCs w:val="24"/>
              </w:rPr>
            </w:pPr>
            <w:r>
              <w:rPr>
                <w:rFonts w:hint="eastAsia" w:ascii="宋体" w:hAnsi="宋体" w:eastAsia="宋体"/>
                <w:sz w:val="24"/>
                <w:szCs w:val="24"/>
              </w:rPr>
              <w:t>☆☆☆</w:t>
            </w:r>
          </w:p>
        </w:tc>
        <w:tc>
          <w:tcPr>
            <w:tcW w:w="1417"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和作展示</w:t>
            </w:r>
          </w:p>
          <w:p>
            <w:pPr>
              <w:spacing w:line="276" w:lineRule="auto"/>
              <w:jc w:val="center"/>
              <w:rPr>
                <w:rFonts w:ascii="宋体" w:hAnsi="宋体" w:eastAsia="宋体"/>
                <w:sz w:val="24"/>
                <w:szCs w:val="24"/>
              </w:rPr>
            </w:pPr>
            <w:r>
              <w:rPr>
                <w:rFonts w:hint="eastAsia" w:ascii="宋体" w:hAnsi="宋体" w:eastAsia="宋体"/>
                <w:sz w:val="24"/>
                <w:szCs w:val="24"/>
              </w:rPr>
              <w:t>☆☆☆</w:t>
            </w:r>
          </w:p>
        </w:tc>
        <w:tc>
          <w:tcPr>
            <w:tcW w:w="1417"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c>
          <w:tcPr>
            <w:tcW w:w="1699" w:type="dxa"/>
            <w:vAlign w:val="center"/>
          </w:tcPr>
          <w:p>
            <w:pPr>
              <w:spacing w:line="276" w:lineRule="auto"/>
              <w:jc w:val="center"/>
              <w:rPr>
                <w:rFonts w:ascii="宋体" w:hAnsi="宋体" w:eastAsia="宋体"/>
                <w:sz w:val="24"/>
                <w:szCs w:val="24"/>
              </w:rPr>
            </w:pPr>
          </w:p>
        </w:tc>
      </w:tr>
    </w:tbl>
    <w:p>
      <w:pPr>
        <w:spacing w:line="276" w:lineRule="auto"/>
        <w:ind w:firstLine="480" w:firstLineChars="200"/>
        <w:jc w:val="center"/>
        <w:rPr>
          <w:rFonts w:ascii="宋体" w:hAnsi="宋体" w:eastAsia="宋体"/>
          <w:sz w:val="24"/>
          <w:szCs w:val="24"/>
        </w:rPr>
      </w:pPr>
      <w:r>
        <w:rPr>
          <w:rFonts w:hint="eastAsia" w:ascii="宋体" w:hAnsi="宋体" w:eastAsia="宋体"/>
          <w:sz w:val="24"/>
          <w:szCs w:val="24"/>
        </w:rPr>
        <w:t>表3（成果展示评价表）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8"/>
        <w:gridCol w:w="3400"/>
        <w:gridCol w:w="1134"/>
        <w:gridCol w:w="1134"/>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9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评价项目</w:t>
            </w:r>
          </w:p>
        </w:tc>
        <w:tc>
          <w:tcPr>
            <w:tcW w:w="3400" w:type="dxa"/>
            <w:vAlign w:val="center"/>
          </w:tcPr>
          <w:p>
            <w:pPr>
              <w:spacing w:line="276" w:lineRule="auto"/>
              <w:jc w:val="center"/>
              <w:rPr>
                <w:rFonts w:ascii="宋体" w:hAnsi="宋体" w:eastAsia="宋体"/>
                <w:sz w:val="24"/>
                <w:szCs w:val="24"/>
              </w:rPr>
            </w:pPr>
          </w:p>
        </w:tc>
        <w:tc>
          <w:tcPr>
            <w:tcW w:w="1134"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自评</w:t>
            </w:r>
          </w:p>
          <w:p>
            <w:pPr>
              <w:spacing w:line="276" w:lineRule="auto"/>
              <w:jc w:val="center"/>
              <w:rPr>
                <w:rFonts w:ascii="宋体" w:hAnsi="宋体" w:eastAsia="宋体"/>
                <w:sz w:val="24"/>
                <w:szCs w:val="24"/>
              </w:rPr>
            </w:pPr>
            <w:r>
              <w:rPr>
                <w:rFonts w:hint="eastAsia" w:ascii="宋体" w:hAnsi="宋体" w:eastAsia="宋体"/>
                <w:sz w:val="24"/>
                <w:szCs w:val="24"/>
              </w:rPr>
              <w:t>☆☆☆</w:t>
            </w:r>
          </w:p>
        </w:tc>
        <w:tc>
          <w:tcPr>
            <w:tcW w:w="1134"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互评</w:t>
            </w:r>
          </w:p>
          <w:p>
            <w:pPr>
              <w:spacing w:line="276" w:lineRule="auto"/>
              <w:jc w:val="center"/>
              <w:rPr>
                <w:rFonts w:ascii="宋体" w:hAnsi="宋体" w:eastAsia="宋体"/>
                <w:sz w:val="24"/>
                <w:szCs w:val="24"/>
              </w:rPr>
            </w:pPr>
            <w:r>
              <w:rPr>
                <w:rFonts w:hint="eastAsia" w:ascii="宋体" w:hAnsi="宋体" w:eastAsia="宋体"/>
                <w:sz w:val="24"/>
                <w:szCs w:val="24"/>
              </w:rPr>
              <w:t>☆☆☆</w:t>
            </w:r>
          </w:p>
        </w:tc>
        <w:tc>
          <w:tcPr>
            <w:tcW w:w="112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师评</w:t>
            </w:r>
          </w:p>
          <w:p>
            <w:pPr>
              <w:spacing w:line="276" w:lineRule="auto"/>
              <w:jc w:val="center"/>
              <w:rPr>
                <w:rFonts w:ascii="宋体" w:hAnsi="宋体" w:eastAsia="宋体"/>
                <w:sz w:val="24"/>
                <w:szCs w:val="24"/>
              </w:rPr>
            </w:pPr>
            <w:r>
              <w:rPr>
                <w:rFonts w:hint="eastAsia" w:ascii="宋体" w:hAnsi="宋体" w:eastAsia="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分析能力</w:t>
            </w:r>
          </w:p>
        </w:tc>
        <w:tc>
          <w:tcPr>
            <w:tcW w:w="340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分析教材及阅读材料文本、内容、话题等</w:t>
            </w:r>
          </w:p>
        </w:tc>
        <w:tc>
          <w:tcPr>
            <w:tcW w:w="1134" w:type="dxa"/>
            <w:vAlign w:val="center"/>
          </w:tcPr>
          <w:p>
            <w:pPr>
              <w:spacing w:line="276" w:lineRule="auto"/>
              <w:jc w:val="center"/>
              <w:rPr>
                <w:rFonts w:ascii="宋体" w:hAnsi="宋体" w:eastAsia="宋体"/>
                <w:sz w:val="24"/>
                <w:szCs w:val="24"/>
              </w:rPr>
            </w:pPr>
          </w:p>
        </w:tc>
        <w:tc>
          <w:tcPr>
            <w:tcW w:w="1134" w:type="dxa"/>
            <w:vAlign w:val="center"/>
          </w:tcPr>
          <w:p>
            <w:pPr>
              <w:spacing w:line="276" w:lineRule="auto"/>
              <w:jc w:val="center"/>
              <w:rPr>
                <w:rFonts w:ascii="宋体" w:hAnsi="宋体" w:eastAsia="宋体"/>
                <w:sz w:val="24"/>
                <w:szCs w:val="24"/>
              </w:rPr>
            </w:pPr>
          </w:p>
        </w:tc>
        <w:tc>
          <w:tcPr>
            <w:tcW w:w="1128"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信息收集和处理能力</w:t>
            </w:r>
          </w:p>
        </w:tc>
        <w:tc>
          <w:tcPr>
            <w:tcW w:w="340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信息内容收集和积极性</w:t>
            </w:r>
          </w:p>
        </w:tc>
        <w:tc>
          <w:tcPr>
            <w:tcW w:w="1134" w:type="dxa"/>
            <w:vAlign w:val="center"/>
          </w:tcPr>
          <w:p>
            <w:pPr>
              <w:spacing w:line="276" w:lineRule="auto"/>
              <w:jc w:val="center"/>
              <w:rPr>
                <w:rFonts w:ascii="宋体" w:hAnsi="宋体" w:eastAsia="宋体"/>
                <w:sz w:val="24"/>
                <w:szCs w:val="24"/>
              </w:rPr>
            </w:pPr>
          </w:p>
        </w:tc>
        <w:tc>
          <w:tcPr>
            <w:tcW w:w="1134" w:type="dxa"/>
            <w:vAlign w:val="center"/>
          </w:tcPr>
          <w:p>
            <w:pPr>
              <w:spacing w:line="276" w:lineRule="auto"/>
              <w:jc w:val="center"/>
              <w:rPr>
                <w:rFonts w:ascii="宋体" w:hAnsi="宋体" w:eastAsia="宋体"/>
                <w:sz w:val="24"/>
                <w:szCs w:val="24"/>
              </w:rPr>
            </w:pPr>
          </w:p>
        </w:tc>
        <w:tc>
          <w:tcPr>
            <w:tcW w:w="1128"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沟通能力</w:t>
            </w:r>
          </w:p>
        </w:tc>
        <w:tc>
          <w:tcPr>
            <w:tcW w:w="340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清晰表达观点，准确运用英语</w:t>
            </w:r>
          </w:p>
        </w:tc>
        <w:tc>
          <w:tcPr>
            <w:tcW w:w="1134" w:type="dxa"/>
            <w:vAlign w:val="center"/>
          </w:tcPr>
          <w:p>
            <w:pPr>
              <w:spacing w:line="276" w:lineRule="auto"/>
              <w:jc w:val="center"/>
              <w:rPr>
                <w:rFonts w:ascii="宋体" w:hAnsi="宋体" w:eastAsia="宋体"/>
                <w:sz w:val="24"/>
                <w:szCs w:val="24"/>
              </w:rPr>
            </w:pPr>
          </w:p>
        </w:tc>
        <w:tc>
          <w:tcPr>
            <w:tcW w:w="1134" w:type="dxa"/>
            <w:vAlign w:val="center"/>
          </w:tcPr>
          <w:p>
            <w:pPr>
              <w:spacing w:line="276" w:lineRule="auto"/>
              <w:jc w:val="center"/>
              <w:rPr>
                <w:rFonts w:ascii="宋体" w:hAnsi="宋体" w:eastAsia="宋体"/>
                <w:sz w:val="24"/>
                <w:szCs w:val="24"/>
              </w:rPr>
            </w:pPr>
          </w:p>
        </w:tc>
        <w:tc>
          <w:tcPr>
            <w:tcW w:w="1128"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问题解决能力</w:t>
            </w:r>
          </w:p>
        </w:tc>
        <w:tc>
          <w:tcPr>
            <w:tcW w:w="340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分解问题、逐步解决</w:t>
            </w:r>
          </w:p>
        </w:tc>
        <w:tc>
          <w:tcPr>
            <w:tcW w:w="1134" w:type="dxa"/>
            <w:vAlign w:val="center"/>
          </w:tcPr>
          <w:p>
            <w:pPr>
              <w:spacing w:line="276" w:lineRule="auto"/>
              <w:jc w:val="center"/>
              <w:rPr>
                <w:rFonts w:ascii="宋体" w:hAnsi="宋体" w:eastAsia="宋体"/>
                <w:sz w:val="24"/>
                <w:szCs w:val="24"/>
              </w:rPr>
            </w:pPr>
          </w:p>
        </w:tc>
        <w:tc>
          <w:tcPr>
            <w:tcW w:w="1134" w:type="dxa"/>
            <w:vAlign w:val="center"/>
          </w:tcPr>
          <w:p>
            <w:pPr>
              <w:spacing w:line="276" w:lineRule="auto"/>
              <w:jc w:val="center"/>
              <w:rPr>
                <w:rFonts w:ascii="宋体" w:hAnsi="宋体" w:eastAsia="宋体"/>
                <w:sz w:val="24"/>
                <w:szCs w:val="24"/>
              </w:rPr>
            </w:pPr>
          </w:p>
        </w:tc>
        <w:tc>
          <w:tcPr>
            <w:tcW w:w="1128"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团队协作能力</w:t>
            </w:r>
          </w:p>
        </w:tc>
        <w:tc>
          <w:tcPr>
            <w:tcW w:w="340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主动参与，助力团队有效合作</w:t>
            </w:r>
          </w:p>
        </w:tc>
        <w:tc>
          <w:tcPr>
            <w:tcW w:w="1134" w:type="dxa"/>
            <w:vAlign w:val="center"/>
          </w:tcPr>
          <w:p>
            <w:pPr>
              <w:spacing w:line="276" w:lineRule="auto"/>
              <w:jc w:val="center"/>
              <w:rPr>
                <w:rFonts w:ascii="宋体" w:hAnsi="宋体" w:eastAsia="宋体"/>
                <w:sz w:val="24"/>
                <w:szCs w:val="24"/>
              </w:rPr>
            </w:pPr>
          </w:p>
        </w:tc>
        <w:tc>
          <w:tcPr>
            <w:tcW w:w="1134" w:type="dxa"/>
            <w:vAlign w:val="center"/>
          </w:tcPr>
          <w:p>
            <w:pPr>
              <w:spacing w:line="276" w:lineRule="auto"/>
              <w:jc w:val="center"/>
              <w:rPr>
                <w:rFonts w:ascii="宋体" w:hAnsi="宋体" w:eastAsia="宋体"/>
                <w:sz w:val="24"/>
                <w:szCs w:val="24"/>
              </w:rPr>
            </w:pPr>
          </w:p>
        </w:tc>
        <w:tc>
          <w:tcPr>
            <w:tcW w:w="1128"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创造力</w:t>
            </w:r>
          </w:p>
        </w:tc>
        <w:tc>
          <w:tcPr>
            <w:tcW w:w="340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创造性完成个人任务</w:t>
            </w:r>
          </w:p>
        </w:tc>
        <w:tc>
          <w:tcPr>
            <w:tcW w:w="1134" w:type="dxa"/>
            <w:vAlign w:val="center"/>
          </w:tcPr>
          <w:p>
            <w:pPr>
              <w:spacing w:line="276" w:lineRule="auto"/>
              <w:jc w:val="center"/>
              <w:rPr>
                <w:rFonts w:ascii="宋体" w:hAnsi="宋体" w:eastAsia="宋体"/>
                <w:sz w:val="24"/>
                <w:szCs w:val="24"/>
              </w:rPr>
            </w:pPr>
          </w:p>
        </w:tc>
        <w:tc>
          <w:tcPr>
            <w:tcW w:w="1134" w:type="dxa"/>
            <w:vAlign w:val="center"/>
          </w:tcPr>
          <w:p>
            <w:pPr>
              <w:spacing w:line="276" w:lineRule="auto"/>
              <w:jc w:val="center"/>
              <w:rPr>
                <w:rFonts w:ascii="宋体" w:hAnsi="宋体" w:eastAsia="宋体"/>
                <w:sz w:val="24"/>
                <w:szCs w:val="24"/>
              </w:rPr>
            </w:pPr>
          </w:p>
        </w:tc>
        <w:tc>
          <w:tcPr>
            <w:tcW w:w="1128" w:type="dxa"/>
            <w:vAlign w:val="center"/>
          </w:tcPr>
          <w:p>
            <w:pPr>
              <w:spacing w:line="276" w:lineRule="auto"/>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8"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表现力</w:t>
            </w:r>
          </w:p>
        </w:tc>
        <w:tc>
          <w:tcPr>
            <w:tcW w:w="3400" w:type="dxa"/>
            <w:vAlign w:val="center"/>
          </w:tcPr>
          <w:p>
            <w:pPr>
              <w:spacing w:line="276" w:lineRule="auto"/>
              <w:jc w:val="center"/>
              <w:rPr>
                <w:rFonts w:ascii="宋体" w:hAnsi="宋体" w:eastAsia="宋体"/>
                <w:sz w:val="24"/>
                <w:szCs w:val="24"/>
              </w:rPr>
            </w:pPr>
            <w:r>
              <w:rPr>
                <w:rFonts w:hint="eastAsia" w:ascii="宋体" w:hAnsi="宋体" w:eastAsia="宋体"/>
                <w:sz w:val="24"/>
                <w:szCs w:val="24"/>
              </w:rPr>
              <w:t>课堂展示自信、出色</w:t>
            </w:r>
          </w:p>
        </w:tc>
        <w:tc>
          <w:tcPr>
            <w:tcW w:w="1134" w:type="dxa"/>
            <w:vAlign w:val="center"/>
          </w:tcPr>
          <w:p>
            <w:pPr>
              <w:spacing w:line="276" w:lineRule="auto"/>
              <w:jc w:val="center"/>
              <w:rPr>
                <w:rFonts w:ascii="宋体" w:hAnsi="宋体" w:eastAsia="宋体"/>
                <w:sz w:val="24"/>
                <w:szCs w:val="24"/>
              </w:rPr>
            </w:pPr>
          </w:p>
        </w:tc>
        <w:tc>
          <w:tcPr>
            <w:tcW w:w="1134" w:type="dxa"/>
            <w:vAlign w:val="center"/>
          </w:tcPr>
          <w:p>
            <w:pPr>
              <w:spacing w:line="276" w:lineRule="auto"/>
              <w:jc w:val="center"/>
              <w:rPr>
                <w:rFonts w:ascii="宋体" w:hAnsi="宋体" w:eastAsia="宋体"/>
                <w:sz w:val="24"/>
                <w:szCs w:val="24"/>
              </w:rPr>
            </w:pPr>
          </w:p>
        </w:tc>
        <w:tc>
          <w:tcPr>
            <w:tcW w:w="1128" w:type="dxa"/>
            <w:vAlign w:val="center"/>
          </w:tcPr>
          <w:p>
            <w:pPr>
              <w:spacing w:line="276" w:lineRule="auto"/>
              <w:jc w:val="center"/>
              <w:rPr>
                <w:rFonts w:ascii="宋体" w:hAnsi="宋体" w:eastAsia="宋体"/>
                <w:sz w:val="24"/>
                <w:szCs w:val="24"/>
              </w:rPr>
            </w:pPr>
          </w:p>
        </w:tc>
      </w:tr>
    </w:tbl>
    <w:p>
      <w:pPr>
        <w:spacing w:line="276" w:lineRule="auto"/>
        <w:ind w:firstLine="480" w:firstLineChars="200"/>
        <w:jc w:val="center"/>
        <w:rPr>
          <w:rFonts w:ascii="宋体" w:hAnsi="宋体" w:eastAsia="宋体"/>
          <w:sz w:val="24"/>
          <w:szCs w:val="24"/>
        </w:rPr>
      </w:pPr>
      <w:r>
        <w:rPr>
          <w:rFonts w:hint="eastAsia" w:ascii="宋体" w:hAnsi="宋体" w:eastAsia="宋体"/>
          <w:sz w:val="24"/>
          <w:szCs w:val="24"/>
        </w:rPr>
        <w:t>表4（行为表现评价表）</w:t>
      </w:r>
    </w:p>
    <w:p>
      <w:pPr>
        <w:spacing w:line="276" w:lineRule="auto"/>
        <w:ind w:firstLine="480" w:firstLineChars="200"/>
        <w:jc w:val="center"/>
        <w:rPr>
          <w:rFonts w:hint="eastAsia" w:ascii="宋体" w:hAnsi="宋体" w:eastAsia="宋体"/>
          <w:sz w:val="24"/>
          <w:szCs w:val="24"/>
        </w:rPr>
      </w:pPr>
    </w:p>
    <w:p>
      <w:pPr>
        <w:pStyle w:val="12"/>
        <w:numPr>
          <w:ilvl w:val="0"/>
          <w:numId w:val="1"/>
        </w:numPr>
        <w:spacing w:line="276" w:lineRule="auto"/>
        <w:ind w:left="0" w:firstLine="480"/>
        <w:rPr>
          <w:rFonts w:ascii="宋体" w:hAnsi="宋体" w:eastAsia="宋体" w:cs="宋体"/>
          <w:kern w:val="36"/>
          <w:sz w:val="24"/>
          <w:szCs w:val="24"/>
        </w:rPr>
      </w:pPr>
      <w:r>
        <w:rPr>
          <w:rFonts w:hint="eastAsia" w:ascii="宋体" w:hAnsi="宋体" w:eastAsia="宋体" w:cs="宋体"/>
          <w:kern w:val="36"/>
          <w:sz w:val="24"/>
          <w:szCs w:val="24"/>
        </w:rPr>
        <w:t>基于项目化学习的初中英语阅读指导反馈</w:t>
      </w:r>
    </w:p>
    <w:p>
      <w:pPr>
        <w:pStyle w:val="12"/>
        <w:spacing w:line="276" w:lineRule="auto"/>
        <w:ind w:firstLine="480"/>
        <w:rPr>
          <w:rFonts w:ascii="宋体" w:hAnsi="宋体" w:eastAsia="宋体" w:cs="宋体"/>
          <w:kern w:val="36"/>
          <w:sz w:val="24"/>
          <w:szCs w:val="24"/>
        </w:rPr>
      </w:pPr>
      <w:r>
        <w:rPr>
          <w:rFonts w:hint="eastAsia" w:ascii="宋体" w:hAnsi="宋体" w:eastAsia="宋体"/>
          <w:sz w:val="24"/>
          <w:szCs w:val="24"/>
        </w:rPr>
        <w:t>教师通过课堂观察与学生问卷也了解到，虽然所执教班级学生英语能力层次不齐，68%学生认为项目化学习模式对提升英语学习兴趣非常有作用，29%学生认为有一定作用；仅1名学生不确定该模式是否有助于培养自主学习能力，其余都表示有一定帮助或非常有利；超过三分之二学生通过此次活动都表示不仅锻炼了个人语言能力，也在思维、创新、跨学科探究、团队协作等能力得以锻炼和提升；全班同学都表示希望能在英语课堂多开展类似项目化学习活动。问卷结果与之后学生在英语课堂参与度、作业完成度、学科检测评价有所提升相一致。同时，学生在活动反馈中提出建议，如需有效处理大量阅读词汇、进行分层任务设置等，也是教师在之后教学中需要考虑及解决的矛盾之一。</w:t>
      </w:r>
    </w:p>
    <w:p>
      <w:pPr>
        <w:pStyle w:val="12"/>
        <w:numPr>
          <w:ilvl w:val="0"/>
          <w:numId w:val="1"/>
        </w:numPr>
        <w:spacing w:line="276" w:lineRule="auto"/>
        <w:ind w:left="0" w:firstLine="480"/>
        <w:rPr>
          <w:rFonts w:ascii="宋体" w:hAnsi="宋体" w:eastAsia="宋体" w:cs="宋体"/>
          <w:kern w:val="36"/>
          <w:sz w:val="24"/>
          <w:szCs w:val="24"/>
        </w:rPr>
      </w:pPr>
      <w:r>
        <w:rPr>
          <w:rFonts w:hint="eastAsia" w:ascii="宋体" w:hAnsi="宋体" w:eastAsia="宋体" w:cs="宋体"/>
          <w:color w:val="000000"/>
          <w:kern w:val="0"/>
          <w:sz w:val="24"/>
          <w:szCs w:val="24"/>
        </w:rPr>
        <w:t>实践的启示与反思</w:t>
      </w:r>
    </w:p>
    <w:p>
      <w:pPr>
        <w:pStyle w:val="12"/>
        <w:spacing w:line="276" w:lineRule="auto"/>
        <w:ind w:firstLine="480"/>
        <w:rPr>
          <w:rFonts w:ascii="宋体" w:hAnsi="宋体" w:eastAsia="宋体" w:cs="宋体"/>
          <w:kern w:val="36"/>
          <w:sz w:val="24"/>
          <w:szCs w:val="24"/>
        </w:rPr>
      </w:pPr>
      <w:r>
        <w:rPr>
          <w:rFonts w:hint="eastAsia" w:ascii="宋体" w:hAnsi="宋体" w:eastAsia="宋体" w:cs="宋体"/>
          <w:kern w:val="36"/>
          <w:sz w:val="24"/>
          <w:szCs w:val="24"/>
        </w:rPr>
        <w:t>通过本研究的实践操作，可以得出以下结论：</w:t>
      </w:r>
    </w:p>
    <w:p>
      <w:pPr>
        <w:pStyle w:val="12"/>
        <w:spacing w:line="276" w:lineRule="auto"/>
        <w:ind w:firstLine="480"/>
        <w:rPr>
          <w:rFonts w:ascii="宋体" w:hAnsi="宋体" w:eastAsia="宋体" w:cs="宋体"/>
          <w:kern w:val="36"/>
          <w:sz w:val="24"/>
          <w:szCs w:val="24"/>
        </w:rPr>
      </w:pPr>
      <w:r>
        <w:rPr>
          <w:rFonts w:hint="eastAsia" w:ascii="宋体" w:hAnsi="宋体" w:eastAsia="宋体" w:cs="宋体"/>
          <w:kern w:val="36"/>
          <w:sz w:val="24"/>
          <w:szCs w:val="24"/>
        </w:rPr>
        <w:t>基于项目化学习的初中英语阅读指导能够提高学生的英语阅读能力和英语核心素养。实践结果表明，使用该模式进行阅读教学相较于传统的教学模式，在阅读理解能力、阅读兴趣和自信心、阅读应用能力等方面均有明显的提升，同时促进了学生的社交能力和学习参与度。通过构建具体而清晰的阅读目标，指导学生设计学习计划和实施阅读任务，培养学生自主探究、提问，激发学生积极思考和沟通，进而形成良好的学习习惯和合作精神。</w:t>
      </w:r>
    </w:p>
    <w:p>
      <w:pPr>
        <w:pStyle w:val="15"/>
        <w:spacing w:before="0" w:after="0" w:line="276" w:lineRule="auto"/>
        <w:ind w:firstLine="480" w:firstLineChars="200"/>
        <w:rPr>
          <w:rFonts w:ascii="宋体" w:hAnsi="宋体" w:eastAsia="宋体"/>
          <w:lang w:eastAsia="zh-CN"/>
        </w:rPr>
      </w:pPr>
      <w:r>
        <w:rPr>
          <w:rFonts w:ascii="宋体" w:hAnsi="宋体" w:eastAsia="宋体"/>
          <w:lang w:eastAsia="zh-CN"/>
        </w:rPr>
        <w:t>在实施基于项目化学习的初中英语阅读指导过程中，</w:t>
      </w:r>
      <w:r>
        <w:rPr>
          <w:rFonts w:hint="eastAsia" w:ascii="宋体" w:hAnsi="宋体" w:eastAsia="宋体"/>
          <w:lang w:eastAsia="zh-CN"/>
        </w:rPr>
        <w:t>还</w:t>
      </w:r>
      <w:r>
        <w:rPr>
          <w:rFonts w:ascii="宋体" w:hAnsi="宋体" w:eastAsia="宋体"/>
          <w:lang w:eastAsia="zh-CN"/>
        </w:rPr>
        <w:t>会遇到一些挑战和问题。首先，教师需转变传统教学观念，适应新的教学模式，教师需要从传统的知识传授者转变为引导者和辅助者。教师还需要掌握跨学科的知识和技能，以满足学生的学习需求。其次，学生的学习习惯和学习方式也需要适应新的教学模式。项目化学习需要学生积极参与探究、合作和问题解决等活动，要求学生具备一定的自主学习能力和跨学科知识基础。然而，一些学生可能习惯了传统的被动学习方式，难以适应新的学习模式。此外，项目化学习需要丰富的课程资源和教学资源，包括教材、工具、设备等。资源缺乏或者资源的适应性不能满足教学需求会限制项目化学习的实施效果。</w:t>
      </w:r>
    </w:p>
    <w:p>
      <w:pPr>
        <w:pStyle w:val="12"/>
        <w:spacing w:line="276" w:lineRule="auto"/>
        <w:ind w:firstLine="480"/>
        <w:rPr>
          <w:rFonts w:ascii="宋体" w:hAnsi="宋体" w:eastAsia="宋体" w:cs="宋体"/>
          <w:kern w:val="36"/>
          <w:sz w:val="24"/>
          <w:szCs w:val="24"/>
        </w:rPr>
      </w:pPr>
    </w:p>
    <w:p>
      <w:pPr>
        <w:pStyle w:val="12"/>
        <w:spacing w:line="276" w:lineRule="auto"/>
        <w:ind w:firstLine="480"/>
        <w:rPr>
          <w:rFonts w:ascii="宋体" w:hAnsi="宋体" w:eastAsia="宋体" w:cs="宋体"/>
          <w:kern w:val="36"/>
          <w:sz w:val="24"/>
          <w:szCs w:val="24"/>
        </w:rPr>
      </w:pPr>
    </w:p>
    <w:p>
      <w:pPr>
        <w:spacing w:line="276" w:lineRule="auto"/>
        <w:rPr>
          <w:rFonts w:ascii="宋体" w:hAnsi="宋体" w:eastAsia="宋体"/>
          <w:sz w:val="24"/>
          <w:szCs w:val="24"/>
        </w:rPr>
      </w:pPr>
      <w:r>
        <w:rPr>
          <w:rFonts w:hint="eastAsia" w:ascii="宋体" w:hAnsi="宋体" w:eastAsia="宋体"/>
          <w:sz w:val="24"/>
          <w:szCs w:val="24"/>
        </w:rPr>
        <w:t>【参考文献】</w:t>
      </w:r>
    </w:p>
    <w:p>
      <w:pPr>
        <w:spacing w:line="276" w:lineRule="auto"/>
        <w:rPr>
          <w:rFonts w:ascii="宋体" w:hAnsi="宋体" w:eastAsia="宋体"/>
          <w:color w:val="000000"/>
          <w:sz w:val="24"/>
          <w:szCs w:val="24"/>
        </w:rPr>
      </w:pPr>
      <w:r>
        <w:rPr>
          <w:rFonts w:ascii="Times New Roman" w:hAnsi="Times New Roman" w:eastAsia="宋体" w:cs="Times New Roman"/>
          <w:kern w:val="0"/>
          <w:szCs w:val="21"/>
          <w:lang w:bidi="ar"/>
        </w:rPr>
        <w:t>[1]</w:t>
      </w:r>
      <w:r>
        <w:rPr>
          <w:rFonts w:hint="eastAsia" w:ascii="Times New Roman" w:hAnsi="Times New Roman" w:eastAsia="宋体" w:cs="Times New Roman"/>
          <w:kern w:val="0"/>
          <w:szCs w:val="21"/>
          <w:lang w:bidi="ar"/>
        </w:rPr>
        <w:t xml:space="preserve">  </w:t>
      </w:r>
      <w:r>
        <w:rPr>
          <w:rFonts w:hint="eastAsia" w:ascii="宋体" w:hAnsi="宋体" w:eastAsia="宋体"/>
          <w:color w:val="000000"/>
          <w:sz w:val="24"/>
          <w:szCs w:val="24"/>
        </w:rPr>
        <w:t>中华人民共和国教育部.义务教育英语课程标准（2</w:t>
      </w:r>
      <w:r>
        <w:rPr>
          <w:rFonts w:ascii="宋体" w:hAnsi="宋体" w:eastAsia="宋体"/>
          <w:color w:val="000000"/>
          <w:sz w:val="24"/>
          <w:szCs w:val="24"/>
        </w:rPr>
        <w:t>022</w:t>
      </w:r>
      <w:r>
        <w:rPr>
          <w:rFonts w:hint="eastAsia" w:ascii="宋体" w:hAnsi="宋体" w:eastAsia="宋体"/>
          <w:color w:val="000000"/>
          <w:sz w:val="24"/>
          <w:szCs w:val="24"/>
        </w:rPr>
        <w:t>年版）.北京师范大学出版社，2</w:t>
      </w:r>
      <w:r>
        <w:rPr>
          <w:rFonts w:ascii="宋体" w:hAnsi="宋体" w:eastAsia="宋体"/>
          <w:color w:val="000000"/>
          <w:sz w:val="24"/>
          <w:szCs w:val="24"/>
        </w:rPr>
        <w:t>022</w:t>
      </w:r>
    </w:p>
    <w:p>
      <w:pPr>
        <w:pStyle w:val="12"/>
        <w:numPr>
          <w:ilvl w:val="0"/>
          <w:numId w:val="4"/>
        </w:numPr>
        <w:spacing w:line="276" w:lineRule="auto"/>
        <w:ind w:left="0" w:firstLine="0" w:firstLineChars="0"/>
        <w:rPr>
          <w:rFonts w:ascii="宋体" w:hAnsi="宋体" w:eastAsia="宋体"/>
          <w:color w:val="000000"/>
          <w:sz w:val="24"/>
          <w:szCs w:val="24"/>
        </w:rPr>
      </w:pPr>
      <w:r>
        <w:rPr>
          <w:rFonts w:hint="eastAsia" w:ascii="宋体" w:hAnsi="宋体" w:eastAsia="宋体"/>
          <w:color w:val="000000"/>
          <w:sz w:val="24"/>
          <w:szCs w:val="24"/>
        </w:rPr>
        <w:t>高惠蓉等.“双新”背景下的中学英语语篇教学新探索.上海交通大学出版社，2</w:t>
      </w:r>
      <w:r>
        <w:rPr>
          <w:rFonts w:ascii="宋体" w:hAnsi="宋体" w:eastAsia="宋体"/>
          <w:color w:val="000000"/>
          <w:sz w:val="24"/>
          <w:szCs w:val="24"/>
        </w:rPr>
        <w:t>021</w:t>
      </w:r>
    </w:p>
    <w:p>
      <w:pPr>
        <w:pStyle w:val="12"/>
        <w:numPr>
          <w:ilvl w:val="0"/>
          <w:numId w:val="4"/>
        </w:numPr>
        <w:spacing w:line="276" w:lineRule="auto"/>
        <w:ind w:left="0" w:firstLine="0" w:firstLineChars="0"/>
        <w:rPr>
          <w:rFonts w:ascii="宋体" w:hAnsi="宋体" w:eastAsia="宋体"/>
          <w:color w:val="000000"/>
          <w:sz w:val="24"/>
          <w:szCs w:val="24"/>
        </w:rPr>
      </w:pPr>
      <w:r>
        <w:rPr>
          <w:rFonts w:hint="eastAsia" w:ascii="宋体" w:hAnsi="宋体" w:eastAsia="宋体"/>
          <w:color w:val="000000"/>
          <w:sz w:val="24"/>
          <w:szCs w:val="24"/>
        </w:rPr>
        <w:t>鲁子问等.中学英语教学设计.华东师范大学出版社，2</w:t>
      </w:r>
      <w:r>
        <w:rPr>
          <w:rFonts w:ascii="宋体" w:hAnsi="宋体" w:eastAsia="宋体"/>
          <w:color w:val="000000"/>
          <w:sz w:val="24"/>
          <w:szCs w:val="24"/>
        </w:rPr>
        <w:t>019</w:t>
      </w:r>
    </w:p>
    <w:p>
      <w:pPr>
        <w:pStyle w:val="12"/>
        <w:numPr>
          <w:ilvl w:val="0"/>
          <w:numId w:val="4"/>
        </w:numPr>
        <w:spacing w:line="276" w:lineRule="auto"/>
        <w:ind w:left="0" w:firstLine="0" w:firstLineChars="0"/>
        <w:rPr>
          <w:rFonts w:ascii="宋体" w:hAnsi="宋体" w:eastAsia="宋体"/>
          <w:color w:val="000000"/>
          <w:sz w:val="24"/>
          <w:szCs w:val="24"/>
        </w:rPr>
      </w:pPr>
      <w:r>
        <w:rPr>
          <w:rFonts w:hint="eastAsia" w:ascii="宋体" w:hAnsi="宋体" w:eastAsia="宋体"/>
          <w:color w:val="000000"/>
          <w:sz w:val="24"/>
          <w:szCs w:val="24"/>
        </w:rPr>
        <w:t>朱浦.与英语新课程同行——教学专题透析.上海教育出版社,2008</w:t>
      </w:r>
    </w:p>
    <w:p>
      <w:pPr>
        <w:pStyle w:val="12"/>
        <w:numPr>
          <w:ilvl w:val="0"/>
          <w:numId w:val="4"/>
        </w:numPr>
        <w:spacing w:line="276" w:lineRule="auto"/>
        <w:ind w:left="0" w:firstLine="0" w:firstLineChars="0"/>
        <w:rPr>
          <w:rFonts w:ascii="宋体" w:hAnsi="宋体" w:eastAsia="宋体"/>
          <w:color w:val="000000"/>
          <w:sz w:val="24"/>
          <w:szCs w:val="24"/>
        </w:rPr>
      </w:pPr>
      <w:r>
        <w:rPr>
          <w:rFonts w:hint="eastAsia" w:ascii="宋体" w:hAnsi="宋体" w:eastAsia="宋体"/>
          <w:color w:val="000000"/>
          <w:sz w:val="24"/>
          <w:szCs w:val="24"/>
        </w:rPr>
        <w:t>王瑛.初中英语学习活动设计、实施与评价.华东师范大学出版社，2</w:t>
      </w:r>
      <w:r>
        <w:rPr>
          <w:rFonts w:ascii="宋体" w:hAnsi="宋体" w:eastAsia="宋体"/>
          <w:color w:val="000000"/>
          <w:sz w:val="24"/>
          <w:szCs w:val="24"/>
        </w:rPr>
        <w:t>021</w:t>
      </w:r>
    </w:p>
    <w:p>
      <w:pPr>
        <w:pStyle w:val="12"/>
        <w:numPr>
          <w:ilvl w:val="0"/>
          <w:numId w:val="4"/>
        </w:numPr>
        <w:autoSpaceDE w:val="0"/>
        <w:autoSpaceDN w:val="0"/>
        <w:adjustRightInd w:val="0"/>
        <w:spacing w:line="276" w:lineRule="auto"/>
        <w:ind w:left="0" w:firstLine="0" w:firstLineChars="0"/>
        <w:jc w:val="left"/>
        <w:rPr>
          <w:rFonts w:ascii="宋体" w:hAnsi="宋体" w:eastAsia="宋体" w:cs="宋体"/>
          <w:kern w:val="0"/>
          <w:sz w:val="24"/>
          <w:szCs w:val="24"/>
        </w:rPr>
      </w:pPr>
      <w:r>
        <w:rPr>
          <w:rFonts w:hint="eastAsia" w:ascii="宋体" w:hAnsi="宋体" w:eastAsia="宋体" w:cs="宋体"/>
          <w:kern w:val="0"/>
          <w:sz w:val="24"/>
          <w:szCs w:val="24"/>
        </w:rPr>
        <w:t>黄和斌</w:t>
      </w:r>
      <w:r>
        <w:rPr>
          <w:rFonts w:hint="eastAsia" w:ascii="宋体" w:hAnsi="宋体" w:eastAsia="宋体"/>
          <w:color w:val="000000"/>
          <w:sz w:val="24"/>
          <w:szCs w:val="24"/>
        </w:rPr>
        <w:t>.</w:t>
      </w:r>
      <w:r>
        <w:rPr>
          <w:rFonts w:hint="eastAsia" w:ascii="宋体" w:hAnsi="宋体" w:eastAsia="宋体" w:cs="宋体"/>
          <w:kern w:val="0"/>
          <w:sz w:val="24"/>
          <w:szCs w:val="24"/>
        </w:rPr>
        <w:t>外语教学理论与实践</w:t>
      </w:r>
      <w:r>
        <w:rPr>
          <w:rFonts w:ascii="宋体" w:hAnsi="宋体" w:eastAsia="宋体" w:cs="宋体"/>
          <w:kern w:val="0"/>
          <w:sz w:val="24"/>
          <w:szCs w:val="24"/>
        </w:rPr>
        <w:t>[M]</w:t>
      </w:r>
      <w:r>
        <w:rPr>
          <w:rFonts w:hint="eastAsia" w:ascii="宋体" w:hAnsi="宋体" w:eastAsia="宋体"/>
          <w:color w:val="000000"/>
          <w:sz w:val="24"/>
          <w:szCs w:val="24"/>
        </w:rPr>
        <w:t>.</w:t>
      </w:r>
      <w:r>
        <w:rPr>
          <w:rFonts w:hint="eastAsia" w:ascii="宋体" w:hAnsi="宋体" w:eastAsia="宋体" w:cs="宋体"/>
          <w:kern w:val="0"/>
          <w:sz w:val="24"/>
          <w:szCs w:val="24"/>
        </w:rPr>
        <w:t>译林出版社，</w:t>
      </w:r>
      <w:r>
        <w:rPr>
          <w:rFonts w:ascii="宋体" w:hAnsi="宋体" w:eastAsia="宋体" w:cs="宋体"/>
          <w:kern w:val="0"/>
          <w:sz w:val="24"/>
          <w:szCs w:val="24"/>
        </w:rPr>
        <w:t>200</w:t>
      </w:r>
      <w:r>
        <w:rPr>
          <w:rFonts w:hint="eastAsia" w:ascii="宋体" w:hAnsi="宋体" w:eastAsia="宋体" w:cs="宋体"/>
          <w:kern w:val="0"/>
          <w:sz w:val="24"/>
          <w:szCs w:val="24"/>
        </w:rPr>
        <w:t>7</w:t>
      </w:r>
    </w:p>
    <w:p>
      <w:pPr>
        <w:pStyle w:val="12"/>
        <w:numPr>
          <w:ilvl w:val="0"/>
          <w:numId w:val="4"/>
        </w:numPr>
        <w:autoSpaceDE w:val="0"/>
        <w:autoSpaceDN w:val="0"/>
        <w:adjustRightInd w:val="0"/>
        <w:spacing w:line="276" w:lineRule="auto"/>
        <w:ind w:left="0" w:firstLine="0" w:firstLineChars="0"/>
        <w:jc w:val="left"/>
        <w:rPr>
          <w:rFonts w:ascii="宋体" w:hAnsi="宋体" w:eastAsia="宋体" w:cs="宋体"/>
          <w:kern w:val="0"/>
          <w:sz w:val="24"/>
          <w:szCs w:val="24"/>
        </w:rPr>
      </w:pPr>
      <w:r>
        <w:rPr>
          <w:rFonts w:hint="eastAsia" w:ascii="宋体" w:hAnsi="宋体" w:eastAsia="宋体" w:cs="宋体"/>
          <w:kern w:val="0"/>
          <w:sz w:val="24"/>
          <w:szCs w:val="24"/>
        </w:rPr>
        <w:t>文秋芳，王立非</w:t>
      </w:r>
      <w:r>
        <w:rPr>
          <w:rFonts w:hint="eastAsia" w:ascii="宋体" w:hAnsi="宋体" w:eastAsia="宋体"/>
          <w:color w:val="000000"/>
          <w:sz w:val="24"/>
          <w:szCs w:val="24"/>
        </w:rPr>
        <w:t>.</w:t>
      </w:r>
      <w:r>
        <w:rPr>
          <w:rFonts w:hint="eastAsia" w:ascii="宋体" w:hAnsi="宋体" w:eastAsia="宋体" w:cs="宋体"/>
          <w:kern w:val="0"/>
          <w:sz w:val="24"/>
          <w:szCs w:val="24"/>
        </w:rPr>
        <w:t>英语写作研究</w:t>
      </w:r>
      <w:r>
        <w:rPr>
          <w:rFonts w:hint="eastAsia" w:ascii="宋体" w:hAnsi="宋体" w:eastAsia="宋体"/>
          <w:color w:val="000000"/>
          <w:sz w:val="24"/>
          <w:szCs w:val="24"/>
        </w:rPr>
        <w:t>.</w:t>
      </w:r>
      <w:r>
        <w:rPr>
          <w:rFonts w:hint="eastAsia" w:ascii="宋体" w:hAnsi="宋体" w:eastAsia="宋体" w:cs="宋体"/>
          <w:kern w:val="0"/>
          <w:sz w:val="24"/>
          <w:szCs w:val="24"/>
        </w:rPr>
        <w:t>陕西师范大学出版社，</w:t>
      </w:r>
      <w:r>
        <w:rPr>
          <w:rFonts w:ascii="宋体" w:hAnsi="宋体" w:eastAsia="宋体" w:cs="宋体"/>
          <w:kern w:val="0"/>
          <w:sz w:val="24"/>
          <w:szCs w:val="24"/>
        </w:rPr>
        <w:t>2003</w:t>
      </w:r>
    </w:p>
    <w:p>
      <w:pPr>
        <w:pStyle w:val="12"/>
        <w:numPr>
          <w:ilvl w:val="0"/>
          <w:numId w:val="4"/>
        </w:numPr>
        <w:autoSpaceDE w:val="0"/>
        <w:autoSpaceDN w:val="0"/>
        <w:adjustRightInd w:val="0"/>
        <w:spacing w:line="276" w:lineRule="auto"/>
        <w:ind w:left="-2" w:leftChars="-1" w:firstLine="2" w:firstLineChars="0"/>
        <w:jc w:val="left"/>
        <w:rPr>
          <w:rFonts w:ascii="宋体" w:hAnsi="宋体" w:eastAsia="宋体" w:cs="宋体"/>
          <w:kern w:val="0"/>
          <w:sz w:val="24"/>
          <w:szCs w:val="24"/>
        </w:rPr>
      </w:pPr>
      <w:r>
        <w:rPr>
          <w:rFonts w:hint="eastAsia" w:ascii="宋体" w:hAnsi="宋体" w:eastAsia="宋体" w:cs="宋体"/>
          <w:kern w:val="0"/>
          <w:sz w:val="24"/>
          <w:szCs w:val="24"/>
        </w:rPr>
        <w:t>夏雪梅.项目化学习设计：学习素养视角下的国际与本土实践［M］.北京教育科学出版社，2018</w:t>
      </w:r>
    </w:p>
    <w:p>
      <w:pPr>
        <w:pStyle w:val="12"/>
        <w:spacing w:line="276" w:lineRule="auto"/>
        <w:ind w:firstLine="480"/>
        <w:rPr>
          <w:rFonts w:ascii="宋体" w:hAnsi="宋体" w:eastAsia="宋体" w:cs="宋体"/>
          <w:kern w:val="36"/>
          <w:sz w:val="24"/>
          <w:szCs w:val="24"/>
        </w:rPr>
      </w:pPr>
    </w:p>
    <w:sectPr>
      <w:pgSz w:w="11906" w:h="16838"/>
      <w:pgMar w:top="1418" w:right="1701" w:bottom="1276"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BA43F9"/>
    <w:multiLevelType w:val="multilevel"/>
    <w:tmpl w:val="36BA43F9"/>
    <w:lvl w:ilvl="0" w:tentative="0">
      <w:start w:val="1"/>
      <w:numFmt w:val="japaneseCounting"/>
      <w:lvlText w:val="%1、"/>
      <w:lvlJc w:val="left"/>
      <w:pPr>
        <w:ind w:left="480" w:hanging="480"/>
      </w:pPr>
      <w:rPr>
        <w:rFonts w:hint="default" w:asciiTheme="minorEastAsia" w:hAnsiTheme="minorEastAsia" w:eastAsiaTheme="minorEastAsia"/>
        <w:sz w:val="24"/>
        <w:szCs w:val="24"/>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39B33A98"/>
    <w:multiLevelType w:val="multilevel"/>
    <w:tmpl w:val="39B33A98"/>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57647224"/>
    <w:multiLevelType w:val="multilevel"/>
    <w:tmpl w:val="57647224"/>
    <w:lvl w:ilvl="0" w:tentative="0">
      <w:start w:val="1"/>
      <w:numFmt w:val="decimal"/>
      <w:lvlText w:val="%1."/>
      <w:lvlJc w:val="left"/>
      <w:pPr>
        <w:ind w:left="1146" w:hanging="720"/>
      </w:pPr>
      <w:rPr>
        <w:rFonts w:hint="default"/>
      </w:rPr>
    </w:lvl>
    <w:lvl w:ilvl="1" w:tentative="0">
      <w:start w:val="1"/>
      <w:numFmt w:val="lowerLetter"/>
      <w:lvlText w:val="%2)"/>
      <w:lvlJc w:val="left"/>
      <w:pPr>
        <w:ind w:left="1306" w:hanging="440"/>
      </w:pPr>
    </w:lvl>
    <w:lvl w:ilvl="2" w:tentative="0">
      <w:start w:val="1"/>
      <w:numFmt w:val="lowerRoman"/>
      <w:lvlText w:val="%3."/>
      <w:lvlJc w:val="right"/>
      <w:pPr>
        <w:ind w:left="1746" w:hanging="440"/>
      </w:pPr>
    </w:lvl>
    <w:lvl w:ilvl="3" w:tentative="0">
      <w:start w:val="1"/>
      <w:numFmt w:val="decimal"/>
      <w:lvlText w:val="%4."/>
      <w:lvlJc w:val="left"/>
      <w:pPr>
        <w:ind w:left="2186" w:hanging="440"/>
      </w:pPr>
    </w:lvl>
    <w:lvl w:ilvl="4" w:tentative="0">
      <w:start w:val="1"/>
      <w:numFmt w:val="lowerLetter"/>
      <w:lvlText w:val="%5)"/>
      <w:lvlJc w:val="left"/>
      <w:pPr>
        <w:ind w:left="2626" w:hanging="440"/>
      </w:pPr>
    </w:lvl>
    <w:lvl w:ilvl="5" w:tentative="0">
      <w:start w:val="1"/>
      <w:numFmt w:val="lowerRoman"/>
      <w:lvlText w:val="%6."/>
      <w:lvlJc w:val="right"/>
      <w:pPr>
        <w:ind w:left="3066" w:hanging="440"/>
      </w:pPr>
    </w:lvl>
    <w:lvl w:ilvl="6" w:tentative="0">
      <w:start w:val="1"/>
      <w:numFmt w:val="decimal"/>
      <w:lvlText w:val="%7."/>
      <w:lvlJc w:val="left"/>
      <w:pPr>
        <w:ind w:left="3506" w:hanging="440"/>
      </w:pPr>
    </w:lvl>
    <w:lvl w:ilvl="7" w:tentative="0">
      <w:start w:val="1"/>
      <w:numFmt w:val="lowerLetter"/>
      <w:lvlText w:val="%8)"/>
      <w:lvlJc w:val="left"/>
      <w:pPr>
        <w:ind w:left="3946" w:hanging="440"/>
      </w:pPr>
    </w:lvl>
    <w:lvl w:ilvl="8" w:tentative="0">
      <w:start w:val="1"/>
      <w:numFmt w:val="lowerRoman"/>
      <w:lvlText w:val="%9."/>
      <w:lvlJc w:val="right"/>
      <w:pPr>
        <w:ind w:left="4386" w:hanging="440"/>
      </w:pPr>
    </w:lvl>
  </w:abstractNum>
  <w:abstractNum w:abstractNumId="3">
    <w:nsid w:val="603634BF"/>
    <w:multiLevelType w:val="multilevel"/>
    <w:tmpl w:val="603634BF"/>
    <w:lvl w:ilvl="0" w:tentative="0">
      <w:start w:val="2"/>
      <w:numFmt w:val="decimal"/>
      <w:lvlText w:val="[%1]"/>
      <w:lvlJc w:val="left"/>
      <w:pPr>
        <w:ind w:left="360" w:hanging="360"/>
      </w:pPr>
      <w:rPr>
        <w:rFonts w:hint="default" w:ascii="Times New Roman" w:hAnsi="Times New Roman" w:cs="Times New Roman"/>
        <w:b w:val="0"/>
        <w:bCs w:val="0"/>
        <w:sz w:val="21"/>
        <w:szCs w:val="21"/>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2D0"/>
    <w:rsid w:val="00000E34"/>
    <w:rsid w:val="00002695"/>
    <w:rsid w:val="00011059"/>
    <w:rsid w:val="00017FDB"/>
    <w:rsid w:val="00021B95"/>
    <w:rsid w:val="000228E3"/>
    <w:rsid w:val="00022A80"/>
    <w:rsid w:val="000249BC"/>
    <w:rsid w:val="00032017"/>
    <w:rsid w:val="00043C0B"/>
    <w:rsid w:val="0004577A"/>
    <w:rsid w:val="00047166"/>
    <w:rsid w:val="000475C7"/>
    <w:rsid w:val="00047874"/>
    <w:rsid w:val="00051179"/>
    <w:rsid w:val="0005136D"/>
    <w:rsid w:val="000604AA"/>
    <w:rsid w:val="000645EE"/>
    <w:rsid w:val="00065CDA"/>
    <w:rsid w:val="00065D96"/>
    <w:rsid w:val="0007309F"/>
    <w:rsid w:val="00082D6E"/>
    <w:rsid w:val="0008461E"/>
    <w:rsid w:val="000926A8"/>
    <w:rsid w:val="000953D2"/>
    <w:rsid w:val="000A7935"/>
    <w:rsid w:val="000A7FFD"/>
    <w:rsid w:val="000B1830"/>
    <w:rsid w:val="000B72D7"/>
    <w:rsid w:val="000C22AB"/>
    <w:rsid w:val="000D1A39"/>
    <w:rsid w:val="000D23B5"/>
    <w:rsid w:val="000D56CE"/>
    <w:rsid w:val="000E318F"/>
    <w:rsid w:val="000E54E1"/>
    <w:rsid w:val="000E6800"/>
    <w:rsid w:val="000E68BF"/>
    <w:rsid w:val="000E7472"/>
    <w:rsid w:val="000F2AED"/>
    <w:rsid w:val="000F3061"/>
    <w:rsid w:val="000F5688"/>
    <w:rsid w:val="000F64DE"/>
    <w:rsid w:val="00101AAB"/>
    <w:rsid w:val="0012278F"/>
    <w:rsid w:val="00130230"/>
    <w:rsid w:val="0013088D"/>
    <w:rsid w:val="001319B7"/>
    <w:rsid w:val="00132214"/>
    <w:rsid w:val="00134362"/>
    <w:rsid w:val="00135284"/>
    <w:rsid w:val="00135905"/>
    <w:rsid w:val="00136769"/>
    <w:rsid w:val="00144BB7"/>
    <w:rsid w:val="00146D54"/>
    <w:rsid w:val="001509E2"/>
    <w:rsid w:val="00151674"/>
    <w:rsid w:val="00155245"/>
    <w:rsid w:val="00156080"/>
    <w:rsid w:val="001616AE"/>
    <w:rsid w:val="00162007"/>
    <w:rsid w:val="0017441F"/>
    <w:rsid w:val="0017483B"/>
    <w:rsid w:val="0018312D"/>
    <w:rsid w:val="00183380"/>
    <w:rsid w:val="00193CCF"/>
    <w:rsid w:val="001A488F"/>
    <w:rsid w:val="001B5E5C"/>
    <w:rsid w:val="001C0C6A"/>
    <w:rsid w:val="001C32E1"/>
    <w:rsid w:val="001C3BF7"/>
    <w:rsid w:val="001D7380"/>
    <w:rsid w:val="001E21CA"/>
    <w:rsid w:val="001E297F"/>
    <w:rsid w:val="001E3913"/>
    <w:rsid w:val="001E47AF"/>
    <w:rsid w:val="001E4A0B"/>
    <w:rsid w:val="001F001D"/>
    <w:rsid w:val="001F14D3"/>
    <w:rsid w:val="001F2BDC"/>
    <w:rsid w:val="001F37D6"/>
    <w:rsid w:val="002007AF"/>
    <w:rsid w:val="00202C14"/>
    <w:rsid w:val="00204BE8"/>
    <w:rsid w:val="002064E7"/>
    <w:rsid w:val="00206DDB"/>
    <w:rsid w:val="00210C92"/>
    <w:rsid w:val="00213066"/>
    <w:rsid w:val="00213CF4"/>
    <w:rsid w:val="0022109A"/>
    <w:rsid w:val="00230C43"/>
    <w:rsid w:val="00231CAC"/>
    <w:rsid w:val="00232436"/>
    <w:rsid w:val="00235A75"/>
    <w:rsid w:val="002366BE"/>
    <w:rsid w:val="0024156F"/>
    <w:rsid w:val="002439F3"/>
    <w:rsid w:val="00243D3A"/>
    <w:rsid w:val="002476A2"/>
    <w:rsid w:val="00247A07"/>
    <w:rsid w:val="00252DD6"/>
    <w:rsid w:val="00253632"/>
    <w:rsid w:val="00257C71"/>
    <w:rsid w:val="00257CAA"/>
    <w:rsid w:val="00257FBB"/>
    <w:rsid w:val="00260EA9"/>
    <w:rsid w:val="00262E1A"/>
    <w:rsid w:val="002631A6"/>
    <w:rsid w:val="00263F9B"/>
    <w:rsid w:val="00265C20"/>
    <w:rsid w:val="00267DF0"/>
    <w:rsid w:val="00271905"/>
    <w:rsid w:val="002738A9"/>
    <w:rsid w:val="002756B6"/>
    <w:rsid w:val="002818F5"/>
    <w:rsid w:val="00282509"/>
    <w:rsid w:val="00282D6F"/>
    <w:rsid w:val="002B05F9"/>
    <w:rsid w:val="002B1793"/>
    <w:rsid w:val="002B1844"/>
    <w:rsid w:val="002B27CF"/>
    <w:rsid w:val="002B2C07"/>
    <w:rsid w:val="002C09C1"/>
    <w:rsid w:val="002C55E4"/>
    <w:rsid w:val="002D220B"/>
    <w:rsid w:val="002D5B6E"/>
    <w:rsid w:val="002D6CFE"/>
    <w:rsid w:val="002E070E"/>
    <w:rsid w:val="002F07ED"/>
    <w:rsid w:val="002F2605"/>
    <w:rsid w:val="002F2BD6"/>
    <w:rsid w:val="002F3133"/>
    <w:rsid w:val="002F7783"/>
    <w:rsid w:val="00300070"/>
    <w:rsid w:val="00302ABB"/>
    <w:rsid w:val="0030327D"/>
    <w:rsid w:val="00315FA7"/>
    <w:rsid w:val="0031690D"/>
    <w:rsid w:val="00322E8F"/>
    <w:rsid w:val="0032684F"/>
    <w:rsid w:val="003307FE"/>
    <w:rsid w:val="00330C23"/>
    <w:rsid w:val="0033137C"/>
    <w:rsid w:val="00332E10"/>
    <w:rsid w:val="00334135"/>
    <w:rsid w:val="003405D8"/>
    <w:rsid w:val="00341138"/>
    <w:rsid w:val="00346087"/>
    <w:rsid w:val="00347E4C"/>
    <w:rsid w:val="00352669"/>
    <w:rsid w:val="003543B1"/>
    <w:rsid w:val="00355BDA"/>
    <w:rsid w:val="003628CB"/>
    <w:rsid w:val="00366EBA"/>
    <w:rsid w:val="00375521"/>
    <w:rsid w:val="00376F4E"/>
    <w:rsid w:val="00383A99"/>
    <w:rsid w:val="00385910"/>
    <w:rsid w:val="00385A00"/>
    <w:rsid w:val="00390549"/>
    <w:rsid w:val="00391F74"/>
    <w:rsid w:val="00391FCD"/>
    <w:rsid w:val="003A10F4"/>
    <w:rsid w:val="003A1E6D"/>
    <w:rsid w:val="003A4019"/>
    <w:rsid w:val="003A4858"/>
    <w:rsid w:val="003A4A9E"/>
    <w:rsid w:val="003A715E"/>
    <w:rsid w:val="003B63DA"/>
    <w:rsid w:val="003C0089"/>
    <w:rsid w:val="003C4968"/>
    <w:rsid w:val="003C6793"/>
    <w:rsid w:val="003C7231"/>
    <w:rsid w:val="003D40E2"/>
    <w:rsid w:val="003E0CE2"/>
    <w:rsid w:val="003E3604"/>
    <w:rsid w:val="003E48AD"/>
    <w:rsid w:val="003E4A9F"/>
    <w:rsid w:val="003F05E2"/>
    <w:rsid w:val="003F07E9"/>
    <w:rsid w:val="00402022"/>
    <w:rsid w:val="00402E85"/>
    <w:rsid w:val="00403122"/>
    <w:rsid w:val="004040E5"/>
    <w:rsid w:val="00407250"/>
    <w:rsid w:val="004156D2"/>
    <w:rsid w:val="004172B0"/>
    <w:rsid w:val="0042014D"/>
    <w:rsid w:val="00423489"/>
    <w:rsid w:val="004242C8"/>
    <w:rsid w:val="00425D35"/>
    <w:rsid w:val="00427B60"/>
    <w:rsid w:val="004411C8"/>
    <w:rsid w:val="0045026C"/>
    <w:rsid w:val="00451718"/>
    <w:rsid w:val="00454B94"/>
    <w:rsid w:val="004556B1"/>
    <w:rsid w:val="004579C9"/>
    <w:rsid w:val="00463E79"/>
    <w:rsid w:val="004702CE"/>
    <w:rsid w:val="00470BAD"/>
    <w:rsid w:val="00475DB0"/>
    <w:rsid w:val="00475F8B"/>
    <w:rsid w:val="00477C88"/>
    <w:rsid w:val="0048023C"/>
    <w:rsid w:val="00485FF7"/>
    <w:rsid w:val="004947A1"/>
    <w:rsid w:val="004A13FB"/>
    <w:rsid w:val="004A19D7"/>
    <w:rsid w:val="004A26E4"/>
    <w:rsid w:val="004A3E9E"/>
    <w:rsid w:val="004A6190"/>
    <w:rsid w:val="004A7771"/>
    <w:rsid w:val="004B22E3"/>
    <w:rsid w:val="004B69A0"/>
    <w:rsid w:val="004B76FE"/>
    <w:rsid w:val="004C037F"/>
    <w:rsid w:val="004C3096"/>
    <w:rsid w:val="004C6AE1"/>
    <w:rsid w:val="004D0DDE"/>
    <w:rsid w:val="004D1E19"/>
    <w:rsid w:val="004D4F2D"/>
    <w:rsid w:val="004D7491"/>
    <w:rsid w:val="004E2BAB"/>
    <w:rsid w:val="004E35D4"/>
    <w:rsid w:val="004E3A2B"/>
    <w:rsid w:val="004F3B98"/>
    <w:rsid w:val="004F3CF1"/>
    <w:rsid w:val="004F5DF0"/>
    <w:rsid w:val="004F6567"/>
    <w:rsid w:val="004F7C7A"/>
    <w:rsid w:val="005003C8"/>
    <w:rsid w:val="00500BEC"/>
    <w:rsid w:val="00504253"/>
    <w:rsid w:val="005121D2"/>
    <w:rsid w:val="00514110"/>
    <w:rsid w:val="00517E23"/>
    <w:rsid w:val="00522DE1"/>
    <w:rsid w:val="005300BE"/>
    <w:rsid w:val="0053069E"/>
    <w:rsid w:val="00533455"/>
    <w:rsid w:val="005404F6"/>
    <w:rsid w:val="00540787"/>
    <w:rsid w:val="0054425C"/>
    <w:rsid w:val="00552487"/>
    <w:rsid w:val="00552F2C"/>
    <w:rsid w:val="005533F0"/>
    <w:rsid w:val="005536E0"/>
    <w:rsid w:val="00554F2C"/>
    <w:rsid w:val="00554F5F"/>
    <w:rsid w:val="00555DB6"/>
    <w:rsid w:val="0056310C"/>
    <w:rsid w:val="00563438"/>
    <w:rsid w:val="00564238"/>
    <w:rsid w:val="005650D8"/>
    <w:rsid w:val="00570216"/>
    <w:rsid w:val="00571D62"/>
    <w:rsid w:val="0057582F"/>
    <w:rsid w:val="005769FC"/>
    <w:rsid w:val="00580ADF"/>
    <w:rsid w:val="00582BF2"/>
    <w:rsid w:val="00583241"/>
    <w:rsid w:val="0059742D"/>
    <w:rsid w:val="005A7271"/>
    <w:rsid w:val="005B09B4"/>
    <w:rsid w:val="005B7247"/>
    <w:rsid w:val="005C0D22"/>
    <w:rsid w:val="005C446A"/>
    <w:rsid w:val="005C6033"/>
    <w:rsid w:val="005C6C2E"/>
    <w:rsid w:val="005C7D64"/>
    <w:rsid w:val="005D0B55"/>
    <w:rsid w:val="005D421C"/>
    <w:rsid w:val="005D6888"/>
    <w:rsid w:val="005E2715"/>
    <w:rsid w:val="005E654D"/>
    <w:rsid w:val="005E6610"/>
    <w:rsid w:val="005F1F91"/>
    <w:rsid w:val="005F354F"/>
    <w:rsid w:val="005F37CE"/>
    <w:rsid w:val="005F4088"/>
    <w:rsid w:val="005F70A9"/>
    <w:rsid w:val="006000B9"/>
    <w:rsid w:val="00604C42"/>
    <w:rsid w:val="00604FE6"/>
    <w:rsid w:val="0060522C"/>
    <w:rsid w:val="006068B6"/>
    <w:rsid w:val="006115DA"/>
    <w:rsid w:val="0061337D"/>
    <w:rsid w:val="00613805"/>
    <w:rsid w:val="00614254"/>
    <w:rsid w:val="0061650A"/>
    <w:rsid w:val="00621DD0"/>
    <w:rsid w:val="00622923"/>
    <w:rsid w:val="006238FF"/>
    <w:rsid w:val="0062705B"/>
    <w:rsid w:val="00630957"/>
    <w:rsid w:val="0063338B"/>
    <w:rsid w:val="0064008F"/>
    <w:rsid w:val="006418FF"/>
    <w:rsid w:val="006439C3"/>
    <w:rsid w:val="00645BB8"/>
    <w:rsid w:val="00654E76"/>
    <w:rsid w:val="0066306E"/>
    <w:rsid w:val="00667386"/>
    <w:rsid w:val="006713F1"/>
    <w:rsid w:val="00671623"/>
    <w:rsid w:val="00672348"/>
    <w:rsid w:val="00673F39"/>
    <w:rsid w:val="006826DB"/>
    <w:rsid w:val="00685E1B"/>
    <w:rsid w:val="006860A6"/>
    <w:rsid w:val="00691B2A"/>
    <w:rsid w:val="00693EDE"/>
    <w:rsid w:val="006A4407"/>
    <w:rsid w:val="006A525A"/>
    <w:rsid w:val="006A5F8C"/>
    <w:rsid w:val="006B1615"/>
    <w:rsid w:val="006B36F6"/>
    <w:rsid w:val="006C024F"/>
    <w:rsid w:val="006C1B8C"/>
    <w:rsid w:val="006C26F5"/>
    <w:rsid w:val="006C3BA8"/>
    <w:rsid w:val="006C440A"/>
    <w:rsid w:val="006D34AF"/>
    <w:rsid w:val="006D3D48"/>
    <w:rsid w:val="006E317D"/>
    <w:rsid w:val="006F1C37"/>
    <w:rsid w:val="006F3CF2"/>
    <w:rsid w:val="006F49A2"/>
    <w:rsid w:val="006F7182"/>
    <w:rsid w:val="007009D6"/>
    <w:rsid w:val="00700BDF"/>
    <w:rsid w:val="007013E6"/>
    <w:rsid w:val="0070262A"/>
    <w:rsid w:val="0070699E"/>
    <w:rsid w:val="00707E43"/>
    <w:rsid w:val="00714033"/>
    <w:rsid w:val="00723572"/>
    <w:rsid w:val="0073148F"/>
    <w:rsid w:val="00737227"/>
    <w:rsid w:val="0074688E"/>
    <w:rsid w:val="00747311"/>
    <w:rsid w:val="00753D7B"/>
    <w:rsid w:val="00754D38"/>
    <w:rsid w:val="00756DC7"/>
    <w:rsid w:val="007742CF"/>
    <w:rsid w:val="00774E8D"/>
    <w:rsid w:val="00777A03"/>
    <w:rsid w:val="007807CE"/>
    <w:rsid w:val="007838D6"/>
    <w:rsid w:val="00786BD1"/>
    <w:rsid w:val="00790386"/>
    <w:rsid w:val="00794824"/>
    <w:rsid w:val="00796B5E"/>
    <w:rsid w:val="007B4C61"/>
    <w:rsid w:val="007B76BD"/>
    <w:rsid w:val="007B7DBC"/>
    <w:rsid w:val="007C49AB"/>
    <w:rsid w:val="007C72A7"/>
    <w:rsid w:val="007C7D49"/>
    <w:rsid w:val="007C7F2C"/>
    <w:rsid w:val="007D3891"/>
    <w:rsid w:val="007D43EF"/>
    <w:rsid w:val="007D649D"/>
    <w:rsid w:val="007E261F"/>
    <w:rsid w:val="007E4C76"/>
    <w:rsid w:val="007E5F5C"/>
    <w:rsid w:val="00801526"/>
    <w:rsid w:val="00801D8C"/>
    <w:rsid w:val="00802C33"/>
    <w:rsid w:val="0080332C"/>
    <w:rsid w:val="00807EA9"/>
    <w:rsid w:val="00807F61"/>
    <w:rsid w:val="008154AA"/>
    <w:rsid w:val="0081776A"/>
    <w:rsid w:val="0082381C"/>
    <w:rsid w:val="00824E6E"/>
    <w:rsid w:val="0082605A"/>
    <w:rsid w:val="00831664"/>
    <w:rsid w:val="0083340F"/>
    <w:rsid w:val="00833BA9"/>
    <w:rsid w:val="0083477F"/>
    <w:rsid w:val="00835565"/>
    <w:rsid w:val="00840E38"/>
    <w:rsid w:val="00841621"/>
    <w:rsid w:val="00843C98"/>
    <w:rsid w:val="008457D5"/>
    <w:rsid w:val="00850F05"/>
    <w:rsid w:val="00852D61"/>
    <w:rsid w:val="008547D1"/>
    <w:rsid w:val="0085710C"/>
    <w:rsid w:val="008601B3"/>
    <w:rsid w:val="00862618"/>
    <w:rsid w:val="00865B4A"/>
    <w:rsid w:val="008706DD"/>
    <w:rsid w:val="008714F5"/>
    <w:rsid w:val="00874B0E"/>
    <w:rsid w:val="008775A6"/>
    <w:rsid w:val="00883CE1"/>
    <w:rsid w:val="00884482"/>
    <w:rsid w:val="00890E23"/>
    <w:rsid w:val="00893751"/>
    <w:rsid w:val="00897128"/>
    <w:rsid w:val="008A36FB"/>
    <w:rsid w:val="008A788F"/>
    <w:rsid w:val="008B006A"/>
    <w:rsid w:val="008B0871"/>
    <w:rsid w:val="008B43E9"/>
    <w:rsid w:val="008B44E9"/>
    <w:rsid w:val="008C13ED"/>
    <w:rsid w:val="008C253B"/>
    <w:rsid w:val="008C533C"/>
    <w:rsid w:val="008D32F6"/>
    <w:rsid w:val="008D4199"/>
    <w:rsid w:val="008D51B0"/>
    <w:rsid w:val="008E09A7"/>
    <w:rsid w:val="008E7F2B"/>
    <w:rsid w:val="008F0D05"/>
    <w:rsid w:val="008F17F6"/>
    <w:rsid w:val="008F248F"/>
    <w:rsid w:val="008F3E26"/>
    <w:rsid w:val="008F70E1"/>
    <w:rsid w:val="009014CB"/>
    <w:rsid w:val="009024DF"/>
    <w:rsid w:val="00907778"/>
    <w:rsid w:val="00907CB1"/>
    <w:rsid w:val="0091160D"/>
    <w:rsid w:val="00911DFE"/>
    <w:rsid w:val="00913E48"/>
    <w:rsid w:val="0091557F"/>
    <w:rsid w:val="00917F24"/>
    <w:rsid w:val="00921E35"/>
    <w:rsid w:val="00925C64"/>
    <w:rsid w:val="0092695F"/>
    <w:rsid w:val="009305E3"/>
    <w:rsid w:val="00942B99"/>
    <w:rsid w:val="00944A63"/>
    <w:rsid w:val="0094583B"/>
    <w:rsid w:val="00947046"/>
    <w:rsid w:val="009529C0"/>
    <w:rsid w:val="009551DA"/>
    <w:rsid w:val="00956BCD"/>
    <w:rsid w:val="00965F0A"/>
    <w:rsid w:val="0096790B"/>
    <w:rsid w:val="00967D43"/>
    <w:rsid w:val="00970247"/>
    <w:rsid w:val="009748BA"/>
    <w:rsid w:val="00980CE3"/>
    <w:rsid w:val="00982C96"/>
    <w:rsid w:val="00982F7D"/>
    <w:rsid w:val="0098637E"/>
    <w:rsid w:val="00987438"/>
    <w:rsid w:val="00990256"/>
    <w:rsid w:val="009940EF"/>
    <w:rsid w:val="00995545"/>
    <w:rsid w:val="009A0F42"/>
    <w:rsid w:val="009A1DFD"/>
    <w:rsid w:val="009A27BF"/>
    <w:rsid w:val="009A5BB4"/>
    <w:rsid w:val="009B4F5F"/>
    <w:rsid w:val="009C1A1D"/>
    <w:rsid w:val="009C2703"/>
    <w:rsid w:val="009C764A"/>
    <w:rsid w:val="009D2834"/>
    <w:rsid w:val="009D39D5"/>
    <w:rsid w:val="009D5B11"/>
    <w:rsid w:val="009D6EF7"/>
    <w:rsid w:val="009E1A02"/>
    <w:rsid w:val="009E61F0"/>
    <w:rsid w:val="009F5820"/>
    <w:rsid w:val="00A006F1"/>
    <w:rsid w:val="00A0555D"/>
    <w:rsid w:val="00A06A30"/>
    <w:rsid w:val="00A10378"/>
    <w:rsid w:val="00A22872"/>
    <w:rsid w:val="00A2354C"/>
    <w:rsid w:val="00A30BA5"/>
    <w:rsid w:val="00A30F35"/>
    <w:rsid w:val="00A3256C"/>
    <w:rsid w:val="00A341F8"/>
    <w:rsid w:val="00A35096"/>
    <w:rsid w:val="00A3537F"/>
    <w:rsid w:val="00A35FA8"/>
    <w:rsid w:val="00A40379"/>
    <w:rsid w:val="00A427E0"/>
    <w:rsid w:val="00A4406E"/>
    <w:rsid w:val="00A45C82"/>
    <w:rsid w:val="00A46134"/>
    <w:rsid w:val="00A47DF1"/>
    <w:rsid w:val="00A51723"/>
    <w:rsid w:val="00A51FEF"/>
    <w:rsid w:val="00A54295"/>
    <w:rsid w:val="00A60A97"/>
    <w:rsid w:val="00A70AD8"/>
    <w:rsid w:val="00A775A4"/>
    <w:rsid w:val="00A84794"/>
    <w:rsid w:val="00A8642A"/>
    <w:rsid w:val="00A90ACD"/>
    <w:rsid w:val="00A92E52"/>
    <w:rsid w:val="00AA39C0"/>
    <w:rsid w:val="00AB7D49"/>
    <w:rsid w:val="00AC0750"/>
    <w:rsid w:val="00AC1840"/>
    <w:rsid w:val="00AC1B81"/>
    <w:rsid w:val="00AC4869"/>
    <w:rsid w:val="00AC5631"/>
    <w:rsid w:val="00AD24E3"/>
    <w:rsid w:val="00AD3AE0"/>
    <w:rsid w:val="00AD70E1"/>
    <w:rsid w:val="00AD7E05"/>
    <w:rsid w:val="00AE3367"/>
    <w:rsid w:val="00AE4145"/>
    <w:rsid w:val="00AE4219"/>
    <w:rsid w:val="00AE74D2"/>
    <w:rsid w:val="00AF0A9C"/>
    <w:rsid w:val="00AF2E85"/>
    <w:rsid w:val="00AF6A19"/>
    <w:rsid w:val="00B05C28"/>
    <w:rsid w:val="00B06019"/>
    <w:rsid w:val="00B11687"/>
    <w:rsid w:val="00B12B17"/>
    <w:rsid w:val="00B15DAB"/>
    <w:rsid w:val="00B17311"/>
    <w:rsid w:val="00B23179"/>
    <w:rsid w:val="00B24703"/>
    <w:rsid w:val="00B31AED"/>
    <w:rsid w:val="00B366A8"/>
    <w:rsid w:val="00B4667E"/>
    <w:rsid w:val="00B47167"/>
    <w:rsid w:val="00B51501"/>
    <w:rsid w:val="00B530D5"/>
    <w:rsid w:val="00B54422"/>
    <w:rsid w:val="00B64E3C"/>
    <w:rsid w:val="00B66286"/>
    <w:rsid w:val="00B667E5"/>
    <w:rsid w:val="00B718EE"/>
    <w:rsid w:val="00B836A4"/>
    <w:rsid w:val="00B91E4D"/>
    <w:rsid w:val="00B92651"/>
    <w:rsid w:val="00BA5B1C"/>
    <w:rsid w:val="00BB442B"/>
    <w:rsid w:val="00BB7F0E"/>
    <w:rsid w:val="00BC1B1F"/>
    <w:rsid w:val="00BC2F49"/>
    <w:rsid w:val="00BD1FB6"/>
    <w:rsid w:val="00BD4A35"/>
    <w:rsid w:val="00BD63DF"/>
    <w:rsid w:val="00BD7C1E"/>
    <w:rsid w:val="00BE1550"/>
    <w:rsid w:val="00BE2B16"/>
    <w:rsid w:val="00BE439D"/>
    <w:rsid w:val="00BF1F06"/>
    <w:rsid w:val="00BF241B"/>
    <w:rsid w:val="00BF5E77"/>
    <w:rsid w:val="00BF6320"/>
    <w:rsid w:val="00C00959"/>
    <w:rsid w:val="00C0540F"/>
    <w:rsid w:val="00C06130"/>
    <w:rsid w:val="00C0662A"/>
    <w:rsid w:val="00C121C3"/>
    <w:rsid w:val="00C17502"/>
    <w:rsid w:val="00C250AC"/>
    <w:rsid w:val="00C26386"/>
    <w:rsid w:val="00C27533"/>
    <w:rsid w:val="00C30D54"/>
    <w:rsid w:val="00C319AA"/>
    <w:rsid w:val="00C4547D"/>
    <w:rsid w:val="00C45E28"/>
    <w:rsid w:val="00C51443"/>
    <w:rsid w:val="00C556B2"/>
    <w:rsid w:val="00C57428"/>
    <w:rsid w:val="00C60692"/>
    <w:rsid w:val="00C65A33"/>
    <w:rsid w:val="00C71662"/>
    <w:rsid w:val="00C732C9"/>
    <w:rsid w:val="00C7343E"/>
    <w:rsid w:val="00C744AA"/>
    <w:rsid w:val="00C74C33"/>
    <w:rsid w:val="00C76A55"/>
    <w:rsid w:val="00C76AEA"/>
    <w:rsid w:val="00C90076"/>
    <w:rsid w:val="00C90C87"/>
    <w:rsid w:val="00C91B6E"/>
    <w:rsid w:val="00C93DE9"/>
    <w:rsid w:val="00CA09CD"/>
    <w:rsid w:val="00CA1C1C"/>
    <w:rsid w:val="00CA3AC9"/>
    <w:rsid w:val="00CA67A0"/>
    <w:rsid w:val="00CB0950"/>
    <w:rsid w:val="00CB1A29"/>
    <w:rsid w:val="00CB1CA7"/>
    <w:rsid w:val="00CC1A28"/>
    <w:rsid w:val="00CC336D"/>
    <w:rsid w:val="00CC388B"/>
    <w:rsid w:val="00CC5AE6"/>
    <w:rsid w:val="00CC67D7"/>
    <w:rsid w:val="00CD4413"/>
    <w:rsid w:val="00CD59E8"/>
    <w:rsid w:val="00CF3EEE"/>
    <w:rsid w:val="00D00408"/>
    <w:rsid w:val="00D03BE9"/>
    <w:rsid w:val="00D05CA9"/>
    <w:rsid w:val="00D1059E"/>
    <w:rsid w:val="00D12085"/>
    <w:rsid w:val="00D12942"/>
    <w:rsid w:val="00D1540E"/>
    <w:rsid w:val="00D15761"/>
    <w:rsid w:val="00D17EF9"/>
    <w:rsid w:val="00D2052E"/>
    <w:rsid w:val="00D366AC"/>
    <w:rsid w:val="00D4246B"/>
    <w:rsid w:val="00D43AFB"/>
    <w:rsid w:val="00D45561"/>
    <w:rsid w:val="00D55561"/>
    <w:rsid w:val="00D55DBC"/>
    <w:rsid w:val="00D566C2"/>
    <w:rsid w:val="00D60601"/>
    <w:rsid w:val="00D63D6B"/>
    <w:rsid w:val="00D74395"/>
    <w:rsid w:val="00D7798B"/>
    <w:rsid w:val="00D86F9D"/>
    <w:rsid w:val="00D95126"/>
    <w:rsid w:val="00D962A4"/>
    <w:rsid w:val="00D97ADA"/>
    <w:rsid w:val="00DB4347"/>
    <w:rsid w:val="00DC1004"/>
    <w:rsid w:val="00DC1D4D"/>
    <w:rsid w:val="00DC4455"/>
    <w:rsid w:val="00DC7A2A"/>
    <w:rsid w:val="00DD0267"/>
    <w:rsid w:val="00DD4820"/>
    <w:rsid w:val="00DD7BE5"/>
    <w:rsid w:val="00DD7FBA"/>
    <w:rsid w:val="00DE11BD"/>
    <w:rsid w:val="00DE41AA"/>
    <w:rsid w:val="00DE4311"/>
    <w:rsid w:val="00DF557E"/>
    <w:rsid w:val="00DF58AD"/>
    <w:rsid w:val="00DF6C93"/>
    <w:rsid w:val="00E004B3"/>
    <w:rsid w:val="00E01305"/>
    <w:rsid w:val="00E04126"/>
    <w:rsid w:val="00E07527"/>
    <w:rsid w:val="00E11AC6"/>
    <w:rsid w:val="00E14086"/>
    <w:rsid w:val="00E15889"/>
    <w:rsid w:val="00E16DB6"/>
    <w:rsid w:val="00E25E30"/>
    <w:rsid w:val="00E350B5"/>
    <w:rsid w:val="00E40E15"/>
    <w:rsid w:val="00E41EAF"/>
    <w:rsid w:val="00E427EB"/>
    <w:rsid w:val="00E45A36"/>
    <w:rsid w:val="00E53F47"/>
    <w:rsid w:val="00E61798"/>
    <w:rsid w:val="00E620FF"/>
    <w:rsid w:val="00E642A1"/>
    <w:rsid w:val="00E6781A"/>
    <w:rsid w:val="00E70900"/>
    <w:rsid w:val="00E71407"/>
    <w:rsid w:val="00E72CA6"/>
    <w:rsid w:val="00E77ED4"/>
    <w:rsid w:val="00E84C4F"/>
    <w:rsid w:val="00E85EBC"/>
    <w:rsid w:val="00E878A1"/>
    <w:rsid w:val="00E912D0"/>
    <w:rsid w:val="00E9138E"/>
    <w:rsid w:val="00E9546C"/>
    <w:rsid w:val="00EA04A6"/>
    <w:rsid w:val="00EA27F6"/>
    <w:rsid w:val="00EB021D"/>
    <w:rsid w:val="00EB18D5"/>
    <w:rsid w:val="00EB2F99"/>
    <w:rsid w:val="00EB48C8"/>
    <w:rsid w:val="00EB56D0"/>
    <w:rsid w:val="00EC158B"/>
    <w:rsid w:val="00EC2EF6"/>
    <w:rsid w:val="00EC60B5"/>
    <w:rsid w:val="00EC765B"/>
    <w:rsid w:val="00EC7BC8"/>
    <w:rsid w:val="00ED44AC"/>
    <w:rsid w:val="00EE4AFD"/>
    <w:rsid w:val="00EE691D"/>
    <w:rsid w:val="00EF4327"/>
    <w:rsid w:val="00F002A0"/>
    <w:rsid w:val="00F026A8"/>
    <w:rsid w:val="00F11112"/>
    <w:rsid w:val="00F23477"/>
    <w:rsid w:val="00F25E1F"/>
    <w:rsid w:val="00F31EC9"/>
    <w:rsid w:val="00F37021"/>
    <w:rsid w:val="00F43674"/>
    <w:rsid w:val="00F43731"/>
    <w:rsid w:val="00F470E3"/>
    <w:rsid w:val="00F55616"/>
    <w:rsid w:val="00F556DD"/>
    <w:rsid w:val="00F577CB"/>
    <w:rsid w:val="00F61671"/>
    <w:rsid w:val="00F61CC9"/>
    <w:rsid w:val="00F653DF"/>
    <w:rsid w:val="00F665C3"/>
    <w:rsid w:val="00F675E4"/>
    <w:rsid w:val="00F731E9"/>
    <w:rsid w:val="00F74C08"/>
    <w:rsid w:val="00F80935"/>
    <w:rsid w:val="00F829C0"/>
    <w:rsid w:val="00F85F24"/>
    <w:rsid w:val="00F90C77"/>
    <w:rsid w:val="00F91637"/>
    <w:rsid w:val="00F91ADB"/>
    <w:rsid w:val="00F939AA"/>
    <w:rsid w:val="00F962AE"/>
    <w:rsid w:val="00F97EA0"/>
    <w:rsid w:val="00FA3BA6"/>
    <w:rsid w:val="00FA3F68"/>
    <w:rsid w:val="00FA532A"/>
    <w:rsid w:val="00FA6871"/>
    <w:rsid w:val="00FA6D9C"/>
    <w:rsid w:val="00FA7F3F"/>
    <w:rsid w:val="00FB0270"/>
    <w:rsid w:val="00FB120B"/>
    <w:rsid w:val="00FB1497"/>
    <w:rsid w:val="00FB2E2A"/>
    <w:rsid w:val="00FB488B"/>
    <w:rsid w:val="00FB72F1"/>
    <w:rsid w:val="00FC12A1"/>
    <w:rsid w:val="00FC4540"/>
    <w:rsid w:val="00FD712B"/>
    <w:rsid w:val="00FE25F9"/>
    <w:rsid w:val="00FE3595"/>
    <w:rsid w:val="00FE3EEE"/>
    <w:rsid w:val="00FE693D"/>
    <w:rsid w:val="00FE7F3C"/>
    <w:rsid w:val="00FF02BC"/>
    <w:rsid w:val="00FF4603"/>
    <w:rsid w:val="00FF7E8B"/>
    <w:rsid w:val="56A80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3"/>
    <w:link w:val="16"/>
    <w:autoRedefine/>
    <w:unhideWhenUsed/>
    <w:qFormat/>
    <w:uiPriority w:val="9"/>
    <w:pPr>
      <w:keepNext/>
      <w:keepLines/>
      <w:widowControl/>
      <w:spacing w:before="200"/>
      <w:jc w:val="left"/>
      <w:outlineLvl w:val="2"/>
    </w:pPr>
    <w:rPr>
      <w:rFonts w:asciiTheme="majorHAnsi" w:hAnsiTheme="majorHAnsi" w:eastAsiaTheme="majorEastAsia" w:cstheme="majorBidi"/>
      <w:b/>
      <w:bCs/>
      <w:kern w:val="0"/>
      <w:sz w:val="24"/>
      <w:szCs w:val="24"/>
      <w:lang w:eastAsia="en-US"/>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link w:val="14"/>
    <w:qFormat/>
    <w:uiPriority w:val="0"/>
    <w:pPr>
      <w:widowControl/>
      <w:spacing w:before="180" w:after="180"/>
      <w:jc w:val="left"/>
    </w:pPr>
    <w:rPr>
      <w:kern w:val="0"/>
      <w:sz w:val="24"/>
      <w:szCs w:val="24"/>
      <w:lang w:eastAsia="en-US"/>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5"/>
    <w:autoRedefine/>
    <w:qFormat/>
    <w:uiPriority w:val="99"/>
    <w:rPr>
      <w:sz w:val="18"/>
      <w:szCs w:val="18"/>
    </w:rPr>
  </w:style>
  <w:style w:type="character" w:customStyle="1" w:styleId="11">
    <w:name w:val="页脚 字符"/>
    <w:basedOn w:val="9"/>
    <w:link w:val="4"/>
    <w:uiPriority w:val="99"/>
    <w:rPr>
      <w:sz w:val="18"/>
      <w:szCs w:val="18"/>
    </w:rPr>
  </w:style>
  <w:style w:type="paragraph" w:styleId="12">
    <w:name w:val="List Paragraph"/>
    <w:basedOn w:val="1"/>
    <w:autoRedefine/>
    <w:qFormat/>
    <w:uiPriority w:val="34"/>
    <w:pPr>
      <w:ind w:firstLine="420" w:firstLineChars="200"/>
    </w:pPr>
  </w:style>
  <w:style w:type="paragraph" w:customStyle="1" w:styleId="13">
    <w:name w:val="one-p"/>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4">
    <w:name w:val="正文文本 字符"/>
    <w:basedOn w:val="9"/>
    <w:link w:val="3"/>
    <w:autoRedefine/>
    <w:qFormat/>
    <w:uiPriority w:val="0"/>
    <w:rPr>
      <w:kern w:val="0"/>
      <w:sz w:val="24"/>
      <w:szCs w:val="24"/>
      <w:lang w:eastAsia="en-US"/>
    </w:rPr>
  </w:style>
  <w:style w:type="paragraph" w:customStyle="1" w:styleId="15">
    <w:name w:val="First Paragraph"/>
    <w:basedOn w:val="3"/>
    <w:next w:val="3"/>
    <w:autoRedefine/>
    <w:qFormat/>
    <w:uiPriority w:val="0"/>
  </w:style>
  <w:style w:type="character" w:customStyle="1" w:styleId="16">
    <w:name w:val="标题 3 字符"/>
    <w:basedOn w:val="9"/>
    <w:link w:val="2"/>
    <w:autoRedefine/>
    <w:qFormat/>
    <w:uiPriority w:val="9"/>
    <w:rPr>
      <w:rFonts w:asciiTheme="majorHAnsi" w:hAnsiTheme="majorHAnsi" w:eastAsiaTheme="majorEastAsia" w:cstheme="majorBidi"/>
      <w:b/>
      <w:bCs/>
      <w:kern w:val="0"/>
      <w:sz w:val="24"/>
      <w:szCs w:val="24"/>
      <w:lang w:eastAsia="en-US"/>
    </w:rPr>
  </w:style>
  <w:style w:type="paragraph" w:customStyle="1" w:styleId="17">
    <w:name w:val="Compact"/>
    <w:basedOn w:val="3"/>
    <w:autoRedefine/>
    <w:qFormat/>
    <w:uiPriority w:val="0"/>
    <w:pPr>
      <w:spacing w:before="36" w:after="36"/>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924</Words>
  <Characters>5268</Characters>
  <Lines>43</Lines>
  <Paragraphs>12</Paragraphs>
  <TotalTime>2</TotalTime>
  <ScaleCrop>false</ScaleCrop>
  <LinksUpToDate>false</LinksUpToDate>
  <CharactersWithSpaces>6180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2024-04-19T01:51:00Z</dcterms:created>
  <dc:creator>Administrator</dc:creator>
  <cp:lastModifiedBy>Pan</cp:lastModifiedBy>
  <dcterms:modified xsi:type="dcterms:W3CDTF">2024-04-19T02:44:32Z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BF71D3DE9274464F84BBF6307D3CC7EA_13</vt:lpwstr>
  </property>
</Properties>
</file>