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sz w:val="32"/>
          <w:szCs w:val="32"/>
        </w:rPr>
      </w:pPr>
      <w:r>
        <w:rPr>
          <w:rFonts w:hint="eastAsia" w:ascii="黑体" w:hAnsi="黑体" w:eastAsia="黑体"/>
          <w:sz w:val="32"/>
          <w:szCs w:val="32"/>
        </w:rPr>
        <w:t>跨学科主题学习中表现性评价的设计与实施案例</w:t>
      </w:r>
    </w:p>
    <w:p>
      <w:pPr>
        <w:spacing w:line="360" w:lineRule="auto"/>
        <w:jc w:val="center"/>
        <w:rPr>
          <w:rFonts w:ascii="楷体" w:hAnsi="楷体" w:eastAsia="楷体"/>
          <w:sz w:val="30"/>
          <w:szCs w:val="30"/>
        </w:rPr>
      </w:pPr>
      <w:r>
        <w:rPr>
          <w:rFonts w:hint="eastAsia" w:ascii="黑体" w:hAnsi="黑体" w:eastAsia="黑体"/>
          <w:sz w:val="32"/>
          <w:szCs w:val="32"/>
          <w:lang w:eastAsia="zh-CN"/>
        </w:rPr>
        <w:t>——</w:t>
      </w:r>
      <w:r>
        <w:rPr>
          <w:rFonts w:hint="eastAsia" w:ascii="黑体" w:hAnsi="黑体" w:eastAsia="黑体"/>
          <w:sz w:val="32"/>
          <w:szCs w:val="32"/>
        </w:rPr>
        <w:t>“高产水稻”的选修课程方案设计</w:t>
      </w:r>
    </w:p>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上海市南洋中学</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xml:space="preserve">周婧 潘楠  </w:t>
      </w:r>
    </w:p>
    <w:p>
      <w:pPr>
        <w:spacing w:line="360" w:lineRule="auto"/>
        <w:rPr>
          <w:rFonts w:ascii="宋体" w:hAnsi="宋体"/>
          <w:b/>
          <w:bCs/>
          <w:sz w:val="24"/>
          <w:szCs w:val="24"/>
        </w:rPr>
      </w:pPr>
    </w:p>
    <w:p>
      <w:pPr>
        <w:spacing w:line="360" w:lineRule="auto"/>
        <w:rPr>
          <w:rFonts w:ascii="宋体" w:hAnsi="宋体"/>
          <w:b/>
          <w:bCs/>
          <w:sz w:val="24"/>
          <w:szCs w:val="24"/>
        </w:rPr>
      </w:pPr>
      <w:r>
        <w:rPr>
          <w:rFonts w:hint="eastAsia" w:ascii="宋体" w:hAnsi="宋体"/>
          <w:b/>
          <w:bCs/>
          <w:sz w:val="24"/>
          <w:szCs w:val="24"/>
        </w:rPr>
        <w:t>一、</w:t>
      </w:r>
      <w:r>
        <w:rPr>
          <w:rFonts w:hint="eastAsia" w:ascii="宋体" w:hAnsi="宋体"/>
          <w:b/>
          <w:bCs/>
          <w:sz w:val="24"/>
          <w:szCs w:val="24"/>
          <w:lang w:val="en-US" w:eastAsia="zh-CN"/>
        </w:rPr>
        <w:t>研究</w:t>
      </w:r>
      <w:r>
        <w:rPr>
          <w:rFonts w:hint="eastAsia" w:ascii="宋体" w:hAnsi="宋体"/>
          <w:b/>
          <w:bCs/>
          <w:sz w:val="24"/>
          <w:szCs w:val="24"/>
        </w:rPr>
        <w:t>背景</w:t>
      </w:r>
    </w:p>
    <w:p>
      <w:pPr>
        <w:spacing w:line="360" w:lineRule="auto"/>
        <w:ind w:firstLine="480" w:firstLineChars="200"/>
        <w:rPr>
          <w:rFonts w:hint="eastAsia" w:ascii="宋体" w:hAnsi="宋体"/>
          <w:sz w:val="24"/>
          <w:szCs w:val="24"/>
        </w:rPr>
      </w:pPr>
      <w:r>
        <w:rPr>
          <w:rFonts w:ascii="宋体" w:hAnsi="宋体"/>
          <w:sz w:val="24"/>
          <w:szCs w:val="24"/>
        </w:rPr>
        <w:t>跨学科主题学习是新课标修订的一大亮点，</w:t>
      </w:r>
      <w:r>
        <w:rPr>
          <w:rFonts w:hint="eastAsia" w:ascii="宋体" w:hAnsi="宋体"/>
          <w:sz w:val="24"/>
          <w:szCs w:val="24"/>
        </w:rPr>
        <w:t>对于</w:t>
      </w:r>
      <w:r>
        <w:rPr>
          <w:rFonts w:ascii="宋体" w:hAnsi="宋体"/>
          <w:sz w:val="24"/>
          <w:szCs w:val="24"/>
        </w:rPr>
        <w:t>加强</w:t>
      </w:r>
      <w:r>
        <w:rPr>
          <w:rFonts w:hint="eastAsia" w:ascii="宋体" w:hAnsi="宋体"/>
          <w:sz w:val="24"/>
          <w:szCs w:val="24"/>
        </w:rPr>
        <w:t>不同</w:t>
      </w:r>
      <w:r>
        <w:rPr>
          <w:rFonts w:ascii="宋体" w:hAnsi="宋体"/>
          <w:sz w:val="24"/>
          <w:szCs w:val="24"/>
        </w:rPr>
        <w:t>学科</w:t>
      </w:r>
      <w:r>
        <w:rPr>
          <w:rFonts w:hint="eastAsia" w:ascii="宋体" w:hAnsi="宋体"/>
          <w:sz w:val="24"/>
          <w:szCs w:val="24"/>
        </w:rPr>
        <w:t>间的</w:t>
      </w:r>
      <w:r>
        <w:rPr>
          <w:rFonts w:ascii="宋体" w:hAnsi="宋体"/>
          <w:sz w:val="24"/>
          <w:szCs w:val="24"/>
        </w:rPr>
        <w:t>联系，</w:t>
      </w:r>
      <w:r>
        <w:rPr>
          <w:rFonts w:hint="eastAsia" w:ascii="宋体" w:hAnsi="宋体"/>
          <w:sz w:val="24"/>
          <w:szCs w:val="24"/>
        </w:rPr>
        <w:t>强化</w:t>
      </w:r>
      <w:r>
        <w:rPr>
          <w:rFonts w:ascii="宋体" w:hAnsi="宋体"/>
          <w:sz w:val="24"/>
          <w:szCs w:val="24"/>
        </w:rPr>
        <w:t>课程综合化实践</w:t>
      </w:r>
      <w:r>
        <w:rPr>
          <w:rFonts w:hint="eastAsia" w:ascii="宋体" w:hAnsi="宋体"/>
          <w:sz w:val="24"/>
          <w:szCs w:val="24"/>
        </w:rPr>
        <w:t>意义重大。</w:t>
      </w:r>
      <w:r>
        <w:rPr>
          <w:rFonts w:ascii="宋体" w:hAnsi="宋体"/>
          <w:sz w:val="24"/>
          <w:szCs w:val="24"/>
        </w:rPr>
        <w:t>传统的课程</w:t>
      </w:r>
      <w:r>
        <w:rPr>
          <w:rFonts w:hint="eastAsia" w:ascii="宋体" w:hAnsi="宋体"/>
          <w:sz w:val="24"/>
          <w:szCs w:val="24"/>
        </w:rPr>
        <w:t>以</w:t>
      </w:r>
      <w:r>
        <w:rPr>
          <w:rFonts w:ascii="宋体" w:hAnsi="宋体"/>
          <w:sz w:val="24"/>
          <w:szCs w:val="24"/>
        </w:rPr>
        <w:t>学科知识为逻辑</w:t>
      </w:r>
      <w:r>
        <w:rPr>
          <w:rFonts w:hint="eastAsia" w:ascii="宋体" w:hAnsi="宋体"/>
          <w:sz w:val="24"/>
          <w:szCs w:val="24"/>
        </w:rPr>
        <w:t>依据划块组织</w:t>
      </w:r>
      <w:r>
        <w:rPr>
          <w:rFonts w:ascii="宋体" w:hAnsi="宋体"/>
          <w:sz w:val="24"/>
          <w:szCs w:val="24"/>
        </w:rPr>
        <w:t>学习内容，</w:t>
      </w:r>
      <w:r>
        <w:rPr>
          <w:rFonts w:hint="eastAsia" w:ascii="宋体" w:hAnsi="宋体"/>
          <w:sz w:val="24"/>
          <w:szCs w:val="24"/>
        </w:rPr>
        <w:t>这类围绕单一学科核心的学习有着严谨、系统的知识结构和学科边界，促进学生熟练掌握某一领域的基础知识、方法和思维工具，但在面对复杂多变的真实问题时有很大的局限性，忽视了学习与实际生活的关联。</w:t>
      </w:r>
      <w:r>
        <w:rPr>
          <w:rFonts w:ascii="宋体" w:hAnsi="宋体"/>
          <w:sz w:val="24"/>
          <w:szCs w:val="24"/>
        </w:rPr>
        <w:t>在现代</w:t>
      </w:r>
      <w:r>
        <w:rPr>
          <w:rFonts w:hint="eastAsia" w:ascii="宋体" w:hAnsi="宋体"/>
          <w:sz w:val="24"/>
          <w:szCs w:val="24"/>
        </w:rPr>
        <w:t>社会和未来世界</w:t>
      </w:r>
      <w:r>
        <w:rPr>
          <w:rFonts w:ascii="宋体" w:hAnsi="宋体"/>
          <w:sz w:val="24"/>
          <w:szCs w:val="24"/>
        </w:rPr>
        <w:t>，人们必须面对和解决的许多现实问题都</w:t>
      </w:r>
      <w:r>
        <w:rPr>
          <w:rFonts w:hint="eastAsia" w:ascii="宋体" w:hAnsi="宋体"/>
          <w:sz w:val="24"/>
          <w:szCs w:val="24"/>
        </w:rPr>
        <w:t>具有</w:t>
      </w:r>
      <w:r>
        <w:rPr>
          <w:rFonts w:ascii="宋体" w:hAnsi="宋体"/>
          <w:sz w:val="24"/>
          <w:szCs w:val="24"/>
        </w:rPr>
        <w:t>复杂性</w:t>
      </w:r>
      <w:r>
        <w:rPr>
          <w:rFonts w:hint="eastAsia" w:ascii="宋体" w:hAnsi="宋体"/>
          <w:sz w:val="24"/>
          <w:szCs w:val="24"/>
        </w:rPr>
        <w:t>和综合性的特征。</w:t>
      </w:r>
      <w:r>
        <w:rPr>
          <w:rFonts w:ascii="宋体" w:hAnsi="宋体"/>
          <w:sz w:val="24"/>
          <w:szCs w:val="24"/>
        </w:rPr>
        <w:t>重视学科交叉融合是教育发展的必然趋势，跨学科主题学习是科学教育研究与实践中一个新的挑战</w:t>
      </w:r>
      <w:r>
        <w:rPr>
          <w:rFonts w:hint="eastAsia" w:ascii="宋体" w:hAnsi="宋体"/>
          <w:sz w:val="24"/>
          <w:szCs w:val="24"/>
          <w:vertAlign w:val="superscript"/>
        </w:rPr>
        <w:t>[</w:t>
      </w:r>
      <w:r>
        <w:rPr>
          <w:rFonts w:ascii="宋体" w:hAnsi="宋体"/>
          <w:sz w:val="24"/>
          <w:szCs w:val="24"/>
          <w:vertAlign w:val="superscript"/>
        </w:rPr>
        <w:t>1]</w:t>
      </w:r>
      <w:r>
        <w:rPr>
          <w:rFonts w:hint="eastAsia" w:ascii="宋体" w:hAnsi="宋体"/>
          <w:sz w:val="24"/>
          <w:szCs w:val="24"/>
        </w:rPr>
        <w:t>。</w:t>
      </w:r>
    </w:p>
    <w:p>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在跨学科主题学习的设计与实施如何有效开展评价成为当前一线教师的重要难题。作为一种面向真实情境问题解决的评价方式，表现性评价指向高阶思维与核心素养的评估，它能够以相应的评价方式通过评价复杂的学习过程与结果,实现学习过程与结果并重，从而有效评价学生的学习表现以及核心素养水平，这与跨学科主题学习的理念一致。表现性评价是在尽量合乎真实的情境中，运用评分规则对学生完成复杂任务的过程表现或与结果做出判断</w:t>
      </w:r>
      <w:r>
        <w:rPr>
          <w:rFonts w:hint="eastAsia" w:ascii="宋体" w:hAnsi="宋体"/>
          <w:sz w:val="24"/>
          <w:szCs w:val="24"/>
          <w:lang w:eastAsia="zh-CN"/>
        </w:rPr>
        <w:t>，</w:t>
      </w:r>
      <w:r>
        <w:rPr>
          <w:rFonts w:hint="eastAsia" w:ascii="宋体" w:hAnsi="宋体"/>
          <w:sz w:val="24"/>
          <w:szCs w:val="24"/>
        </w:rPr>
        <w:t>本案例中</w:t>
      </w:r>
      <w:r>
        <w:rPr>
          <w:rFonts w:hint="eastAsia" w:ascii="宋体" w:hAnsi="宋体"/>
          <w:sz w:val="24"/>
          <w:szCs w:val="24"/>
          <w:lang w:val="en-US" w:eastAsia="zh-CN"/>
        </w:rPr>
        <w:t>尝试</w:t>
      </w:r>
      <w:r>
        <w:rPr>
          <w:rFonts w:hint="eastAsia" w:ascii="宋体" w:hAnsi="宋体"/>
          <w:sz w:val="24"/>
          <w:szCs w:val="24"/>
        </w:rPr>
        <w:t>围绕跨学科主题学习</w:t>
      </w:r>
      <w:r>
        <w:rPr>
          <w:rFonts w:hint="eastAsia" w:ascii="宋体" w:hAnsi="宋体"/>
          <w:sz w:val="24"/>
          <w:szCs w:val="24"/>
          <w:lang w:val="en-US" w:eastAsia="zh-CN"/>
        </w:rPr>
        <w:t>进行</w:t>
      </w:r>
      <w:r>
        <w:rPr>
          <w:rFonts w:hint="eastAsia" w:ascii="宋体" w:hAnsi="宋体"/>
          <w:sz w:val="24"/>
          <w:szCs w:val="24"/>
        </w:rPr>
        <w:t>开放性的表现性评价</w:t>
      </w:r>
      <w:r>
        <w:rPr>
          <w:rFonts w:hint="eastAsia" w:ascii="宋体" w:hAnsi="宋体"/>
          <w:sz w:val="24"/>
          <w:szCs w:val="24"/>
          <w:lang w:eastAsia="zh-CN"/>
        </w:rPr>
        <w:t>。</w:t>
      </w:r>
      <w:bookmarkStart w:id="1" w:name="_GoBack"/>
      <w:bookmarkEnd w:id="1"/>
    </w:p>
    <w:p>
      <w:pPr>
        <w:spacing w:line="360" w:lineRule="auto"/>
        <w:rPr>
          <w:rFonts w:hint="eastAsia" w:ascii="宋体" w:hAnsi="宋体"/>
          <w:b/>
          <w:bCs/>
          <w:sz w:val="24"/>
          <w:szCs w:val="24"/>
        </w:rPr>
      </w:pPr>
      <w:r>
        <w:rPr>
          <w:rFonts w:hint="eastAsia" w:ascii="宋体" w:hAnsi="宋体"/>
          <w:b/>
          <w:bCs/>
          <w:sz w:val="24"/>
          <w:szCs w:val="24"/>
          <w:lang w:val="en-US" w:eastAsia="zh-CN"/>
        </w:rPr>
        <w:t>二、</w:t>
      </w:r>
      <w:r>
        <w:rPr>
          <w:rFonts w:hint="eastAsia" w:ascii="宋体" w:hAnsi="宋体"/>
          <w:b/>
          <w:bCs/>
          <w:sz w:val="24"/>
          <w:szCs w:val="24"/>
        </w:rPr>
        <w:t>表现性评价的建构</w:t>
      </w:r>
    </w:p>
    <w:p>
      <w:pPr>
        <w:numPr>
          <w:ilvl w:val="0"/>
          <w:numId w:val="0"/>
        </w:numPr>
        <w:spacing w:line="360" w:lineRule="auto"/>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w:t>
      </w:r>
      <w:r>
        <w:rPr>
          <w:rFonts w:hint="eastAsia" w:ascii="宋体" w:hAnsi="宋体"/>
          <w:b/>
          <w:bCs/>
          <w:color w:val="000000" w:themeColor="text1"/>
          <w:sz w:val="24"/>
          <w:szCs w:val="24"/>
          <w:lang w:val="en-US" w:eastAsia="zh-CN"/>
          <w14:textFill>
            <w14:solidFill>
              <w14:schemeClr w14:val="tx1"/>
            </w14:solidFill>
          </w14:textFill>
        </w:rPr>
        <w:t>一</w:t>
      </w:r>
      <w:r>
        <w:rPr>
          <w:rFonts w:hint="eastAsia" w:ascii="宋体" w:hAnsi="宋体"/>
          <w:b/>
          <w:bCs/>
          <w:color w:val="000000" w:themeColor="text1"/>
          <w:sz w:val="24"/>
          <w:szCs w:val="24"/>
          <w:lang w:eastAsia="zh-CN"/>
          <w14:textFill>
            <w14:solidFill>
              <w14:schemeClr w14:val="tx1"/>
            </w14:solidFill>
          </w14:textFill>
        </w:rPr>
        <w:t>）基于素养导向，逆向设计评价</w:t>
      </w:r>
    </w:p>
    <w:p>
      <w:pPr>
        <w:spacing w:line="360" w:lineRule="auto"/>
        <w:ind w:firstLine="480" w:firstLineChars="200"/>
        <w:rPr>
          <w:rFonts w:ascii="宋体" w:hAnsi="宋体"/>
          <w:sz w:val="24"/>
          <w:szCs w:val="24"/>
        </w:rPr>
      </w:pPr>
      <w:r>
        <w:rPr>
          <w:rFonts w:hint="eastAsia" w:ascii="宋体" w:hAnsi="宋体"/>
          <w:sz w:val="24"/>
          <w:szCs w:val="24"/>
        </w:rPr>
        <w:t>在</w:t>
      </w:r>
      <w:r>
        <w:rPr>
          <w:rFonts w:ascii="宋体" w:hAnsi="宋体"/>
          <w:sz w:val="24"/>
          <w:szCs w:val="24"/>
        </w:rPr>
        <w:t>进行跨学科主题学习</w:t>
      </w:r>
      <w:r>
        <w:rPr>
          <w:rFonts w:hint="eastAsia" w:ascii="宋体" w:hAnsi="宋体"/>
          <w:sz w:val="24"/>
          <w:szCs w:val="24"/>
        </w:rPr>
        <w:t>前，师生应针对这一有别于传统课堂的学习模式建立初步认知，熟悉在主题学习的前期准备、活动过程和结尾汇报三个阶段具体的实施步骤以及需要注意的关键点。为了跨学科主题学习活动开展的有效性，优化落实核心素养目标，结合日常教学实践，构建了“地理+生物”的跨学科主题学习的</w:t>
      </w:r>
      <w:r>
        <w:rPr>
          <w:rFonts w:hint="eastAsia" w:ascii="宋体" w:hAnsi="宋体"/>
          <w:sz w:val="24"/>
          <w:szCs w:val="24"/>
          <w:lang w:val="en-US" w:eastAsia="zh-CN"/>
        </w:rPr>
        <w:t>设计</w:t>
      </w:r>
      <w:r>
        <w:rPr>
          <w:rFonts w:hint="eastAsia" w:ascii="宋体" w:hAnsi="宋体"/>
          <w:sz w:val="24"/>
          <w:szCs w:val="24"/>
        </w:rPr>
        <w:t>。</w:t>
      </w:r>
    </w:p>
    <w:p>
      <w:pPr>
        <w:spacing w:line="360" w:lineRule="auto"/>
      </w:pPr>
    </w:p>
    <w:p>
      <w:pPr>
        <w:spacing w:line="360" w:lineRule="auto"/>
      </w:pPr>
    </w:p>
    <w:p>
      <w:pPr>
        <w:spacing w:line="360" w:lineRule="auto"/>
      </w:pPr>
    </w:p>
    <w:p>
      <w:pPr>
        <w:spacing w:line="360" w:lineRule="auto"/>
      </w:pPr>
    </w:p>
    <w:p>
      <w:pPr>
        <w:spacing w:line="360" w:lineRule="auto"/>
      </w:pPr>
      <w:r>
        <mc:AlternateContent>
          <mc:Choice Requires="wpg">
            <w:drawing>
              <wp:anchor distT="0" distB="0" distL="114300" distR="114300" simplePos="0" relativeHeight="251659264" behindDoc="0" locked="0" layoutInCell="1" allowOverlap="1">
                <wp:simplePos x="0" y="0"/>
                <wp:positionH relativeFrom="margin">
                  <wp:align>center</wp:align>
                </wp:positionH>
                <wp:positionV relativeFrom="paragraph">
                  <wp:posOffset>101600</wp:posOffset>
                </wp:positionV>
                <wp:extent cx="3841750" cy="3325495"/>
                <wp:effectExtent l="0" t="0" r="25400" b="27940"/>
                <wp:wrapNone/>
                <wp:docPr id="100" name="组合 23"/>
                <wp:cNvGraphicFramePr/>
                <a:graphic xmlns:a="http://schemas.openxmlformats.org/drawingml/2006/main">
                  <a:graphicData uri="http://schemas.microsoft.com/office/word/2010/wordprocessingGroup">
                    <wpg:wgp>
                      <wpg:cNvGrpSpPr/>
                      <wpg:grpSpPr>
                        <a:xfrm>
                          <a:off x="0" y="0"/>
                          <a:ext cx="3841750" cy="3325494"/>
                          <a:chOff x="398925" y="19877"/>
                          <a:chExt cx="4494149" cy="4964016"/>
                        </a:xfrm>
                      </wpg:grpSpPr>
                      <wps:wsp>
                        <wps:cNvPr id="101" name="文本框 3"/>
                        <wps:cNvSpPr txBox="1"/>
                        <wps:spPr>
                          <a:xfrm>
                            <a:off x="1781077" y="19877"/>
                            <a:ext cx="1716388" cy="635408"/>
                          </a:xfrm>
                          <a:prstGeom prst="rect">
                            <a:avLst/>
                          </a:prstGeom>
                          <a:noFill/>
                          <a:ln>
                            <a:solidFill>
                              <a:sysClr val="windowText" lastClr="000000"/>
                            </a:solidFill>
                          </a:ln>
                        </wps:spPr>
                        <wps:txbx>
                          <w:txbxContent>
                            <w:p>
                              <w:pPr>
                                <w:jc w:val="center"/>
                                <w:rPr>
                                  <w:rFonts w:ascii="宋体" w:hAnsi="宋体"/>
                                  <w:color w:val="000000" w:themeColor="text1"/>
                                  <w:kern w:val="24"/>
                                  <w:szCs w:val="21"/>
                                  <w14:textFill>
                                    <w14:solidFill>
                                      <w14:schemeClr w14:val="tx1"/>
                                    </w14:solidFill>
                                  </w14:textFill>
                                </w:rPr>
                              </w:pPr>
                              <w:r>
                                <w:rPr>
                                  <w:rFonts w:hint="eastAsia" w:ascii="宋体" w:hAnsi="宋体"/>
                                  <w:color w:val="000000" w:themeColor="text1"/>
                                  <w:kern w:val="24"/>
                                  <w:szCs w:val="21"/>
                                  <w14:textFill>
                                    <w14:solidFill>
                                      <w14:schemeClr w14:val="tx1"/>
                                    </w14:solidFill>
                                  </w14:textFill>
                                </w:rPr>
                                <w:t>自主查阅资料</w:t>
                              </w:r>
                            </w:p>
                            <w:p>
                              <w:pPr>
                                <w:jc w:val="center"/>
                                <w:rPr>
                                  <w:rFonts w:ascii="宋体" w:hAnsi="宋体"/>
                                  <w:color w:val="000000" w:themeColor="text1"/>
                                  <w:kern w:val="24"/>
                                  <w:szCs w:val="21"/>
                                  <w14:textFill>
                                    <w14:solidFill>
                                      <w14:schemeClr w14:val="tx1"/>
                                    </w14:solidFill>
                                  </w14:textFill>
                                </w:rPr>
                              </w:pPr>
                              <w:r>
                                <w:rPr>
                                  <w:rFonts w:hint="eastAsia" w:ascii="宋体" w:hAnsi="宋体"/>
                                  <w:color w:val="000000" w:themeColor="text1"/>
                                  <w:kern w:val="24"/>
                                  <w:szCs w:val="21"/>
                                  <w14:textFill>
                                    <w14:solidFill>
                                      <w14:schemeClr w14:val="tx1"/>
                                    </w14:solidFill>
                                  </w14:textFill>
                                </w:rPr>
                                <w:t>或结合所提供的资料</w:t>
                              </w:r>
                            </w:p>
                          </w:txbxContent>
                        </wps:txbx>
                        <wps:bodyPr wrap="square" lIns="0" tIns="0" rIns="0" bIns="0" rtlCol="0">
                          <a:noAutofit/>
                        </wps:bodyPr>
                      </wps:wsp>
                      <wps:wsp>
                        <wps:cNvPr id="102" name="文本框 4"/>
                        <wps:cNvSpPr txBox="1"/>
                        <wps:spPr>
                          <a:xfrm>
                            <a:off x="642981" y="1283851"/>
                            <a:ext cx="1591979" cy="335980"/>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发现问题 确立主题</w:t>
                              </w:r>
                            </w:p>
                          </w:txbxContent>
                        </wps:txbx>
                        <wps:bodyPr wrap="square" lIns="0" tIns="0" rIns="0" bIns="0" rtlCol="0">
                          <a:noAutofit/>
                        </wps:bodyPr>
                      </wps:wsp>
                      <wps:wsp>
                        <wps:cNvPr id="103" name="文本框 7"/>
                        <wps:cNvSpPr txBox="1"/>
                        <wps:spPr>
                          <a:xfrm>
                            <a:off x="3081963" y="1278373"/>
                            <a:ext cx="1591814" cy="352954"/>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讨论猜想 合作探究</w:t>
                              </w:r>
                            </w:p>
                          </w:txbxContent>
                        </wps:txbx>
                        <wps:bodyPr wrap="square" lIns="0" tIns="0" rIns="0" bIns="0" rtlCol="0">
                          <a:noAutofit/>
                        </wps:bodyPr>
                      </wps:wsp>
                      <wps:wsp>
                        <wps:cNvPr id="104" name="文本框 8"/>
                        <wps:cNvSpPr txBox="1"/>
                        <wps:spPr>
                          <a:xfrm>
                            <a:off x="398925" y="2536234"/>
                            <a:ext cx="894110" cy="650570"/>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问题驱动</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任务分解</w:t>
                              </w:r>
                            </w:p>
                          </w:txbxContent>
                        </wps:txbx>
                        <wps:bodyPr wrap="square" lIns="0" tIns="0" rIns="0" bIns="0" rtlCol="0">
                          <a:noAutofit/>
                        </wps:bodyPr>
                      </wps:wsp>
                      <wps:wsp>
                        <wps:cNvPr id="105" name="文本框 9"/>
                        <wps:cNvSpPr txBox="1"/>
                        <wps:spPr>
                          <a:xfrm>
                            <a:off x="2226278" y="2536234"/>
                            <a:ext cx="894110" cy="650570"/>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实践操作</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收集证据</w:t>
                              </w:r>
                            </w:p>
                          </w:txbxContent>
                        </wps:txbx>
                        <wps:bodyPr wrap="square" lIns="0" tIns="0" rIns="0" bIns="0" rtlCol="0">
                          <a:noAutofit/>
                        </wps:bodyPr>
                      </wps:wsp>
                      <wps:wsp>
                        <wps:cNvPr id="106" name="文本框 10"/>
                        <wps:cNvSpPr txBox="1"/>
                        <wps:spPr>
                          <a:xfrm>
                            <a:off x="3999043" y="2522497"/>
                            <a:ext cx="894031" cy="650570"/>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提炼观点</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解释结论</w:t>
                              </w:r>
                            </w:p>
                          </w:txbxContent>
                        </wps:txbx>
                        <wps:bodyPr wrap="square" lIns="0" tIns="0" rIns="0" bIns="0" rtlCol="0">
                          <a:noAutofit/>
                        </wps:bodyPr>
                      </wps:wsp>
                      <wps:wsp>
                        <wps:cNvPr id="107" name="文本框 11"/>
                        <wps:cNvSpPr txBox="1"/>
                        <wps:spPr>
                          <a:xfrm>
                            <a:off x="1431789" y="3839637"/>
                            <a:ext cx="2460625" cy="376919"/>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交流评价 反思完善</w:t>
                              </w:r>
                            </w:p>
                          </w:txbxContent>
                        </wps:txbx>
                        <wps:bodyPr wrap="square" lIns="0" tIns="0" rIns="0" bIns="0" rtlCol="0">
                          <a:noAutofit/>
                        </wps:bodyPr>
                      </wps:wsp>
                      <wps:wsp>
                        <wps:cNvPr id="108" name="文本框 12"/>
                        <wps:cNvSpPr txBox="1"/>
                        <wps:spPr>
                          <a:xfrm>
                            <a:off x="1431789" y="4616309"/>
                            <a:ext cx="2460625" cy="367584"/>
                          </a:xfrm>
                          <a:prstGeom prst="rect">
                            <a:avLst/>
                          </a:prstGeom>
                          <a:noFill/>
                          <a:ln>
                            <a:solidFill>
                              <a:sysClr val="windowText" lastClr="000000"/>
                            </a:solidFill>
                          </a:ln>
                        </wps:spPr>
                        <wps:txbx>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归纳整合 展示成果</w:t>
                              </w:r>
                            </w:p>
                          </w:txbxContent>
                        </wps:txbx>
                        <wps:bodyPr wrap="square" lIns="0" tIns="0" rIns="0" bIns="0" rtlCol="0">
                          <a:noAutofit/>
                        </wps:bodyPr>
                      </wps:wsp>
                      <wps:wsp>
                        <wps:cNvPr id="109" name="箭头: 下 109"/>
                        <wps:cNvSpPr/>
                        <wps:spPr>
                          <a:xfrm>
                            <a:off x="2448656" y="1841128"/>
                            <a:ext cx="435935" cy="389124"/>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0" name="左中括号 110"/>
                        <wps:cNvSpPr/>
                        <wps:spPr>
                          <a:xfrm rot="5400000">
                            <a:off x="2540471" y="563961"/>
                            <a:ext cx="252232" cy="3623612"/>
                          </a:xfrm>
                          <a:prstGeom prst="leftBracket">
                            <a:avLst/>
                          </a:prstGeom>
                          <a:noFill/>
                          <a:ln w="6350" cap="flat" cmpd="sng" algn="ctr">
                            <a:solidFill>
                              <a:sysClr val="windowText" lastClr="000000"/>
                            </a:solidFill>
                            <a:prstDash val="solid"/>
                            <a:miter lim="800000"/>
                          </a:ln>
                          <a:effectLst/>
                        </wps:spPr>
                        <wps:bodyPr rtlCol="0" anchor="ctr"/>
                      </wps:wsp>
                      <wps:wsp>
                        <wps:cNvPr id="111" name="箭头: 下 111"/>
                        <wps:cNvSpPr/>
                        <wps:spPr>
                          <a:xfrm rot="16200000">
                            <a:off x="1571883" y="2385936"/>
                            <a:ext cx="367660" cy="925387"/>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2" name="箭头: 下 112"/>
                        <wps:cNvSpPr/>
                        <wps:spPr>
                          <a:xfrm rot="16200000">
                            <a:off x="3374341" y="2408996"/>
                            <a:ext cx="354725" cy="863008"/>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3" name="左中括号 113"/>
                        <wps:cNvSpPr/>
                        <wps:spPr>
                          <a:xfrm rot="16200000" flipV="1">
                            <a:off x="2541656" y="1495558"/>
                            <a:ext cx="249862" cy="3623612"/>
                          </a:xfrm>
                          <a:prstGeom prst="leftBracket">
                            <a:avLst/>
                          </a:prstGeom>
                          <a:noFill/>
                          <a:ln w="6350" cap="flat" cmpd="sng" algn="ctr">
                            <a:solidFill>
                              <a:sysClr val="windowText" lastClr="000000"/>
                            </a:solidFill>
                            <a:prstDash val="solid"/>
                            <a:miter lim="800000"/>
                          </a:ln>
                          <a:effectLst/>
                        </wps:spPr>
                        <wps:bodyPr rtlCol="0" anchor="ctr"/>
                      </wps:wsp>
                      <wps:wsp>
                        <wps:cNvPr id="114" name="箭头: 下 114"/>
                        <wps:cNvSpPr/>
                        <wps:spPr>
                          <a:xfrm>
                            <a:off x="2448656" y="3427751"/>
                            <a:ext cx="435935" cy="389124"/>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5" name="箭头: 下 115"/>
                        <wps:cNvSpPr/>
                        <wps:spPr>
                          <a:xfrm>
                            <a:off x="2448959" y="4216556"/>
                            <a:ext cx="435935" cy="389124"/>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6" name="箭头: 下 116"/>
                        <wps:cNvSpPr/>
                        <wps:spPr>
                          <a:xfrm>
                            <a:off x="2444199" y="655283"/>
                            <a:ext cx="435935" cy="389124"/>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7" name="箭头: 下 117"/>
                        <wps:cNvSpPr/>
                        <wps:spPr>
                          <a:xfrm rot="16200000">
                            <a:off x="2528519" y="1025818"/>
                            <a:ext cx="248423" cy="840191"/>
                          </a:xfrm>
                          <a:prstGeom prst="downArrow">
                            <a:avLst/>
                          </a:prstGeom>
                          <a:solidFill>
                            <a:sysClr val="window" lastClr="FFFFFF"/>
                          </a:solidFill>
                          <a:ln w="6350" cap="flat" cmpd="sng" algn="ctr">
                            <a:solidFill>
                              <a:sysClr val="windowText" lastClr="000000"/>
                            </a:solidFill>
                            <a:prstDash val="solid"/>
                            <a:miter lim="800000"/>
                          </a:ln>
                          <a:effectLst/>
                        </wps:spPr>
                        <wps:bodyPr rtlCol="0" anchor="ctr"/>
                      </wps:wsp>
                      <wps:wsp>
                        <wps:cNvPr id="118" name="左中括号 118"/>
                        <wps:cNvSpPr/>
                        <wps:spPr>
                          <a:xfrm rot="5400000">
                            <a:off x="2550241" y="-439124"/>
                            <a:ext cx="212945" cy="3189467"/>
                          </a:xfrm>
                          <a:prstGeom prst="leftBracket">
                            <a:avLst/>
                          </a:prstGeom>
                          <a:noFill/>
                          <a:ln w="6350" cap="flat" cmpd="sng" algn="ctr">
                            <a:solidFill>
                              <a:sysClr val="windowText" lastClr="000000"/>
                            </a:solidFill>
                            <a:prstDash val="solid"/>
                            <a:miter lim="800000"/>
                          </a:ln>
                          <a:effectLst/>
                        </wps:spPr>
                        <wps:bodyPr rtlCol="0" anchor="ctr"/>
                      </wps:wsp>
                      <wps:wsp>
                        <wps:cNvPr id="119" name="左中括号 119"/>
                        <wps:cNvSpPr/>
                        <wps:spPr>
                          <a:xfrm rot="16200000" flipV="1">
                            <a:off x="2560825" y="140696"/>
                            <a:ext cx="211322" cy="3189466"/>
                          </a:xfrm>
                          <a:prstGeom prst="leftBracket">
                            <a:avLst/>
                          </a:prstGeom>
                          <a:noFill/>
                          <a:ln w="6350" cap="flat" cmpd="sng" algn="ctr">
                            <a:solidFill>
                              <a:sysClr val="windowText" lastClr="000000"/>
                            </a:solidFill>
                            <a:prstDash val="solid"/>
                            <a:miter lim="800000"/>
                          </a:ln>
                          <a:effectLst/>
                        </wps:spPr>
                        <wps:bodyPr rtlCol="0" anchor="ctr"/>
                      </wps:wsp>
                    </wpg:wgp>
                  </a:graphicData>
                </a:graphic>
              </wp:anchor>
            </w:drawing>
          </mc:Choice>
          <mc:Fallback>
            <w:pict>
              <v:group id="组合 23" o:spid="_x0000_s1026" o:spt="203" style="position:absolute;left:0pt;margin-top:8pt;height:261.85pt;width:302.5pt;mso-position-horizontal:center;mso-position-horizontal-relative:margin;z-index:251659264;mso-width-relative:page;mso-height-relative:page;" coordorigin="398925,19877" coordsize="4494149,4964016" o:gfxdata="UEsDBAoAAAAAAIdO4kAAAAAAAAAAAAAAAAAEAAAAZHJzL1BLAwQUAAAACACHTuJA37b6/tcAAAAH&#10;AQAADwAAAGRycy9kb3ducmV2LnhtbE2PT0vDQBDF74LfYRnBm92NJdHGbIoU9VSEtoL0ts1Ok9Ds&#10;bMhuk/bbO570NH/e8N5viuXFdWLEIbSeNCQzBQKp8ralWsPX7v3hGUSIhqzpPKGGKwZYlrc3hcmt&#10;n2iD4zbWgk0o5EZDE2OfSxmqBp0JM98jsXb0gzORx6GWdjATm7tOPiqVSWda4oTG9LhqsDptz07D&#10;x2Sm13nyNq5Px9V1v0s/v9cJan1/l6gXEBEv8e8YfvEZHUpmOvgz2SA6DfxI5G3GldVMpdwcNKTz&#10;xRPIspD/+csfUEsDBBQAAAAIAIdO4kCfJ5+0MAYAANQsAAAOAAAAZHJzL2Uyb0RvYy54bWztWsuO&#10;2zYU3RfoPxDaZyw+RJHGeIIk0wkKFG2ApN1rZNkWKokqpRl79kVbIIt21VU3BYqukq4KJEB/JzP5&#10;jV5SD9vyeF5Fk8lEXtiyHlfk5eG95x5y9/4iTdBxpItYZSMH77gOirJQjeNsOnK+fnZwTzioKINs&#10;HCQqi0bOSVQ49/c+/WR3ng8jomYqGUcagZGsGM7zkTMry3w4GBThLEqDYkflUQYXJ0qnQQl/9XQw&#10;1sEcrKfJgLguH8yVHudahVFRwNn96qJTW9RXMagmkziM9lV4lEZZWVnVURKU0KViFueFs2dbO5lE&#10;YfnVZFJEJUpGDvS0tN/wEjg+NN+Dvd1gONVBPovDugnBVZrQ6VMaxBm8tDW1H5QBOtLxhqk0DrUq&#10;1KTcCVU6qDpiPQK9wG7HN4+1OsptX6bD+TRvnQ4D1fH6jc2GXx4/0SgeAxJc8EkWpDDkb//5/vSX&#10;nxChxj3zfDqEux7r/Gn+RNcnptU/0+PFRKfmF/qCFtaxJ61jo0WJQjhJBcO+B/ZDuEYp8ZhklevD&#10;GYyPeY5KIYnnILgBS+H7zeXPahMMHsFMViaY5MzF3NwzaFowMA1t2zXPAZ3F0mXFf3PZ01mQR3Yk&#10;CuOM1mW4cdnZrz+e/fbi7PcfUO00e5/xGCoXDxV0EJvWmmYVcPIcx2FfYBf63fFA40LsY04FzE3j&#10;Qk495oq17gfDXBfl40ilyByMHA3Yt5AMjr8oyspTzS3m9Zk6iJMEzgfDJDPfhUrisTln/5wUjxKN&#10;jgOYNzB5x2r+DFrioCQoSrgAI2w/dRNWHoXxMOZgNJqemqNycbiou3+oxifglTnMuZFTfHcU6AjM&#10;fp7BCJkJ2hzo5uCwOdBl8kjZaVw1/8FRqSax7Zl5RWW3fjMMfeXsd4ABsokBC27TKMDKdTDAGZEC&#10;MGUmARFUeBY0wbAFgSex9OtJQKknhY1g7RzoQWDB9R5AQDdBYEPYDUBAXYElB4MWBb6gvg0p6ygQ&#10;mNXR1CPSs3jrUWCC3HsNBTAmVQZdpgMbpW+CgmU+JB7lhNYJswkFAtIhrjMq91zP7yPB7UgHwGG6&#10;GJBN6r9mOiCEcOJDzodI0IPAQR8OJ+CbIIDJWjOga6KASildVuUD4hHCZE2OV0KBS4E1WGbYh4JM&#10;3RZmCGS+GwpwWwZcEwWYUagQgPpBLKCCAkHooIAw7nJTQdkay+fAFPsC4VYUCBDAN2BAbhgMVmHA&#10;OJSErh3lJTlchwH3PdGTw9tBDGDuVjB4+9fL0z/+HqI3r58jXI3fCkGsk8QWlYAwJrgH6cUUB6Cq&#10;QJlokLQcfwZVIW2igJCYXDL8UNlnD7RW84u0gpX6HnSCDWlgRRY4sJ868Kw9lmRobpULQ1pN7T8B&#10;wQ4O0xzEpyKbOihIpqBIhqW2TVl7ePOdV5Qjqop4PyhmlZZhrVYeS+MShMwkTkeOWBUzKjUksuJh&#10;rZyY4akGZFleoKUegYIsnCkQRUzbmyLkHUoQpg6ooHX66s83r1+ePX9x+vMrZOqDdcpxDraQViAW&#10;gZxkPtbxtZAHIp3L/EqM8DgknI4WYagIBe3DphuoTzi2MW17FZpEk/KhDsJvo6vrUj1k8v9HuQQe&#10;cl402qAnWxGDOYj5Hchgz8dC1EwV1CtJrUS7DE6U+5zXRSuovVRYDrMdMn1wugPBqdVH1/JeFS0u&#10;zntVbDoPaZT6jLIqOBGQwqXsIs1jfkOGBbCky9TyHml3AGmtCNtJg90lmcuDGpokcf6NWbQx3GqZ&#10;EXHLvZj0PK/DvaA0F7xPiaDCNmtKHxSLatXb9UBlCfTFgWoVJCsEnTLi+901nJ6gd5YazaLkXSfo&#10;rSi8Di3vcn7egZb0KgmIEQhFUAdCKFvSqx5aHyG0Wql5HVoWGteJWgzLClqAK1h77pF1wSaHj0NV&#10;aOXrdWR117UvZ1OrMQyw5YEybfUrl3gCb3AowWDjkZUVBGzykVZ26EvEO61ftQp5h7h3F8+3Qu1c&#10;/cpzSV0i3mO0UUKX2ZJgIlmjlGJYT+eXqBG9gHWbNM9WTu9gprvYvhUzra6wpdjjrmg2JDKXdwUG&#10;gjElTa1n0WMz7vZA1aPnSuix2zhhs6stIuuNuWY37ep/u81nuRl57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AAAAAZHJzL1BLAQIUABQA&#10;AAAIAIdO4kDftvr+1wAAAAcBAAAPAAAAAAAAAAEAIAAAACIAAABkcnMvZG93bnJldi54bWxQSwEC&#10;FAAUAAAACACHTuJAnyeftDAGAADULAAADgAAAAAAAAABACAAAAAmAQAAZHJzL2Uyb0RvYy54bWxQ&#10;SwUGAAAAAAYABgBZAQAAyAkAAAAA&#10;">
                <o:lock v:ext="edit" aspectratio="f"/>
                <v:shape id="文本框 3" o:spid="_x0000_s1026" o:spt="202" type="#_x0000_t202" style="position:absolute;left:1781077;top:19877;height:635408;width:1716388;" filled="f" stroked="t" coordsize="21600,21600" o:gfxdata="UEsDBAoAAAAAAIdO4kAAAAAAAAAAAAAAAAAEAAAAZHJzL1BLAwQUAAAACACHTuJA+aO6f7wAAADc&#10;AAAADwAAAGRycy9kb3ducmV2LnhtbEVPTWvCQBC9F/oflil4KXU3PYikbnIQBQ+lqFX0OGTHbEh2&#10;NmS3Rv+9Wyj0No/3OYvy5jpxpSE0njVkUwWCuPKm4VrD4Xv9NgcRIrLBzjNpuFOAsnh+WmBu/Mg7&#10;uu5jLVIIhxw12Bj7XMpQWXIYpr4nTtzFDw5jgkMtzYBjCnedfFdqJh02nBos9rS0VLX7H6eh/bLb&#10;3elzea5eJbX1eFSn+X2l9eQlUx8gIt3iv/jPvTFpvsrg95l0gSw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jun+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textbox inset="0mm,0mm,0mm,0mm">
                    <w:txbxContent>
                      <w:p>
                        <w:pPr>
                          <w:jc w:val="center"/>
                          <w:rPr>
                            <w:rFonts w:ascii="宋体" w:hAnsi="宋体"/>
                            <w:color w:val="000000" w:themeColor="text1"/>
                            <w:kern w:val="24"/>
                            <w:szCs w:val="21"/>
                            <w14:textFill>
                              <w14:solidFill>
                                <w14:schemeClr w14:val="tx1"/>
                              </w14:solidFill>
                            </w14:textFill>
                          </w:rPr>
                        </w:pPr>
                        <w:r>
                          <w:rPr>
                            <w:rFonts w:hint="eastAsia" w:ascii="宋体" w:hAnsi="宋体"/>
                            <w:color w:val="000000" w:themeColor="text1"/>
                            <w:kern w:val="24"/>
                            <w:szCs w:val="21"/>
                            <w14:textFill>
                              <w14:solidFill>
                                <w14:schemeClr w14:val="tx1"/>
                              </w14:solidFill>
                            </w14:textFill>
                          </w:rPr>
                          <w:t>自主查阅资料</w:t>
                        </w:r>
                      </w:p>
                      <w:p>
                        <w:pPr>
                          <w:jc w:val="center"/>
                          <w:rPr>
                            <w:rFonts w:ascii="宋体" w:hAnsi="宋体"/>
                            <w:color w:val="000000" w:themeColor="text1"/>
                            <w:kern w:val="24"/>
                            <w:szCs w:val="21"/>
                            <w14:textFill>
                              <w14:solidFill>
                                <w14:schemeClr w14:val="tx1"/>
                              </w14:solidFill>
                            </w14:textFill>
                          </w:rPr>
                        </w:pPr>
                        <w:r>
                          <w:rPr>
                            <w:rFonts w:hint="eastAsia" w:ascii="宋体" w:hAnsi="宋体"/>
                            <w:color w:val="000000" w:themeColor="text1"/>
                            <w:kern w:val="24"/>
                            <w:szCs w:val="21"/>
                            <w14:textFill>
                              <w14:solidFill>
                                <w14:schemeClr w14:val="tx1"/>
                              </w14:solidFill>
                            </w14:textFill>
                          </w:rPr>
                          <w:t>或结合所提供的资料</w:t>
                        </w:r>
                      </w:p>
                    </w:txbxContent>
                  </v:textbox>
                </v:shape>
                <v:shape id="文本框 4" o:spid="_x0000_s1026" o:spt="202" type="#_x0000_t202" style="position:absolute;left:642981;top:1283851;height:335980;width:1591979;" filled="f" stroked="t" coordsize="21600,21600" o:gfxdata="UEsDBAoAAAAAAIdO4kAAAAAAAAAAAAAAAAAEAAAAZHJzL1BLAwQUAAAACACHTuJACXEkCLsAAADc&#10;AAAADwAAAGRycy9kb3ducmV2LnhtbEVPS4vCMBC+C/sfwizsRTTRg0jX6EF2wYPI+sI9Ds3YlDaT&#10;0kSr/94Igrf5+J4zW9xcLa7UhtKzhtFQgSDOvSm50HDY/w6mIEJENlh7Jg13CrCYf/RmmBnf8Zau&#10;u1iIFMIhQw02xiaTMuSWHIahb4gTd/atw5hgW0jTYpfCXS3HSk2kw5JTg8WGlpbyandxGqqN/due&#10;1sv/vC+pKrqjOk3vP1p/fY7UN4hIt/gWv9wrk+arMTyfSR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XEkC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发现问题 确立主题</w:t>
                        </w:r>
                      </w:p>
                    </w:txbxContent>
                  </v:textbox>
                </v:shape>
                <v:shape id="文本框 7" o:spid="_x0000_s1026" o:spt="202" type="#_x0000_t202" style="position:absolute;left:3081963;top:1278373;height:352954;width:1591814;" filled="f" stroked="t" coordsize="21600,21600" o:gfxdata="UEsDBAoAAAAAAIdO4kAAAAAAAAAAAAAAAAAEAAAAZHJzL1BLAwQUAAAACACHTuJAZj2Bk70AAADc&#10;AAAADwAAAGRycy9kb3ducmV2LnhtbEVPS2sCMRC+F/ofwgheSk1UEFk360Fa6KEUX0WPw2bcLLuZ&#10;LJvU1X/fFAre5uN7Tr6+uVZcqQ+1Zw3TiQJBXHpTc6XheHh/XYIIEdlg65k03CnAunh+yjEzfuAd&#10;XfexEimEQ4YabIxdJmUoLTkME98RJ+7ie4cxwb6SpschhbtWzpRaSIc1pwaLHW0slc3+x2lovux2&#10;d/rcnMsXSU01fKvT8v6m9Xg0VSsQkW7xIf53f5g0X83h75l0gS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PYGT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讨论猜想 合作探究</w:t>
                        </w:r>
                      </w:p>
                    </w:txbxContent>
                  </v:textbox>
                </v:shape>
                <v:shape id="文本框 8" o:spid="_x0000_s1026" o:spt="202" type="#_x0000_t202" style="position:absolute;left:398925;top:2536234;height:650570;width:894110;" filled="f" stroked="t" coordsize="21600,21600" o:gfxdata="UEsDBAoAAAAAAIdO4kAAAAAAAAAAAAAAAAAEAAAAZHJzL1BLAwQUAAAACACHTuJA6dQZ570AAADc&#10;AAAADwAAAGRycy9kb3ducmV2LnhtbEVPS2sCMRC+F/ofwgheSk0UEVk360Fa6KEUX0WPw2bcLLuZ&#10;LJvU1X/fFAre5uN7Tr6+uVZcqQ+1Zw3TiQJBXHpTc6XheHh/XYIIEdlg65k03CnAunh+yjEzfuAd&#10;XfexEimEQ4YabIxdJmUoLTkME98RJ+7ie4cxwb6SpschhbtWzpRaSIc1pwaLHW0slc3+x2lovux2&#10;d/rcnMsXSU01fKvT8v6m9Xg0VSsQkW7xIf53f5g0X83h75l0gS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1Bnn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问题驱动</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任务分解</w:t>
                        </w:r>
                      </w:p>
                    </w:txbxContent>
                  </v:textbox>
                </v:shape>
                <v:shape id="文本框 9" o:spid="_x0000_s1026" o:spt="202" type="#_x0000_t202" style="position:absolute;left:2226278;top:2536234;height:650570;width:894110;" filled="f" stroked="t" coordsize="21600,21600" o:gfxdata="UEsDBAoAAAAAAIdO4kAAAAAAAAAAAAAAAAAEAAAAZHJzL1BLAwQUAAAACACHTuJAhpi8fL0AAADc&#10;AAAADwAAAGRycy9kb3ducmV2LnhtbEVPS2sCMRC+F/ofwgheSk0UFFk360Fa6KEUX0WPw2bcLLuZ&#10;LJvU1X/fFAre5uN7Tr6+uVZcqQ+1Zw3TiQJBXHpTc6XheHh/XYIIEdlg65k03CnAunh+yjEzfuAd&#10;XfexEimEQ4YabIxdJmUoLTkME98RJ+7ie4cxwb6SpschhbtWzpRaSIc1pwaLHW0slc3+x2lovux2&#10;d/rcnMsXSU01fKvT8v6m9Xg0VSsQkW7xIf53f5g0X83h75l0gS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mLx8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实践操作</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收集证据</w:t>
                        </w:r>
                      </w:p>
                    </w:txbxContent>
                  </v:textbox>
                </v:shape>
                <v:shape id="文本框 10" o:spid="_x0000_s1026" o:spt="202" type="#_x0000_t202" style="position:absolute;left:3999043;top:2522497;height:650570;width:894031;" filled="f" stroked="t" coordsize="21600,21600" o:gfxdata="UEsDBAoAAAAAAIdO4kAAAAAAAAAAAAAAAAAEAAAAZHJzL1BLAwQUAAAACACHTuJAdkoiC7sAAADc&#10;AAAADwAAAGRycy9kb3ducmV2LnhtbEVPTYvCMBC9C/sfwgheRBM9iHSNHsQFD8uiruIeh2ZsSptJ&#10;aaLVf28EYW/zeJ+zWN1dLW7UhtKzhslYgSDOvSm50HD8/RrNQYSIbLD2TBoeFGC1/OgtMDO+4z3d&#10;DrEQKYRDhhpsjE0mZcgtOQxj3xAn7uJbhzHBtpCmxS6Fu1pOlZpJhyWnBosNrS3l1eHqNFQ/drc/&#10;f6//8qGkquhO6jx/bLQe9CfqE0Ske/wXv91bk+arGbyeSRf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koiC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提炼观点</w:t>
                        </w:r>
                      </w:p>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解释结论</w:t>
                        </w:r>
                      </w:p>
                    </w:txbxContent>
                  </v:textbox>
                </v:shape>
                <v:shape id="文本框 11" o:spid="_x0000_s1026" o:spt="202" type="#_x0000_t202" style="position:absolute;left:1431789;top:3839637;height:376919;width:2460625;" filled="f" stroked="t" coordsize="21600,21600" o:gfxdata="UEsDBAoAAAAAAIdO4kAAAAAAAAAAAAAAAAAEAAAAZHJzL1BLAwQUAAAACACHTuJAGQaHkL0AAADc&#10;AAAADwAAAGRycy9kb3ducmV2LnhtbEVPS2sCMRC+F/ofwgheSk30oLJu1oO00EMpvooeh824WXYz&#10;WTapq/++KRS8zcf3nHx9c624Uh9qzxqmEwWCuPSm5krD8fD+ugQRIrLB1jNpuFOAdfH8lGNm/MA7&#10;uu5jJVIIhww12Bi7TMpQWnIYJr4jTtzF9w5jgn0lTY9DCnetnCk1lw5rTg0WO9pYKpv9j9PQfNnt&#10;7vS5OZcvkppq+Fan5f1N6/FoqlYgIt3iQ/zv/jBpvlrA3zPp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BoeQ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交流评价 反思完善</w:t>
                        </w:r>
                      </w:p>
                    </w:txbxContent>
                  </v:textbox>
                </v:shape>
                <v:shape id="文本框 12" o:spid="_x0000_s1026" o:spt="202" type="#_x0000_t202" style="position:absolute;left:1431789;top:4616309;height:367584;width:2460625;" filled="f" stroked="t" coordsize="21600,21600" o:gfxdata="UEsDBAoAAAAAAIdO4kAAAAAAAAAAAAAAAAAEAAAAZHJzL1BLAwQUAAAACACHTuJAaJkT4r8AAADc&#10;AAAADwAAAGRycy9kb3ducmV2LnhtbEWPQWsCMRCF70L/QxihF9HEHkRWowex0EMp1bbocdiMm2U3&#10;k2WTuvrvOwehtxnem/e+WW9voVVX6lMd2cJ8ZkARl9HVXFn4/nqdLkGljOywjUwW7pRgu3karbFw&#10;ceADXY+5UhLCqUALPueu0DqVngKmWeyIRbvEPmCWta+063GQ8NDqF2MWOmDN0uCxo52nsjn+BgvN&#10;h/88nN5353KiqamGH3Na3vfWPo/nZgUq0y3/mx/Xb07wjdDKMzKB3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ZE+K/&#10;AAAA3AAAAA8AAAAAAAAAAQAgAAAAIgAAAGRycy9kb3ducmV2LnhtbFBLAQIUABQAAAAIAIdO4kAz&#10;LwWeOwAAADkAAAAQAAAAAAAAAAEAIAAAAA4BAABkcnMvc2hhcGV4bWwueG1sUEsFBgAAAAAGAAYA&#10;WwEAALgDAAAAAA==&#10;">
                  <v:fill on="f" focussize="0,0"/>
                  <v:stroke color="#000000" joinstyle="round"/>
                  <v:imagedata o:title=""/>
                  <o:lock v:ext="edit" aspectratio="f"/>
                  <v:textbox inset="0mm,0mm,0mm,0mm">
                    <w:txbxContent>
                      <w:p>
                        <w:pPr>
                          <w:jc w:val="center"/>
                          <w:rPr>
                            <w:rFonts w:ascii="宋体" w:hAnsi="宋体" w:cstheme="minorBidi"/>
                            <w:color w:val="000000" w:themeColor="text1"/>
                            <w:kern w:val="24"/>
                            <w:szCs w:val="21"/>
                            <w14:textFill>
                              <w14:solidFill>
                                <w14:schemeClr w14:val="tx1"/>
                              </w14:solidFill>
                            </w14:textFill>
                          </w:rPr>
                        </w:pPr>
                        <w:r>
                          <w:rPr>
                            <w:rFonts w:hint="eastAsia" w:ascii="宋体" w:hAnsi="宋体" w:cstheme="minorBidi"/>
                            <w:color w:val="000000" w:themeColor="text1"/>
                            <w:kern w:val="24"/>
                            <w:szCs w:val="21"/>
                            <w14:textFill>
                              <w14:solidFill>
                                <w14:schemeClr w14:val="tx1"/>
                              </w14:solidFill>
                            </w14:textFill>
                          </w:rPr>
                          <w:t>归纳整合 展示成果</w:t>
                        </w:r>
                      </w:p>
                    </w:txbxContent>
                  </v:textbox>
                </v:shape>
                <v:shape id="箭头: 下 109" o:spid="_x0000_s1026" o:spt="67" type="#_x0000_t67" style="position:absolute;left:2448656;top:1841128;height:389124;width:435935;v-text-anchor:middle;" fillcolor="#FFFFFF" filled="t" stroked="t" coordsize="21600,21600" o:gfxdata="UEsDBAoAAAAAAIdO4kAAAAAAAAAAAAAAAAAEAAAAZHJzL1BLAwQUAAAACACHTuJAkYOsGLsAAADc&#10;AAAADwAAAGRycy9kb3ducmV2LnhtbEVPS2vCQBC+F/wPyxR6q7uxDzS6CaIoHttExOOQHZPQ7GzI&#10;rq9/3xUKvc3H95xFfrOduNDgW8cakrECQVw503KtYV9uXqcgfEA22DkmDXfykGejpwWmxl35my5F&#10;qEUMYZ+ihiaEPpXSVw1Z9GPXE0fu5AaLIcKhlmbAawy3nZwo9SktthwbGuxp1VD1U5ythq9ysrbL&#10;9/u2TN72h6I9rmz1UWj98pyoOYhAt/Av/nPvTJyvZvB4Jl4gs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YOsGLsAAADc&#10;AAAADwAAAAAAAAABACAAAAAiAAAAZHJzL2Rvd25yZXYueG1sUEsBAhQAFAAAAAgAh07iQDMvBZ47&#10;AAAAOQAAABAAAAAAAAAAAQAgAAAACgEAAGRycy9zaGFwZXhtbC54bWxQSwUGAAAAAAYABgBbAQAA&#10;tAMAAAAA&#10;" adj="10800,5400">
                  <v:fill on="t" focussize="0,0"/>
                  <v:stroke weight="0.5pt" color="#000000" miterlimit="8" joinstyle="miter"/>
                  <v:imagedata o:title=""/>
                  <o:lock v:ext="edit" aspectratio="f"/>
                </v:shape>
                <v:shape id="_x0000_s1026" o:spid="_x0000_s1026" o:spt="85" type="#_x0000_t85" style="position:absolute;left:2540471;top:563961;height:3623612;width:252232;rotation:5898240f;v-text-anchor:middle;" filled="f" stroked="t" coordsize="21600,21600" o:gfxdata="UEsDBAoAAAAAAIdO4kAAAAAAAAAAAAAAAAAEAAAAZHJzL1BLAwQUAAAACACHTuJAzBl6j8EAAADc&#10;AAAADwAAAGRycy9kb3ducmV2LnhtbEWPT2vCQBDF7wW/wzJCb3WTUkSjq4dqoVioaKteh+yYpGZn&#10;0+zWf5++cxC8zfDevPeb8fTsanWkNlSeDaS9BBRx7m3FhYHvr7enAagQkS3WnsnAhQJMJ52HMWbW&#10;n3hFx3UslIRwyNBAGWOTaR3ykhyGnm+IRdv71mGUtS20bfEk4a7Wz0nS1w4rloYSG3otKT+s/5yB&#10;xfLwcZ3vis1g9vuytfjT/xzuFsY8dtNkBCrSOd7Nt+t3K/ip4MszMoGe/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Bl6&#10;j8EAAADcAAAADwAAAAAAAAABACAAAAAiAAAAZHJzL2Rvd25yZXYueG1sUEsBAhQAFAAAAAgAh07i&#10;QDMvBZ47AAAAOQAAABAAAAAAAAAAAQAgAAAAEAEAAGRycy9zaGFwZXhtbC54bWxQSwUGAAAAAAYA&#10;BgBbAQAAugMAAAAA&#10;" adj="125">
                  <v:fill on="f" focussize="0,0"/>
                  <v:stroke weight="0.5pt" color="#000000" miterlimit="8" joinstyle="miter"/>
                  <v:imagedata o:title=""/>
                  <o:lock v:ext="edit" aspectratio="f"/>
                </v:shape>
                <v:shape id="箭头: 下 111" o:spid="_x0000_s1026" o:spt="67" type="#_x0000_t67" style="position:absolute;left:1571883;top:2385936;height:925387;width:367660;rotation:-5898240f;v-text-anchor:middle;" fillcolor="#FFFFFF" filled="t" stroked="t" coordsize="21600,21600" o:gfxdata="UEsDBAoAAAAAAIdO4kAAAAAAAAAAAAAAAAAEAAAAZHJzL1BLAwQUAAAACACHTuJAamwJzr0AAADc&#10;AAAADwAAAGRycy9kb3ducmV2LnhtbEVPS2sCMRC+F/wPYYReimbjQXQ1ShEFoe1BbQ/exs10s7iZ&#10;LEl89N83hYK3+fieM1/eXSuuFGLjWYMaFiCIK28arjV8HjaDCYiYkA22nknDD0VYLnpPcyyNv/GO&#10;rvtUixzCsUQNNqWulDJWlhzGoe+IM/ftg8OUYailCXjL4a6Vo6IYS4cN5waLHa0sVef9xWl4GZ9e&#10;v5R9v9jzyn0cjuvQTadvWj/3VTEDkeieHuJ/99bk+UrB3zP5Ar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bAnOvQAA&#10;ANwAAAAPAAAAAAAAAAEAIAAAACIAAABkcnMvZG93bnJldi54bWxQSwECFAAUAAAACACHTuJAMy8F&#10;njsAAAA5AAAAEAAAAAAAAAABACAAAAAMAQAAZHJzL3NoYXBleG1sLnhtbFBLBQYAAAAABgAGAFsB&#10;AAC2AwAAAAA=&#10;" adj="17310,5400">
                  <v:fill on="t" focussize="0,0"/>
                  <v:stroke weight="0.5pt" color="#000000" miterlimit="8" joinstyle="miter"/>
                  <v:imagedata o:title=""/>
                  <o:lock v:ext="edit" aspectratio="f"/>
                </v:shape>
                <v:shape id="箭头: 下 112" o:spid="_x0000_s1026" o:spt="67" type="#_x0000_t67" style="position:absolute;left:3374341;top:2408996;height:863008;width:354725;rotation:-5898240f;v-text-anchor:middle;" fillcolor="#FFFFFF" filled="t" stroked="t" coordsize="21600,21600" o:gfxdata="UEsDBAoAAAAAAIdO4kAAAAAAAAAAAAAAAAAEAAAAZHJzL1BLAwQUAAAACACHTuJA0h2Rwr0AAADc&#10;AAAADwAAAGRycy9kb3ducmV2LnhtbEVP22rCQBB9L/gPywh9q5tIKxLdBFQEwVJaFfRxzI7ZYHY2&#10;ZNdL+/XdgtC3OZzrTIu7bcSVOl87VpAOEhDEpdM1Vwp22+XLGIQPyBobx6TgmzwUee9pipl2N/6i&#10;6yZUIoawz1CBCaHNpPSlIYt+4FriyJ1cZzFE2FVSd3iL4baRwyQZSYs1xwaDLc0NlefNxSrwZr6e&#10;yc+3n9Xr/vDx3i6OF1+tlXrup8kERKB7+Bc/3Csd56dD+HsmXi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HZHCvQAA&#10;ANwAAAAPAAAAAAAAAAEAIAAAACIAAABkcnMvZG93bnJldi54bWxQSwECFAAUAAAACACHTuJAMy8F&#10;njsAAAA5AAAAEAAAAAAAAAABACAAAAAMAQAAZHJzL3NoYXBleG1sLnhtbFBLBQYAAAAABgAGAFsB&#10;AAC2AwAAAAA=&#10;" adj="17161,5400">
                  <v:fill on="t" focussize="0,0"/>
                  <v:stroke weight="0.5pt" color="#000000" miterlimit="8" joinstyle="miter"/>
                  <v:imagedata o:title=""/>
                  <o:lock v:ext="edit" aspectratio="f"/>
                </v:shape>
                <v:shape id="_x0000_s1026" o:spid="_x0000_s1026" o:spt="85" type="#_x0000_t85" style="position:absolute;left:2541656;top:1495558;flip:y;height:3623612;width:249862;rotation:5898240f;v-text-anchor:middle;" filled="f" stroked="t" coordsize="21600,21600" o:gfxdata="UEsDBAoAAAAAAIdO4kAAAAAAAAAAAAAAAAAEAAAAZHJzL1BLAwQUAAAACACHTuJAcC71p78AAADc&#10;AAAADwAAAGRycy9kb3ducmV2LnhtbEVPS2sCMRC+F/wPYQpeSk1WRerW6KGgqAfBB629DZvp7uJm&#10;st1EXf99UxC8zcf3nMmstZW4UONLxxqSngJBnDlTcq7hsJ+/voHwAdlg5Zg03MjDbNp5mmBq3JW3&#10;dNmFXMQQ9ilqKEKoUyl9VpBF33M1ceR+XGMxRNjk0jR4jeG2kn2lRtJiybGhwJo+CspOu7PVMP9q&#10;v9eb/mK8/j2uRln58jk8qIXW3edEvYMI1IaH+O5emjg/GcD/M/ECOf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u9ae/&#10;AAAA3AAAAA8AAAAAAAAAAQAgAAAAIgAAAGRycy9kb3ducmV2LnhtbFBLAQIUABQAAAAIAIdO4kAz&#10;LwWeOwAAADkAAAAQAAAAAAAAAAEAIAAAAA4BAABkcnMvc2hhcGV4bWwueG1sUEsFBgAAAAAGAAYA&#10;WwEAALgDAAAAAA==&#10;" adj="124">
                  <v:fill on="f" focussize="0,0"/>
                  <v:stroke weight="0.5pt" color="#000000" miterlimit="8" joinstyle="miter"/>
                  <v:imagedata o:title=""/>
                  <o:lock v:ext="edit" aspectratio="f"/>
                </v:shape>
                <v:shape id="箭头: 下 114" o:spid="_x0000_s1026" o:spt="67" type="#_x0000_t67" style="position:absolute;left:2448656;top:3427751;height:389124;width:435935;v-text-anchor:middle;" fillcolor="#FFFFFF" filled="t" stroked="t" coordsize="21600,21600" o:gfxdata="UEsDBAoAAAAAAIdO4kAAAAAAAAAAAAAAAAAEAAAAZHJzL1BLAwQUAAAACACHTuJA+luVW7wAAADc&#10;AAAADwAAAGRycy9kb3ducmV2LnhtbEVPS2vCQBC+F/wPyxR6azaxqZToKqK0eLRJkB6H7JiEZmdD&#10;dn3k37uC4G0+vucsVlfTiTMNrrWsIIliEMSV1S3XCsri+/0LhPPIGjvLpGAkB6vl5GWBmbYX/qVz&#10;7msRQthlqKDxvs+kdFVDBl1ke+LAHe1g0Ac41FIPeAnhppPTOJ5Jgy2HhgZ72jRU/ecno2BfTLdm&#10;nY4/RfJRHvL2b2Oqz1ypt9cknoPwdPVP8cO902F+ksL9mXCBX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blVu8AAAA&#10;3AAAAA8AAAAAAAAAAQAgAAAAIgAAAGRycy9kb3ducmV2LnhtbFBLAQIUABQAAAAIAIdO4kAzLwWe&#10;OwAAADkAAAAQAAAAAAAAAAEAIAAAAAsBAABkcnMvc2hhcGV4bWwueG1sUEsFBgAAAAAGAAYAWwEA&#10;ALUDAAAAAA==&#10;" adj="10800,5400">
                  <v:fill on="t" focussize="0,0"/>
                  <v:stroke weight="0.5pt" color="#000000" miterlimit="8" joinstyle="miter"/>
                  <v:imagedata o:title=""/>
                  <o:lock v:ext="edit" aspectratio="f"/>
                </v:shape>
                <v:shape id="箭头: 下 115" o:spid="_x0000_s1026" o:spt="67" type="#_x0000_t67" style="position:absolute;left:2448959;top:4216556;height:389124;width:435935;v-text-anchor:middle;" fillcolor="#FFFFFF" filled="t" stroked="t" coordsize="21600,21600" o:gfxdata="UEsDBAoAAAAAAIdO4kAAAAAAAAAAAAAAAAAEAAAAZHJzL1BLAwQUAAAACACHTuJAlRcwwLwAAADc&#10;AAAADwAAAGRycy9kb3ducmV2LnhtbEVPS2vCQBC+F/wPyxR6azaxRkp0FVFaPNokSI9DdkxCs7Mh&#10;uz7y711B6G0+vucs1zfTiQsNrrWsIIliEMSV1S3XCsri6/0ThPPIGjvLpGAkB+vV5GWJmbZX/qFL&#10;7msRQthlqKDxvs+kdFVDBl1ke+LAnexg0Ac41FIPeA3hppPTOJ5Lgy2HhgZ72jZU/eVno+BQTHdm&#10;Mxu/i+SjPObt79ZUaa7U22sSL0B4uvl/8dO912F+ksLjmXCB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XMMC8AAAA&#10;3AAAAA8AAAAAAAAAAQAgAAAAIgAAAGRycy9kb3ducmV2LnhtbFBLAQIUABQAAAAIAIdO4kAzLwWe&#10;OwAAADkAAAAQAAAAAAAAAAEAIAAAAAsBAABkcnMvc2hhcGV4bWwueG1sUEsFBgAAAAAGAAYAWwEA&#10;ALUDAAAAAA==&#10;" adj="10800,5400">
                  <v:fill on="t" focussize="0,0"/>
                  <v:stroke weight="0.5pt" color="#000000" miterlimit="8" joinstyle="miter"/>
                  <v:imagedata o:title=""/>
                  <o:lock v:ext="edit" aspectratio="f"/>
                </v:shape>
                <v:shape id="箭头: 下 116" o:spid="_x0000_s1026" o:spt="67" type="#_x0000_t67" style="position:absolute;left:2444199;top:655283;height:389124;width:435935;v-text-anchor:middle;" fillcolor="#FFFFFF" filled="t" stroked="t" coordsize="21600,21600" o:gfxdata="UEsDBAoAAAAAAIdO4kAAAAAAAAAAAAAAAAAEAAAAZHJzL1BLAwQUAAAACACHTuJAZcWut7oAAADc&#10;AAAADwAAAGRycy9kb3ducmV2LnhtbEVPS4vCMBC+L/gfwgje1rTqylJNiyiKR7eVxePQjG2xmZQm&#10;vv69ERb2Nh/fc5bZw7TiRr1rLCuIxxEI4tLqhisFx2L7+Q3CeWSNrWVS8CQHWTr4WGKi7Z1/6Jb7&#10;SoQQdgkqqL3vEildWZNBN7YdceDOtjfoA+wrqXu8h3DTykkUzaXBhkNDjR2tayov+dUoOBSTjVnN&#10;nrsinh5/8+a0NuVXrtRoGEcLEJ4e/l/8597rMD+ew/uZcIFM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xa63ugAAANwA&#10;AAAPAAAAAAAAAAEAIAAAACIAAABkcnMvZG93bnJldi54bWxQSwECFAAUAAAACACHTuJAMy8FnjsA&#10;AAA5AAAAEAAAAAAAAAABACAAAAAJAQAAZHJzL3NoYXBleG1sLnhtbFBLBQYAAAAABgAGAFsBAACz&#10;AwAAAAA=&#10;" adj="10800,5400">
                  <v:fill on="t" focussize="0,0"/>
                  <v:stroke weight="0.5pt" color="#000000" miterlimit="8" joinstyle="miter"/>
                  <v:imagedata o:title=""/>
                  <o:lock v:ext="edit" aspectratio="f"/>
                </v:shape>
                <v:shape id="箭头: 下 117" o:spid="_x0000_s1026" o:spt="67" type="#_x0000_t67" style="position:absolute;left:2528519;top:1025818;height:840191;width:248423;rotation:-5898240f;v-text-anchor:middle;" fillcolor="#FFFFFF" filled="t" stroked="t" coordsize="21600,21600" o:gfxdata="UEsDBAoAAAAAAIdO4kAAAAAAAAAAAAAAAAAEAAAAZHJzL1BLAwQUAAAACACHTuJAB9uriLwAAADc&#10;AAAADwAAAGRycy9kb3ducmV2LnhtbEVPS2sCMRC+F/ofwhS81ez2oLI1Ci0UBEFwFfc6bKab1WSy&#10;3aS+fr0RBG/z8T1nOj87K47Uh9azgnyYgSCuvW65UbDd/LxPQISIrNF6JgUXCjCfvb5MsdD+xGs6&#10;lrERKYRDgQpMjF0hZagNOQxD3xEn7tf3DmOCfSN1j6cU7qz8yLKRdNhyajDY0beh+lD+OwVutbqU&#10;1XK3sev8bx/s4mt0rYxSg7c8+wQR6Ryf4od7odP8fAz3Z9IFcnY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bq4i8AAAA&#10;3AAAAA8AAAAAAAAAAQAgAAAAIgAAAGRycy9kb3ducmV2LnhtbFBLAQIUABQAAAAIAIdO4kAzLwWe&#10;OwAAADkAAAAQAAAAAAAAAAEAIAAAAAsBAABkcnMvc2hhcGV4bWwueG1sUEsFBgAAAAAGAAYAWwEA&#10;ALUDAAAAAA==&#10;" adj="18407,5400">
                  <v:fill on="t" focussize="0,0"/>
                  <v:stroke weight="0.5pt" color="#000000" miterlimit="8" joinstyle="miter"/>
                  <v:imagedata o:title=""/>
                  <o:lock v:ext="edit" aspectratio="f"/>
                </v:shape>
                <v:shape id="_x0000_s1026" o:spid="_x0000_s1026" o:spt="85" type="#_x0000_t85" style="position:absolute;left:2550241;top:-439124;height:3189467;width:212945;rotation:5898240f;v-text-anchor:middle;" filled="f" stroked="t" coordsize="21600,21600" o:gfxdata="UEsDBAoAAAAAAIdO4kAAAAAAAAAAAAAAAAAEAAAAZHJzL1BLAwQUAAAACACHTuJADx2auL0AAADc&#10;AAAADwAAAGRycy9kb3ducmV2LnhtbEWPQUsDMRCF74L/IYzgzSbbg5S1aWkLgnoQrC14HDfjZmky&#10;WZLYVn+9cyh4m+G9ee+b+fIcgzpSLkNiC83EgCLukhu4t7B7f7ybgSoV2WFITBZ+qMBycX01x9al&#10;E7/RcVt7JSFcWrTgax1brUvnKWKZpJFYtK+UI1ZZc69dxpOEx6CnxtzriANLg8eRNp66w/Y7Wvgd&#10;XsyHq6uwz89+yp+Jwm79au3tTWMeQFU613/z5frJCX4jtPKMTK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HZq4vQAA&#10;ANwAAAAPAAAAAAAAAAEAIAAAACIAAABkcnMvZG93bnJldi54bWxQSwECFAAUAAAACACHTuJAMy8F&#10;njsAAAA5AAAAEAAAAAAAAAABACAAAAAMAQAAZHJzL3NoYXBleG1sLnhtbFBLBQYAAAAABgAGAFsB&#10;AAC2AwAAAAA=&#10;" adj="120">
                  <v:fill on="f" focussize="0,0"/>
                  <v:stroke weight="0.5pt" color="#000000" miterlimit="8" joinstyle="miter"/>
                  <v:imagedata o:title=""/>
                  <o:lock v:ext="edit" aspectratio="f"/>
                </v:shape>
                <v:shape id="_x0000_s1026" o:spid="_x0000_s1026" o:spt="85" type="#_x0000_t85" style="position:absolute;left:2560825;top:140696;flip:y;height:3189466;width:211322;rotation:5898240f;v-text-anchor:middle;" filled="f" stroked="t" coordsize="21600,21600" o:gfxdata="UEsDBAoAAAAAAIdO4kAAAAAAAAAAAAAAAAAEAAAAZHJzL1BLAwQUAAAACACHTuJAtpGJvr4AAADc&#10;AAAADwAAAGRycy9kb3ducmV2LnhtbEVPS4vCMBC+L+x/CCN4WTStB9mtRkHZlR4EWVcP3oZmbFqb&#10;SWmyPv69EQRv8/E9Zzq/2kacqfOVYwXpMAFBXDhdcalg9/cz+AThA7LGxjEpuJGH+ez9bYqZdhf+&#10;pfM2lCKGsM9QgQmhzaT0hSGLfuha4sgdXWcxRNiVUnd4ieG2kaMkGUuLFccGgy0tDRWn7b9VkLv1&#10;6rTJvxd1dag/luvb4rivjVL9XppMQAS6hpf46c51nJ9+weOZeIG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GJvr4A&#10;AADcAAAADwAAAAAAAAABACAAAAAiAAAAZHJzL2Rvd25yZXYueG1sUEsBAhQAFAAAAAgAh07iQDMv&#10;BZ47AAAAOQAAABAAAAAAAAAAAQAgAAAADQEAAGRycy9zaGFwZXhtbC54bWxQSwUGAAAAAAYABgBb&#10;AQAAtwMAAAAA&#10;" adj="119">
                  <v:fill on="f" focussize="0,0"/>
                  <v:stroke weight="0.5pt" color="#000000" miterlimit="8" joinstyle="miter"/>
                  <v:imagedata o:title=""/>
                  <o:lock v:ext="edit" aspectratio="f"/>
                </v:shape>
              </v:group>
            </w:pict>
          </mc:Fallback>
        </mc:AlternateContent>
      </w: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ascii="楷体" w:hAnsi="楷体" w:eastAsia="楷体"/>
        </w:rPr>
      </w:pPr>
    </w:p>
    <w:p>
      <w:pPr>
        <w:spacing w:line="360" w:lineRule="auto"/>
        <w:rPr>
          <w:rFonts w:hint="eastAsia" w:ascii="宋体" w:hAnsi="宋体"/>
          <w:sz w:val="24"/>
          <w:szCs w:val="24"/>
        </w:rPr>
      </w:pPr>
    </w:p>
    <w:p>
      <w:pPr>
        <w:spacing w:line="360" w:lineRule="auto"/>
        <w:jc w:val="center"/>
        <w:rPr>
          <w:rFonts w:hint="eastAsia" w:ascii="微软雅黑" w:hAnsi="微软雅黑" w:eastAsia="微软雅黑"/>
          <w:sz w:val="20"/>
          <w:szCs w:val="20"/>
          <w:lang w:eastAsia="zh-CN"/>
        </w:rPr>
      </w:pPr>
      <w:r>
        <w:rPr>
          <w:rFonts w:hint="eastAsia" w:ascii="微软雅黑" w:hAnsi="微软雅黑" w:eastAsia="微软雅黑"/>
          <w:sz w:val="20"/>
          <w:szCs w:val="20"/>
        </w:rPr>
        <w:t>图1</w:t>
      </w:r>
      <w:r>
        <w:rPr>
          <w:rFonts w:ascii="微软雅黑" w:hAnsi="微软雅黑" w:eastAsia="微软雅黑"/>
          <w:sz w:val="20"/>
          <w:szCs w:val="20"/>
        </w:rPr>
        <w:t xml:space="preserve"> </w:t>
      </w:r>
      <w:r>
        <w:rPr>
          <w:rFonts w:hint="eastAsia" w:ascii="微软雅黑" w:hAnsi="微软雅黑" w:eastAsia="微软雅黑"/>
          <w:sz w:val="20"/>
          <w:szCs w:val="20"/>
        </w:rPr>
        <w:t>“地理+生物”跨学科主题学习的</w:t>
      </w:r>
      <w:r>
        <w:rPr>
          <w:rFonts w:hint="eastAsia" w:ascii="微软雅黑" w:hAnsi="微软雅黑" w:eastAsia="微软雅黑"/>
          <w:sz w:val="20"/>
          <w:szCs w:val="20"/>
          <w:lang w:val="en-US" w:eastAsia="zh-CN"/>
        </w:rPr>
        <w:t>设计</w:t>
      </w:r>
    </w:p>
    <w:p>
      <w:pPr>
        <w:spacing w:line="360" w:lineRule="auto"/>
        <w:ind w:firstLine="480" w:firstLineChars="200"/>
        <w:rPr>
          <w:rFonts w:ascii="宋体" w:hAnsi="宋体" w:eastAsia="宋体" w:cs="宋体"/>
          <w:sz w:val="24"/>
          <w:szCs w:val="24"/>
        </w:rPr>
      </w:pPr>
      <w:r>
        <w:rPr>
          <w:rFonts w:ascii="宋体" w:hAnsi="宋体" w:eastAsia="宋体" w:cs="宋体"/>
          <w:sz w:val="24"/>
          <w:szCs w:val="24"/>
        </w:rPr>
        <w:t>因此我们在构建评价指标时，首先应该从核心素养出发，设计教学目标与教 学活动，并基于教学任务，匹配对应评价。</w:t>
      </w:r>
    </w:p>
    <w:p>
      <w:pPr>
        <w:spacing w:line="360" w:lineRule="auto"/>
        <w:jc w:val="left"/>
        <w:rPr>
          <w:rFonts w:hint="eastAsia" w:ascii="宋体" w:hAnsi="宋体"/>
          <w:sz w:val="24"/>
          <w:szCs w:val="24"/>
          <w:lang w:val="en-US" w:eastAsia="zh-CN"/>
        </w:rPr>
      </w:pPr>
      <w:r>
        <w:rPr>
          <w:rFonts w:hint="eastAsia" w:ascii="宋体" w:hAnsi="宋体"/>
          <w:sz w:val="24"/>
          <w:szCs w:val="24"/>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83820</wp:posOffset>
            </wp:positionV>
            <wp:extent cx="5271135" cy="612775"/>
            <wp:effectExtent l="0" t="0" r="1905" b="12065"/>
            <wp:wrapTopAndBottom/>
            <wp:docPr id="1" name="图片 1" descr="171065776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0657762831"/>
                    <pic:cNvPicPr>
                      <a:picLocks noChangeAspect="1"/>
                    </pic:cNvPicPr>
                  </pic:nvPicPr>
                  <pic:blipFill>
                    <a:blip r:embed="rId5"/>
                    <a:stretch>
                      <a:fillRect/>
                    </a:stretch>
                  </pic:blipFill>
                  <pic:spPr>
                    <a:xfrm>
                      <a:off x="0" y="0"/>
                      <a:ext cx="5271135" cy="612775"/>
                    </a:xfrm>
                    <a:prstGeom prst="rect">
                      <a:avLst/>
                    </a:prstGeom>
                  </pic:spPr>
                </pic:pic>
              </a:graphicData>
            </a:graphic>
          </wp:anchor>
        </w:drawing>
      </w:r>
      <w:r>
        <w:rPr>
          <w:rFonts w:hint="eastAsia" w:ascii="宋体" w:hAnsi="宋体"/>
          <w:sz w:val="24"/>
          <w:szCs w:val="24"/>
          <w:lang w:val="en-US" w:eastAsia="zh-CN"/>
        </w:rPr>
        <w:t xml:space="preserve">  为了达成相应</w:t>
      </w:r>
      <w:r>
        <w:rPr>
          <w:rFonts w:hint="eastAsia" w:ascii="宋体" w:hAnsi="宋体"/>
          <w:sz w:val="24"/>
          <w:szCs w:val="24"/>
        </w:rPr>
        <w:t>科学探究的高中跨学科主题学习</w:t>
      </w:r>
      <w:r>
        <w:rPr>
          <w:rFonts w:hint="eastAsia" w:ascii="宋体" w:hAnsi="宋体"/>
          <w:sz w:val="24"/>
          <w:szCs w:val="24"/>
          <w:lang w:val="en-US" w:eastAsia="zh-CN"/>
        </w:rPr>
        <w:t>的核心素养，我们开设的</w:t>
      </w:r>
      <w:r>
        <w:rPr>
          <w:rFonts w:hint="eastAsia" w:ascii="宋体" w:hAnsi="宋体"/>
          <w:sz w:val="24"/>
          <w:szCs w:val="24"/>
        </w:rPr>
        <w:t>主题学习课程平台是高二学生的一门选修课，学生有一学年的时间可以充分开展探究活动。“我国水稻种植业”是这门课程中的其中一个活动单元。结合现下的社会热点“联合国宣布世界人口已达8</w:t>
      </w:r>
      <w:r>
        <w:rPr>
          <w:rFonts w:ascii="宋体" w:hAnsi="宋体"/>
          <w:sz w:val="24"/>
          <w:szCs w:val="24"/>
        </w:rPr>
        <w:t>0</w:t>
      </w:r>
      <w:r>
        <w:rPr>
          <w:rFonts w:hint="eastAsia" w:ascii="宋体" w:hAnsi="宋体"/>
          <w:sz w:val="24"/>
          <w:szCs w:val="24"/>
        </w:rPr>
        <w:t>亿”，探究“我国如何因地制宜保障粮食安全，如何促进国家重要口粮作物水稻增产”有很大的现实意义。教学目标是预设的理想教学结果，其中隐含了教学任务和评价标准，展现了教、学、评的应然关系。只有与教学目标高度对应的教学任务与教学评价才是客观、可靠的。</w:t>
      </w:r>
    </w:p>
    <w:p>
      <w:pPr>
        <w:numPr>
          <w:ilvl w:val="0"/>
          <w:numId w:val="0"/>
        </w:num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w:t>
      </w:r>
      <w:r>
        <w:rPr>
          <w:rFonts w:hint="eastAsia" w:ascii="宋体" w:hAnsi="宋体"/>
          <w:b/>
          <w:bCs/>
          <w:color w:val="000000" w:themeColor="text1"/>
          <w:sz w:val="24"/>
          <w:szCs w:val="24"/>
          <w:lang w:val="en-US" w:eastAsia="zh-CN"/>
          <w14:textFill>
            <w14:solidFill>
              <w14:schemeClr w14:val="tx1"/>
            </w14:solidFill>
          </w14:textFill>
        </w:rPr>
        <w:t>二</w:t>
      </w:r>
      <w:r>
        <w:rPr>
          <w:rFonts w:hint="eastAsia" w:ascii="宋体" w:hAnsi="宋体"/>
          <w:b/>
          <w:bCs/>
          <w:color w:val="000000" w:themeColor="text1"/>
          <w:sz w:val="24"/>
          <w:szCs w:val="24"/>
          <w:lang w:eastAsia="zh-CN"/>
          <w14:textFill>
            <w14:solidFill>
              <w14:schemeClr w14:val="tx1"/>
            </w14:solidFill>
          </w14:textFill>
        </w:rPr>
        <w:t>）立足可操作性，合理设计评价量规</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 xml:space="preserve">评价量规是一个真实性评价工具，它是对学生的作品、成果、成长记录袋或者表现进行评价或者等级评定的一套标准，同时也是一个有效的教学工具，是连接教学与评价之间的一个重要桥梁。 </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评价量规主要由三部分组成：评价指标，评价等级和具体说明。 一份合格的评价量规，具体说明是其中的重要组成部分。具体说明不仅是对评价指标与评价等级的解释与说明，而且为教学成果的改进提供了丰富的信息，并且不同标准的具体说明要有明显的差异性，这样才能利用量规，逐步地改进教学成果。</w:t>
      </w:r>
    </w:p>
    <w:p>
      <w:pPr>
        <w:spacing w:line="360" w:lineRule="auto"/>
        <w:ind w:firstLine="480" w:firstLineChars="200"/>
        <w:rPr>
          <w:rFonts w:ascii="宋体" w:hAnsi="宋体"/>
          <w:color w:val="auto"/>
          <w:sz w:val="24"/>
          <w:szCs w:val="24"/>
        </w:rPr>
      </w:pPr>
      <w:r>
        <w:rPr>
          <w:rFonts w:hint="eastAsia" w:ascii="宋体" w:hAnsi="宋体"/>
          <w:color w:val="auto"/>
          <w:sz w:val="24"/>
          <w:szCs w:val="24"/>
          <w:lang w:val="en-US" w:eastAsia="zh-CN"/>
        </w:rPr>
        <w:t>例如，第四</w:t>
      </w:r>
      <w:r>
        <w:rPr>
          <w:rFonts w:hint="eastAsia" w:ascii="宋体" w:hAnsi="宋体"/>
          <w:color w:val="auto"/>
          <w:sz w:val="24"/>
          <w:szCs w:val="24"/>
        </w:rPr>
        <w:t>课时的主题是“水稻增产”，着重实践探究、解释论证。</w:t>
      </w:r>
      <w:r>
        <w:rPr>
          <w:rFonts w:hint="eastAsia" w:ascii="宋体" w:hAnsi="宋体"/>
          <w:color w:val="auto"/>
          <w:sz w:val="24"/>
          <w:szCs w:val="24"/>
          <w:lang w:val="en-US" w:eastAsia="zh-CN"/>
        </w:rPr>
        <w:t>同学们</w:t>
      </w:r>
      <w:r>
        <w:rPr>
          <w:rFonts w:hint="eastAsia" w:ascii="宋体" w:hAnsi="宋体"/>
          <w:color w:val="auto"/>
          <w:sz w:val="24"/>
          <w:szCs w:val="24"/>
        </w:rPr>
        <w:t>通过选田试种和实验选种两个活动实证探究耐盐碱稻的环境适应性，致力于因地制宜提高水稻产量。课上学生根据不同地区试验田的环境条件推测与之相适应的耐盐碱稻品种，再进一步聚焦到宁夏引黄灌区，通过设计实验探究筛选出最适宜宁夏银北地区盐碱地推广的水稻品种，体验科学探究的一般过程，有理有据地阐述小组结论</w:t>
      </w:r>
      <w:r>
        <w:rPr>
          <w:rFonts w:hint="eastAsia" w:ascii="宋体" w:hAnsi="宋体"/>
          <w:color w:val="auto"/>
          <w:sz w:val="24"/>
          <w:szCs w:val="24"/>
          <w:lang w:eastAsia="zh-CN"/>
        </w:rPr>
        <w:t>，</w:t>
      </w:r>
      <w:r>
        <w:rPr>
          <w:rFonts w:hint="eastAsia" w:ascii="宋体" w:hAnsi="宋体"/>
          <w:color w:val="auto"/>
          <w:sz w:val="24"/>
          <w:szCs w:val="24"/>
        </w:rPr>
        <w:t>教学</w:t>
      </w:r>
      <w:r>
        <w:rPr>
          <w:rFonts w:hint="eastAsia" w:ascii="宋体" w:hAnsi="宋体"/>
          <w:color w:val="auto"/>
          <w:sz w:val="24"/>
          <w:szCs w:val="24"/>
          <w:lang w:val="en-US" w:eastAsia="zh-CN"/>
        </w:rPr>
        <w:t>框架</w:t>
      </w:r>
      <w:r>
        <w:rPr>
          <w:rFonts w:hint="eastAsia" w:ascii="宋体" w:hAnsi="宋体"/>
          <w:color w:val="auto"/>
          <w:sz w:val="24"/>
          <w:szCs w:val="24"/>
        </w:rPr>
        <w:t>如下图</w:t>
      </w:r>
      <w:r>
        <w:rPr>
          <w:rFonts w:hint="eastAsia" w:ascii="宋体" w:hAnsi="宋体"/>
          <w:color w:val="auto"/>
          <w:sz w:val="24"/>
          <w:szCs w:val="24"/>
          <w:lang w:val="en-US" w:eastAsia="zh-CN"/>
        </w:rPr>
        <w:t>2</w:t>
      </w:r>
      <w:r>
        <w:rPr>
          <w:rFonts w:hint="eastAsia" w:ascii="宋体" w:hAnsi="宋体"/>
          <w:color w:val="auto"/>
          <w:sz w:val="24"/>
          <w:szCs w:val="24"/>
        </w:rPr>
        <w:t>所示。</w:t>
      </w:r>
    </w:p>
    <w:p>
      <w:pPr>
        <w:spacing w:line="360" w:lineRule="auto"/>
      </w:pPr>
      <w:r>
        <w:rPr>
          <w:rFonts w:ascii="宋体" w:hAnsi="宋体"/>
          <w:sz w:val="24"/>
          <w:szCs w:val="24"/>
        </w:rPr>
        <w:drawing>
          <wp:inline distT="0" distB="0" distL="0" distR="0">
            <wp:extent cx="4921250" cy="4114800"/>
            <wp:effectExtent l="0" t="0" r="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921250" cy="4114800"/>
                    </a:xfrm>
                    <a:prstGeom prst="rect">
                      <a:avLst/>
                    </a:prstGeom>
                    <a:noFill/>
                  </pic:spPr>
                </pic:pic>
              </a:graphicData>
            </a:graphic>
          </wp:inline>
        </w:drawing>
      </w:r>
    </w:p>
    <w:p>
      <w:pPr>
        <w:spacing w:line="360" w:lineRule="auto"/>
        <w:ind w:firstLine="400" w:firstLineChars="200"/>
        <w:jc w:val="center"/>
        <w:rPr>
          <w:rFonts w:hint="eastAsia" w:ascii="宋体" w:hAnsi="宋体" w:eastAsia="微软雅黑"/>
          <w:color w:val="auto"/>
          <w:sz w:val="24"/>
          <w:szCs w:val="24"/>
          <w:lang w:val="en-US" w:eastAsia="zh-CN"/>
        </w:rPr>
      </w:pPr>
      <w:r>
        <w:rPr>
          <w:rFonts w:hint="eastAsia" w:ascii="微软雅黑" w:hAnsi="微软雅黑" w:eastAsia="微软雅黑"/>
          <w:sz w:val="20"/>
          <w:szCs w:val="20"/>
        </w:rPr>
        <w:t>图</w:t>
      </w:r>
      <w:r>
        <w:rPr>
          <w:rFonts w:hint="eastAsia" w:ascii="微软雅黑" w:hAnsi="微软雅黑" w:eastAsia="微软雅黑"/>
          <w:sz w:val="20"/>
          <w:szCs w:val="20"/>
          <w:lang w:val="en-US" w:eastAsia="zh-CN"/>
        </w:rPr>
        <w:t>2</w:t>
      </w:r>
      <w:r>
        <w:rPr>
          <w:rFonts w:ascii="微软雅黑" w:hAnsi="微软雅黑" w:eastAsia="微软雅黑"/>
          <w:sz w:val="20"/>
          <w:szCs w:val="20"/>
        </w:rPr>
        <w:t xml:space="preserve"> </w:t>
      </w:r>
      <w:r>
        <w:rPr>
          <w:rFonts w:hint="eastAsia" w:ascii="微软雅黑" w:hAnsi="微软雅黑" w:eastAsia="微软雅黑"/>
          <w:sz w:val="20"/>
          <w:szCs w:val="20"/>
        </w:rPr>
        <w:t>第四课时“水稻增产”教学</w:t>
      </w:r>
      <w:r>
        <w:rPr>
          <w:rFonts w:hint="eastAsia" w:ascii="微软雅黑" w:hAnsi="微软雅黑" w:eastAsia="微软雅黑"/>
          <w:sz w:val="20"/>
          <w:szCs w:val="20"/>
          <w:lang w:val="en-US" w:eastAsia="zh-CN"/>
        </w:rPr>
        <w:t>框架</w:t>
      </w:r>
    </w:p>
    <w:p>
      <w:pPr>
        <w:spacing w:line="360" w:lineRule="auto"/>
        <w:ind w:firstLine="480" w:firstLineChars="200"/>
        <w:rPr>
          <w:rFonts w:ascii="宋体" w:hAnsi="宋体" w:eastAsia="宋体" w:cs="宋体"/>
          <w:sz w:val="24"/>
          <w:szCs w:val="24"/>
        </w:rPr>
      </w:pPr>
      <w:r>
        <w:rPr>
          <w:rFonts w:hint="eastAsia" w:ascii="宋体" w:hAnsi="宋体"/>
          <w:color w:val="auto"/>
          <w:sz w:val="24"/>
          <w:szCs w:val="24"/>
          <w:lang w:val="en-US" w:eastAsia="zh-CN"/>
        </w:rPr>
        <w:t>其中同学们需要就材料</w:t>
      </w:r>
      <w:r>
        <w:rPr>
          <w:rFonts w:ascii="宋体" w:hAnsi="宋体" w:eastAsia="宋体" w:cs="宋体"/>
          <w:sz w:val="24"/>
          <w:szCs w:val="24"/>
        </w:rPr>
        <w:t>收集与</w:t>
      </w:r>
      <w:r>
        <w:rPr>
          <w:rFonts w:hint="eastAsia" w:ascii="宋体" w:hAnsi="宋体" w:cs="宋体"/>
          <w:sz w:val="24"/>
          <w:szCs w:val="24"/>
          <w:lang w:val="en-US" w:eastAsia="zh-CN"/>
        </w:rPr>
        <w:t>筛选应用</w:t>
      </w:r>
      <w:r>
        <w:rPr>
          <w:rFonts w:ascii="宋体" w:hAnsi="宋体" w:eastAsia="宋体" w:cs="宋体"/>
          <w:sz w:val="24"/>
          <w:szCs w:val="24"/>
        </w:rPr>
        <w:t>这一活动观察评价表（见表</w:t>
      </w:r>
      <w:r>
        <w:rPr>
          <w:rFonts w:hint="eastAsia" w:ascii="宋体" w:hAnsi="宋体" w:cs="宋体"/>
          <w:sz w:val="24"/>
          <w:szCs w:val="24"/>
          <w:lang w:val="en-US" w:eastAsia="zh-CN"/>
        </w:rPr>
        <w:t>1</w:t>
      </w:r>
      <w:r>
        <w:rPr>
          <w:rFonts w:ascii="宋体" w:hAnsi="宋体" w:eastAsia="宋体" w:cs="宋体"/>
          <w:sz w:val="24"/>
          <w:szCs w:val="24"/>
        </w:rPr>
        <w:t>）中，我们将评价指 标设置为关于表现性评价的“</w:t>
      </w:r>
      <w:r>
        <w:rPr>
          <w:rFonts w:hint="eastAsia" w:ascii="宋体" w:hAnsi="宋体" w:cs="宋体"/>
          <w:sz w:val="24"/>
          <w:szCs w:val="24"/>
          <w:lang w:val="en-US" w:eastAsia="zh-CN"/>
        </w:rPr>
        <w:t>资料收集</w:t>
      </w:r>
      <w:r>
        <w:rPr>
          <w:rFonts w:ascii="宋体" w:hAnsi="宋体" w:eastAsia="宋体" w:cs="宋体"/>
          <w:sz w:val="24"/>
          <w:szCs w:val="24"/>
        </w:rPr>
        <w:t>”与“</w:t>
      </w:r>
      <w:r>
        <w:rPr>
          <w:rFonts w:hint="eastAsia" w:ascii="宋体" w:hAnsi="宋体" w:cs="宋体"/>
          <w:sz w:val="24"/>
          <w:szCs w:val="24"/>
          <w:lang w:val="en-US" w:eastAsia="zh-CN"/>
        </w:rPr>
        <w:t>资料应用</w:t>
      </w:r>
      <w:r>
        <w:rPr>
          <w:rFonts w:ascii="宋体" w:hAnsi="宋体" w:eastAsia="宋体" w:cs="宋体"/>
          <w:sz w:val="24"/>
          <w:szCs w:val="24"/>
        </w:rPr>
        <w:t>”和关于情感态度评价的 “小组合作”，并设置了3个水平维度。其中最高水平（水平3）解释为：能结合</w:t>
      </w:r>
      <w:r>
        <w:rPr>
          <w:rFonts w:hint="eastAsia" w:ascii="宋体" w:hAnsi="宋体" w:cs="宋体"/>
          <w:sz w:val="24"/>
          <w:szCs w:val="24"/>
          <w:lang w:val="en-US" w:eastAsia="zh-CN"/>
        </w:rPr>
        <w:t>材料</w:t>
      </w:r>
      <w:r>
        <w:rPr>
          <w:rFonts w:ascii="宋体" w:hAnsi="宋体" w:eastAsia="宋体" w:cs="宋体"/>
          <w:sz w:val="24"/>
          <w:szCs w:val="24"/>
        </w:rPr>
        <w:t>分析的需要，</w:t>
      </w:r>
      <w:r>
        <w:rPr>
          <w:rFonts w:hint="eastAsia" w:ascii="宋体" w:hAnsi="宋体" w:eastAsia="宋体" w:cs="宋体"/>
          <w:sz w:val="24"/>
          <w:szCs w:val="24"/>
        </w:rPr>
        <w:t>有计划、有条理地进行实验相关文献资料的收集</w:t>
      </w:r>
      <w:r>
        <w:rPr>
          <w:rFonts w:hint="eastAsia" w:ascii="宋体" w:hAnsi="宋体" w:cs="宋体"/>
          <w:sz w:val="24"/>
          <w:szCs w:val="24"/>
          <w:lang w:val="en-US" w:eastAsia="zh-CN"/>
        </w:rPr>
        <w:t>，并且能够采</w:t>
      </w:r>
      <w:r>
        <w:rPr>
          <w:rFonts w:ascii="宋体" w:hAnsi="宋体" w:eastAsia="宋体" w:cs="宋体"/>
          <w:sz w:val="24"/>
          <w:szCs w:val="24"/>
        </w:rPr>
        <w:t>用合适的</w:t>
      </w:r>
      <w:r>
        <w:rPr>
          <w:rFonts w:hint="eastAsia" w:ascii="宋体" w:hAnsi="宋体" w:cs="宋体"/>
          <w:sz w:val="24"/>
          <w:szCs w:val="24"/>
          <w:lang w:val="en-US" w:eastAsia="zh-CN"/>
        </w:rPr>
        <w:t>实验方案以及</w:t>
      </w:r>
      <w:r>
        <w:rPr>
          <w:rFonts w:ascii="宋体" w:hAnsi="宋体" w:eastAsia="宋体" w:cs="宋体"/>
          <w:sz w:val="24"/>
          <w:szCs w:val="24"/>
        </w:rPr>
        <w:t>图表对</w:t>
      </w:r>
      <w:r>
        <w:rPr>
          <w:rFonts w:hint="eastAsia" w:ascii="宋体" w:hAnsi="宋体" w:cs="宋体"/>
          <w:sz w:val="24"/>
          <w:szCs w:val="24"/>
          <w:lang w:val="en-US" w:eastAsia="zh-CN"/>
        </w:rPr>
        <w:t>实验结果进行整理</w:t>
      </w:r>
      <w:r>
        <w:rPr>
          <w:rFonts w:ascii="宋体" w:hAnsi="宋体" w:eastAsia="宋体" w:cs="宋体"/>
          <w:sz w:val="24"/>
          <w:szCs w:val="24"/>
        </w:rPr>
        <w:t>，中间水平（水平2）的解释就在此基础上弱化 为“有意识，但还无法完全做到”，最低水平（水平1）的解释则继续弱化为“没有意识”。</w:t>
      </w:r>
    </w:p>
    <w:p>
      <w:pPr>
        <w:spacing w:line="360" w:lineRule="auto"/>
        <w:ind w:firstLine="400" w:firstLineChars="200"/>
        <w:jc w:val="center"/>
        <w:rPr>
          <w:rFonts w:hint="eastAsia" w:ascii="微软雅黑" w:hAnsi="微软雅黑" w:eastAsia="微软雅黑"/>
          <w:sz w:val="20"/>
          <w:szCs w:val="20"/>
        </w:rPr>
      </w:pPr>
      <w:r>
        <w:rPr>
          <w:rFonts w:hint="eastAsia" w:ascii="微软雅黑" w:hAnsi="微软雅黑" w:eastAsia="微软雅黑"/>
          <w:sz w:val="20"/>
          <w:szCs w:val="20"/>
          <w:lang w:val="en-US" w:eastAsia="zh-CN"/>
        </w:rPr>
        <w:t>表1 资料收集与应用</w:t>
      </w:r>
      <w:r>
        <w:rPr>
          <w:rFonts w:hint="eastAsia" w:ascii="微软雅黑" w:hAnsi="微软雅黑" w:eastAsia="微软雅黑"/>
          <w:sz w:val="20"/>
          <w:szCs w:val="20"/>
        </w:rPr>
        <w:t>——活动观察评价表</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0"/>
        <w:gridCol w:w="452"/>
        <w:gridCol w:w="2815"/>
        <w:gridCol w:w="2815"/>
        <w:gridCol w:w="1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4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维度</w:t>
            </w:r>
          </w:p>
        </w:tc>
        <w:tc>
          <w:tcPr>
            <w:tcW w:w="27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w:t>
            </w:r>
          </w:p>
        </w:tc>
        <w:tc>
          <w:tcPr>
            <w:tcW w:w="164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水平3</w:t>
            </w:r>
          </w:p>
        </w:tc>
        <w:tc>
          <w:tcPr>
            <w:tcW w:w="160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水平2</w:t>
            </w:r>
          </w:p>
        </w:tc>
        <w:tc>
          <w:tcPr>
            <w:tcW w:w="113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水平1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43"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表现性评价</w:t>
            </w:r>
          </w:p>
        </w:tc>
        <w:tc>
          <w:tcPr>
            <w:tcW w:w="27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资料</w:t>
            </w:r>
            <w:r>
              <w:rPr>
                <w:rFonts w:hint="eastAsia" w:ascii="宋体" w:hAnsi="宋体" w:eastAsia="宋体" w:cs="宋体"/>
                <w:i w:val="0"/>
                <w:iCs w:val="0"/>
                <w:color w:val="000000"/>
                <w:kern w:val="0"/>
                <w:sz w:val="22"/>
                <w:szCs w:val="22"/>
                <w:u w:val="none"/>
                <w:lang w:val="en-US" w:eastAsia="zh-CN" w:bidi="ar"/>
              </w:rPr>
              <w:t>收集</w:t>
            </w:r>
          </w:p>
        </w:tc>
        <w:tc>
          <w:tcPr>
            <w:tcW w:w="164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能够有计划、有条理地进行实验相关文献</w:t>
            </w:r>
            <w:r>
              <w:rPr>
                <w:rFonts w:hint="eastAsia" w:ascii="宋体" w:hAnsi="宋体" w:cs="宋体"/>
                <w:i w:val="0"/>
                <w:iCs w:val="0"/>
                <w:color w:val="000000"/>
                <w:kern w:val="0"/>
                <w:sz w:val="22"/>
                <w:szCs w:val="22"/>
                <w:u w:val="none"/>
                <w:lang w:val="en-US" w:eastAsia="zh-CN" w:bidi="ar"/>
              </w:rPr>
              <w:t>资料</w:t>
            </w:r>
            <w:r>
              <w:rPr>
                <w:rFonts w:hint="eastAsia" w:ascii="宋体" w:hAnsi="宋体" w:eastAsia="宋体" w:cs="宋体"/>
                <w:i w:val="0"/>
                <w:iCs w:val="0"/>
                <w:color w:val="000000"/>
                <w:kern w:val="0"/>
                <w:sz w:val="22"/>
                <w:szCs w:val="22"/>
                <w:u w:val="none"/>
                <w:lang w:val="en-US" w:eastAsia="zh-CN" w:bidi="ar"/>
              </w:rPr>
              <w:t>的收集；收集的文献等具有相关性和可理解、可操作性</w:t>
            </w:r>
          </w:p>
        </w:tc>
        <w:tc>
          <w:tcPr>
            <w:tcW w:w="160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能够有计划、有条理地进行实验相关文献</w:t>
            </w:r>
            <w:r>
              <w:rPr>
                <w:rFonts w:hint="eastAsia" w:ascii="宋体" w:hAnsi="宋体" w:cs="宋体"/>
                <w:i w:val="0"/>
                <w:iCs w:val="0"/>
                <w:color w:val="000000"/>
                <w:kern w:val="0"/>
                <w:sz w:val="22"/>
                <w:szCs w:val="22"/>
                <w:u w:val="none"/>
                <w:lang w:val="en-US" w:eastAsia="zh-CN" w:bidi="ar"/>
              </w:rPr>
              <w:t>资料</w:t>
            </w:r>
            <w:r>
              <w:rPr>
                <w:rFonts w:hint="eastAsia" w:ascii="宋体" w:hAnsi="宋体" w:eastAsia="宋体" w:cs="宋体"/>
                <w:i w:val="0"/>
                <w:iCs w:val="0"/>
                <w:color w:val="000000"/>
                <w:kern w:val="0"/>
                <w:sz w:val="22"/>
                <w:szCs w:val="22"/>
                <w:u w:val="none"/>
                <w:lang w:val="en-US" w:eastAsia="zh-CN" w:bidi="ar"/>
              </w:rPr>
              <w:t>的收集；收集的文献等有一定的可理解性、可操作性</w:t>
            </w:r>
            <w:r>
              <w:rPr>
                <w:rFonts w:hint="eastAsia" w:ascii="宋体" w:hAnsi="宋体" w:cs="宋体"/>
                <w:i w:val="0"/>
                <w:iCs w:val="0"/>
                <w:color w:val="000000"/>
                <w:kern w:val="0"/>
                <w:sz w:val="22"/>
                <w:szCs w:val="22"/>
                <w:u w:val="none"/>
                <w:lang w:val="en-US" w:eastAsia="zh-CN" w:bidi="ar"/>
              </w:rPr>
              <w:t>。</w:t>
            </w:r>
          </w:p>
        </w:tc>
        <w:tc>
          <w:tcPr>
            <w:tcW w:w="1136" w:type="pct"/>
            <w:tcBorders>
              <w:top w:val="nil"/>
              <w:left w:val="nil"/>
              <w:bottom w:val="nil"/>
              <w:right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没有针对相关研究实验文献资料收集的意识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43" w:type="pct"/>
            <w:vMerge w:val="continue"/>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7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资料</w:t>
            </w:r>
            <w:r>
              <w:rPr>
                <w:rFonts w:hint="eastAsia" w:ascii="宋体" w:hAnsi="宋体" w:eastAsia="宋体" w:cs="宋体"/>
                <w:i w:val="0"/>
                <w:iCs w:val="0"/>
                <w:color w:val="000000"/>
                <w:kern w:val="0"/>
                <w:sz w:val="22"/>
                <w:szCs w:val="22"/>
                <w:u w:val="none"/>
                <w:lang w:val="en-US" w:eastAsia="zh-CN" w:bidi="ar"/>
              </w:rPr>
              <w:t>应用</w:t>
            </w:r>
          </w:p>
        </w:tc>
        <w:tc>
          <w:tcPr>
            <w:tcW w:w="164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能结合材料进行分析筛选和应用，采用合适的实验方案以及图表对实验结果进行整理</w:t>
            </w:r>
          </w:p>
        </w:tc>
        <w:tc>
          <w:tcPr>
            <w:tcW w:w="160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有结合材料进行分析筛选和应用，采用合适的实验方案以及图表对实验结果进行整理的意识</w:t>
            </w:r>
          </w:p>
        </w:tc>
        <w:tc>
          <w:tcPr>
            <w:tcW w:w="113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没有结合探究目标对所收集的信息进行处理的意识。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4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情感态度评价</w:t>
            </w:r>
          </w:p>
        </w:tc>
        <w:tc>
          <w:tcPr>
            <w:tcW w:w="27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小组合作</w:t>
            </w:r>
          </w:p>
        </w:tc>
        <w:tc>
          <w:tcPr>
            <w:tcW w:w="164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明确自己的角色分工，乐于承担任务，积极与组内成员沟通合作。</w:t>
            </w:r>
          </w:p>
        </w:tc>
        <w:tc>
          <w:tcPr>
            <w:tcW w:w="160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明确自己的任务，具备解决问题的态度，但团队沟通能力较差，合作不够。</w:t>
            </w:r>
          </w:p>
        </w:tc>
        <w:tc>
          <w:tcPr>
            <w:tcW w:w="113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对于自己的角色分工不够明确，不能及时完成自己负责的任务。</w:t>
            </w:r>
          </w:p>
        </w:tc>
      </w:tr>
    </w:tbl>
    <w:p>
      <w:pPr>
        <w:spacing w:line="360" w:lineRule="auto"/>
        <w:ind w:firstLine="480" w:firstLineChars="200"/>
        <w:jc w:val="both"/>
        <w:rPr>
          <w:rFonts w:hint="eastAsia" w:ascii="宋体" w:hAnsi="宋体"/>
          <w:color w:val="auto"/>
          <w:sz w:val="24"/>
          <w:szCs w:val="24"/>
        </w:rPr>
      </w:pPr>
      <w:r>
        <w:rPr>
          <w:rFonts w:hint="eastAsia" w:ascii="宋体" w:hAnsi="宋体"/>
          <w:color w:val="auto"/>
          <w:sz w:val="24"/>
          <w:szCs w:val="24"/>
        </w:rPr>
        <w:t>合理的评价量规设计能帮助教师发现学生学习中的问题，针对性地进行教学</w:t>
      </w:r>
    </w:p>
    <w:p>
      <w:pPr>
        <w:spacing w:line="360" w:lineRule="auto"/>
        <w:jc w:val="both"/>
        <w:rPr>
          <w:rFonts w:hint="eastAsia" w:ascii="宋体" w:hAnsi="宋体"/>
          <w:color w:val="auto"/>
          <w:sz w:val="24"/>
          <w:szCs w:val="24"/>
        </w:rPr>
      </w:pPr>
      <w:r>
        <w:rPr>
          <w:rFonts w:hint="eastAsia" w:ascii="宋体" w:hAnsi="宋体"/>
          <w:color w:val="auto"/>
          <w:sz w:val="24"/>
          <w:szCs w:val="24"/>
        </w:rPr>
        <w:t>改进，提高教学效果。也让学生可以更清晰地了解自己的学习状况和不足之处，从而有针对性地进行调整和改进，提高学习效果。真正做到“教—学—评”的一</w:t>
      </w:r>
    </w:p>
    <w:p>
      <w:pPr>
        <w:spacing w:line="360" w:lineRule="auto"/>
        <w:jc w:val="both"/>
        <w:rPr>
          <w:rFonts w:hint="eastAsia" w:ascii="微软雅黑" w:hAnsi="微软雅黑" w:eastAsia="微软雅黑"/>
          <w:sz w:val="20"/>
          <w:szCs w:val="20"/>
        </w:rPr>
      </w:pPr>
      <w:r>
        <w:rPr>
          <w:rFonts w:hint="eastAsia" w:ascii="宋体" w:hAnsi="宋体"/>
          <w:color w:val="auto"/>
          <w:sz w:val="24"/>
          <w:szCs w:val="24"/>
        </w:rPr>
        <w:t>致性。</w:t>
      </w:r>
    </w:p>
    <w:p>
      <w:pPr>
        <w:numPr>
          <w:ilvl w:val="0"/>
          <w:numId w:val="1"/>
        </w:numPr>
        <w:autoSpaceDE w:val="0"/>
        <w:autoSpaceDN w:val="0"/>
        <w:adjustRightInd w:val="0"/>
        <w:spacing w:line="360" w:lineRule="auto"/>
        <w:ind w:firstLine="482" w:firstLineChars="200"/>
        <w:jc w:val="left"/>
        <w:rPr>
          <w:rFonts w:ascii="宋体" w:hAnsi="宋体" w:eastAsia="宋体" w:cs="宋体"/>
          <w:b/>
          <w:bCs/>
          <w:sz w:val="24"/>
          <w:szCs w:val="24"/>
        </w:rPr>
      </w:pPr>
      <w:r>
        <w:rPr>
          <w:rFonts w:ascii="宋体" w:hAnsi="宋体" w:eastAsia="宋体" w:cs="宋体"/>
          <w:b/>
          <w:bCs/>
          <w:sz w:val="24"/>
          <w:szCs w:val="24"/>
        </w:rPr>
        <w:t>着眼学生发展，多元化评价方式</w:t>
      </w:r>
    </w:p>
    <w:p>
      <w:pPr>
        <w:numPr>
          <w:ilvl w:val="0"/>
          <w:numId w:val="0"/>
        </w:numPr>
        <w:autoSpaceDE w:val="0"/>
        <w:autoSpaceDN w:val="0"/>
        <w:adjustRightInd w:val="0"/>
        <w:spacing w:line="360" w:lineRule="auto"/>
        <w:ind w:firstLine="480" w:firstLineChars="200"/>
        <w:jc w:val="left"/>
        <w:rPr>
          <w:rFonts w:ascii="宋体" w:hAnsi="宋体" w:eastAsia="宋体" w:cs="宋体"/>
          <w:sz w:val="24"/>
          <w:szCs w:val="24"/>
        </w:rPr>
      </w:pPr>
      <w:r>
        <w:rPr>
          <w:rFonts w:ascii="宋体" w:hAnsi="宋体" w:eastAsia="宋体" w:cs="宋体"/>
          <w:sz w:val="24"/>
          <w:szCs w:val="24"/>
        </w:rPr>
        <w:t xml:space="preserve">每个学生都存在个体差异，他们的个体差异既包括认知上的差异，也包括性 格和情感等方面的差异。因此我们着眼学生发展需要，尝试从评价方式和评价主 体两方面来实践数学教学中的多元化评价。 </w:t>
      </w:r>
    </w:p>
    <w:p>
      <w:pPr>
        <w:numPr>
          <w:ilvl w:val="0"/>
          <w:numId w:val="2"/>
        </w:numPr>
        <w:autoSpaceDE w:val="0"/>
        <w:autoSpaceDN w:val="0"/>
        <w:adjustRightInd w:val="0"/>
        <w:spacing w:line="360" w:lineRule="auto"/>
        <w:ind w:firstLine="480" w:firstLineChars="200"/>
        <w:jc w:val="left"/>
        <w:rPr>
          <w:rFonts w:ascii="宋体" w:hAnsi="宋体" w:eastAsia="宋体" w:cs="宋体"/>
          <w:sz w:val="24"/>
          <w:szCs w:val="24"/>
        </w:rPr>
      </w:pPr>
      <w:r>
        <w:rPr>
          <w:rFonts w:ascii="宋体" w:hAnsi="宋体" w:eastAsia="宋体" w:cs="宋体"/>
          <w:sz w:val="24"/>
          <w:szCs w:val="24"/>
        </w:rPr>
        <w:t>评价主体多元化，提升学生学习动机 在进一步推进评价有效性的过程中，教师要使评价主体尽可能多元化，使更多的人参与到对学生学习的评价中来。要引导学生自我评价，鼓励学生互相评价，让他们在评价中交流学习，在学习中发展，培养学生的自主学习能力和创新能力。</w:t>
      </w:r>
      <w:r>
        <w:rPr>
          <w:rFonts w:hint="eastAsia" w:ascii="宋体" w:hAnsi="宋体" w:eastAsia="宋体" w:cs="宋体"/>
          <w:sz w:val="24"/>
          <w:szCs w:val="24"/>
        </w:rPr>
        <w:t>在</w:t>
      </w:r>
      <w:r>
        <w:rPr>
          <w:rFonts w:hint="eastAsia" w:ascii="宋体" w:hAnsi="宋体" w:cs="宋体"/>
          <w:sz w:val="24"/>
          <w:szCs w:val="24"/>
          <w:lang w:val="en-US" w:eastAsia="zh-CN"/>
        </w:rPr>
        <w:t>第4课时的</w:t>
      </w:r>
      <w:r>
        <w:rPr>
          <w:rFonts w:hint="eastAsia" w:ascii="宋体" w:hAnsi="宋体" w:eastAsia="宋体" w:cs="宋体"/>
          <w:sz w:val="24"/>
          <w:szCs w:val="24"/>
        </w:rPr>
        <w:t>两个探究活动过程中，学生都被鼓励主动提问，个性化获取补充信息，分析已有材料信息时，自由提问阅读困惑，这为后续学生提出的小组观点及其逻辑论证的有效关联提供保障，致力于促进学生鉴别、选择、合理运用证据科学有力地解释结论的能力，</w:t>
      </w:r>
      <w:r>
        <w:rPr>
          <w:rFonts w:ascii="宋体" w:hAnsi="宋体" w:eastAsia="宋体" w:cs="宋体"/>
          <w:sz w:val="24"/>
          <w:szCs w:val="24"/>
        </w:rPr>
        <w:t>学生间相互评价不仅可以相互学习，取长补短，还能在找出别人不足和错误的同时，避免自己犯同样的错误。</w:t>
      </w:r>
      <w:r>
        <w:rPr>
          <w:rFonts w:hint="eastAsia" w:ascii="宋体" w:hAnsi="宋体" w:cs="宋体"/>
          <w:sz w:val="24"/>
          <w:szCs w:val="24"/>
          <w:lang w:val="en-US" w:eastAsia="zh-CN"/>
        </w:rPr>
        <w:t>评价中</w:t>
      </w:r>
      <w:r>
        <w:rPr>
          <w:rFonts w:ascii="宋体" w:hAnsi="宋体" w:eastAsia="宋体" w:cs="宋体"/>
          <w:sz w:val="24"/>
          <w:szCs w:val="24"/>
        </w:rPr>
        <w:t>以教师为主体，</w:t>
      </w:r>
      <w:r>
        <w:rPr>
          <w:rFonts w:hint="eastAsia" w:ascii="宋体" w:hAnsi="宋体" w:cs="宋体"/>
          <w:sz w:val="24"/>
          <w:szCs w:val="24"/>
          <w:lang w:val="en-US" w:eastAsia="zh-CN"/>
        </w:rPr>
        <w:t>也</w:t>
      </w:r>
      <w:r>
        <w:rPr>
          <w:rFonts w:ascii="宋体" w:hAnsi="宋体" w:eastAsia="宋体" w:cs="宋体"/>
          <w:sz w:val="24"/>
          <w:szCs w:val="24"/>
        </w:rPr>
        <w:t>让</w:t>
      </w:r>
      <w:r>
        <w:rPr>
          <w:rFonts w:hint="eastAsia" w:ascii="宋体" w:hAnsi="宋体" w:cs="宋体"/>
          <w:sz w:val="24"/>
          <w:szCs w:val="24"/>
          <w:lang w:val="en-US" w:eastAsia="zh-CN"/>
        </w:rPr>
        <w:t>更多</w:t>
      </w:r>
      <w:r>
        <w:rPr>
          <w:rFonts w:ascii="宋体" w:hAnsi="宋体" w:eastAsia="宋体" w:cs="宋体"/>
          <w:sz w:val="24"/>
          <w:szCs w:val="24"/>
        </w:rPr>
        <w:t>学生参与其中，通过生生互评，促进学生独立思考</w:t>
      </w:r>
      <w:r>
        <w:rPr>
          <w:rFonts w:hint="eastAsia" w:ascii="宋体" w:hAnsi="宋体" w:cs="宋体"/>
          <w:sz w:val="24"/>
          <w:szCs w:val="24"/>
          <w:lang w:eastAsia="zh-CN"/>
        </w:rPr>
        <w:t>。</w:t>
      </w:r>
    </w:p>
    <w:p>
      <w:pPr>
        <w:numPr>
          <w:ilvl w:val="0"/>
          <w:numId w:val="2"/>
        </w:numPr>
        <w:autoSpaceDE w:val="0"/>
        <w:autoSpaceDN w:val="0"/>
        <w:adjustRightInd w:val="0"/>
        <w:spacing w:line="360" w:lineRule="auto"/>
        <w:ind w:firstLine="480" w:firstLineChars="200"/>
        <w:jc w:val="left"/>
        <w:rPr>
          <w:rFonts w:ascii="宋体" w:hAnsi="宋体" w:eastAsia="宋体" w:cs="宋体"/>
          <w:sz w:val="24"/>
          <w:szCs w:val="24"/>
        </w:rPr>
      </w:pPr>
      <w:r>
        <w:rPr>
          <w:rFonts w:ascii="宋体" w:hAnsi="宋体" w:eastAsia="宋体" w:cs="宋体"/>
          <w:sz w:val="24"/>
          <w:szCs w:val="24"/>
        </w:rPr>
        <w:t>评价方式多元化，激发学生学习兴趣 学生的学习能力体现在各个方面，各自有各自的优势。因此，学生在学习过程中的表现不能仅用结果来衡量，也不能用单一的方式评价，而要从多维度进行综合评价，这样才能更好地激发学生的数学学习兴趣。</w:t>
      </w:r>
    </w:p>
    <w:p>
      <w:pPr>
        <w:numPr>
          <w:ilvl w:val="0"/>
          <w:numId w:val="0"/>
        </w:numPr>
        <w:autoSpaceDE w:val="0"/>
        <w:autoSpaceDN w:val="0"/>
        <w:adjustRightInd w:val="0"/>
        <w:spacing w:line="360" w:lineRule="auto"/>
        <w:ind w:firstLine="480" w:firstLineChars="200"/>
        <w:jc w:val="left"/>
        <w:rPr>
          <w:rFonts w:ascii="宋体" w:hAnsi="宋体" w:eastAsia="宋体" w:cs="宋体"/>
          <w:sz w:val="24"/>
          <w:szCs w:val="24"/>
        </w:rPr>
      </w:pPr>
      <w:r>
        <w:rPr>
          <w:rFonts w:ascii="宋体" w:hAnsi="宋体" w:eastAsia="宋体" w:cs="宋体"/>
          <w:sz w:val="24"/>
          <w:szCs w:val="24"/>
        </w:rPr>
        <w:t>以第</w:t>
      </w:r>
      <w:r>
        <w:rPr>
          <w:rFonts w:hint="eastAsia" w:ascii="宋体" w:hAnsi="宋体" w:cs="宋体"/>
          <w:sz w:val="24"/>
          <w:szCs w:val="24"/>
          <w:lang w:val="en-US" w:eastAsia="zh-CN"/>
        </w:rPr>
        <w:t>4</w:t>
      </w:r>
      <w:r>
        <w:rPr>
          <w:rFonts w:ascii="宋体" w:hAnsi="宋体" w:eastAsia="宋体" w:cs="宋体"/>
          <w:sz w:val="24"/>
          <w:szCs w:val="24"/>
        </w:rPr>
        <w:t>课时评价表为例（见表</w:t>
      </w:r>
      <w:r>
        <w:rPr>
          <w:rFonts w:hint="eastAsia" w:ascii="宋体" w:hAnsi="宋体" w:cs="宋体"/>
          <w:sz w:val="24"/>
          <w:szCs w:val="24"/>
          <w:lang w:val="en-US" w:eastAsia="zh-CN"/>
        </w:rPr>
        <w:t>2</w:t>
      </w:r>
      <w:r>
        <w:rPr>
          <w:rFonts w:ascii="宋体" w:hAnsi="宋体" w:eastAsia="宋体" w:cs="宋体"/>
          <w:sz w:val="24"/>
          <w:szCs w:val="24"/>
        </w:rPr>
        <w:t>），评价指标中过程与结果并重，既有对最终成品的考核，也将学习过程中学生知识的学习与应用，资料的收集与处理，参与活动的情感态度等都纳入了评价范围。这样全面、多元的评价促进了学生的学习积极性，也为后续的跨学科活动打下了扎实的基础。</w:t>
      </w:r>
    </w:p>
    <w:p>
      <w:pPr>
        <w:spacing w:line="360" w:lineRule="auto"/>
        <w:ind w:firstLine="400" w:firstLineChars="200"/>
        <w:jc w:val="center"/>
        <w:rPr>
          <w:rFonts w:hint="eastAsia" w:ascii="微软雅黑" w:hAnsi="微软雅黑" w:eastAsia="微软雅黑"/>
          <w:sz w:val="20"/>
          <w:szCs w:val="20"/>
          <w:lang w:val="en-US" w:eastAsia="zh-CN"/>
        </w:rPr>
      </w:pPr>
      <w:r>
        <w:rPr>
          <w:rFonts w:hint="eastAsia" w:ascii="微软雅黑" w:hAnsi="微软雅黑" w:eastAsia="微软雅黑"/>
          <w:sz w:val="20"/>
          <w:szCs w:val="20"/>
          <w:lang w:val="en-US" w:eastAsia="zh-CN"/>
        </w:rPr>
        <w:t>表2 第4课时评价表</w:t>
      </w:r>
    </w:p>
    <w:tbl>
      <w:tblPr>
        <w:tblStyle w:val="6"/>
        <w:tblW w:w="5607" w:type="pct"/>
        <w:tblInd w:w="-4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8"/>
        <w:gridCol w:w="1341"/>
        <w:gridCol w:w="4511"/>
        <w:gridCol w:w="1386"/>
        <w:gridCol w:w="13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506"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维度</w:t>
            </w:r>
          </w:p>
        </w:tc>
        <w:tc>
          <w:tcPr>
            <w:tcW w:w="701"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w:t>
            </w:r>
          </w:p>
        </w:tc>
        <w:tc>
          <w:tcPr>
            <w:tcW w:w="2360"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内容要素</w:t>
            </w:r>
          </w:p>
        </w:tc>
        <w:tc>
          <w:tcPr>
            <w:tcW w:w="1431" w:type="pct"/>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01" w:type="pct"/>
            <w:vMerge w:val="continue"/>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360" w:type="pct"/>
            <w:vMerge w:val="continue"/>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自己</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restar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表现性评价</w:t>
            </w: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查阅资料</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查阅图文资料，收集不同品种的耐盐碱稻习性特征和区域地理环境特征</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筛选资料</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能筛选收集相关区域气候、地形、土壤、水分条件资料，查阅了相关水稻品种、生长期、熟制、生产方式等特征</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方案记录与收集</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运用相关资料设计自己的试验方案，运用相关证据解释自己实验设计的依据</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情感态度评价</w:t>
            </w: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合作交流</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主动与组内同伴合作、交流、分享，能认真倾听他人想法</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noWrap/>
            <w:vAlign w:val="center"/>
          </w:tcPr>
          <w:p>
            <w:pPr>
              <w:jc w:val="center"/>
              <w:rPr>
                <w:rFonts w:hint="eastAsia" w:ascii="仿宋" w:hAnsi="仿宋" w:eastAsia="仿宋" w:cs="仿宋"/>
                <w:i w:val="0"/>
                <w:iCs w:val="0"/>
                <w:color w:val="000000"/>
                <w:sz w:val="21"/>
                <w:szCs w:val="21"/>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积极思考</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能围绕主题进行探讨，展开学习，积极思考，设计相关实验方案</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noWrap/>
            <w:vAlign w:val="center"/>
          </w:tcPr>
          <w:p>
            <w:pPr>
              <w:jc w:val="center"/>
              <w:rPr>
                <w:rFonts w:hint="eastAsia" w:ascii="仿宋" w:hAnsi="仿宋" w:eastAsia="仿宋" w:cs="仿宋"/>
                <w:i w:val="0"/>
                <w:iCs w:val="0"/>
                <w:color w:val="000000"/>
                <w:sz w:val="21"/>
                <w:szCs w:val="21"/>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勇于表达</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敢于表达自己的想法，积极参与小组活动</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vMerge w:val="continue"/>
            <w:tcBorders>
              <w:top w:val="nil"/>
              <w:left w:val="nil"/>
              <w:bottom w:val="nil"/>
              <w:right w:val="nil"/>
            </w:tcBorders>
            <w:shd w:val="clear" w:color="auto" w:fill="auto"/>
            <w:noWrap/>
            <w:vAlign w:val="center"/>
          </w:tcPr>
          <w:p>
            <w:pPr>
              <w:jc w:val="center"/>
              <w:rPr>
                <w:rFonts w:hint="eastAsia" w:ascii="仿宋" w:hAnsi="仿宋" w:eastAsia="仿宋" w:cs="仿宋"/>
                <w:i w:val="0"/>
                <w:iCs w:val="0"/>
                <w:color w:val="000000"/>
                <w:sz w:val="21"/>
                <w:szCs w:val="21"/>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探索求知</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对实验方案有进一步探究的想法和愿望</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结果性评价</w:t>
            </w:r>
          </w:p>
        </w:tc>
        <w:tc>
          <w:tcPr>
            <w:tcW w:w="70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设计方案分析应用</w:t>
            </w:r>
          </w:p>
        </w:tc>
        <w:tc>
          <w:tcPr>
            <w:tcW w:w="236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形成科学合理的实验方案，其中符合实验设计的一般原则并且能合理地分析实验结果，归纳相关数据</w:t>
            </w:r>
          </w:p>
        </w:tc>
        <w:tc>
          <w:tcPr>
            <w:tcW w:w="72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0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bl>
    <w:p>
      <w:pPr>
        <w:spacing w:line="360" w:lineRule="auto"/>
        <w:ind w:firstLine="480" w:firstLineChars="200"/>
        <w:rPr>
          <w:rFonts w:hint="eastAsia" w:ascii="宋体" w:hAnsi="宋体"/>
          <w:sz w:val="24"/>
          <w:szCs w:val="24"/>
        </w:rPr>
      </w:pPr>
    </w:p>
    <w:p>
      <w:pPr>
        <w:numPr>
          <w:ilvl w:val="0"/>
          <w:numId w:val="3"/>
        </w:numPr>
        <w:spacing w:line="360" w:lineRule="auto"/>
        <w:rPr>
          <w:rFonts w:ascii="宋体" w:hAnsi="宋体" w:eastAsia="宋体" w:cs="宋体"/>
          <w:sz w:val="24"/>
          <w:szCs w:val="24"/>
        </w:rPr>
      </w:pPr>
      <w:r>
        <w:rPr>
          <w:rFonts w:ascii="宋体" w:hAnsi="宋体" w:eastAsia="宋体" w:cs="宋体"/>
          <w:sz w:val="24"/>
          <w:szCs w:val="24"/>
        </w:rPr>
        <w:t>表现性评价的建构</w:t>
      </w:r>
    </w:p>
    <w:p>
      <w:pPr>
        <w:numPr>
          <w:ilvl w:val="0"/>
          <w:numId w:val="0"/>
        </w:numPr>
        <w:spacing w:line="360" w:lineRule="auto"/>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w:t>
      </w:r>
      <w:r>
        <w:rPr>
          <w:rFonts w:hint="eastAsia" w:ascii="宋体" w:hAnsi="宋体"/>
          <w:b/>
          <w:bCs/>
          <w:color w:val="000000" w:themeColor="text1"/>
          <w:sz w:val="24"/>
          <w:szCs w:val="24"/>
          <w:lang w:val="en-US" w:eastAsia="zh-CN"/>
          <w14:textFill>
            <w14:solidFill>
              <w14:schemeClr w14:val="tx1"/>
            </w14:solidFill>
          </w14:textFill>
        </w:rPr>
        <w:t>一</w:t>
      </w:r>
      <w:r>
        <w:rPr>
          <w:rFonts w:hint="eastAsia" w:ascii="宋体" w:hAnsi="宋体"/>
          <w:b/>
          <w:bCs/>
          <w:color w:val="000000" w:themeColor="text1"/>
          <w:sz w:val="24"/>
          <w:szCs w:val="24"/>
          <w:lang w:eastAsia="zh-CN"/>
          <w14:textFill>
            <w14:solidFill>
              <w14:schemeClr w14:val="tx1"/>
            </w14:solidFill>
          </w14:textFill>
        </w:rPr>
        <w:t>）明确实施表现性评价的步骤</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确定评价标准→设计表现性任务→构建评分量规→实施评价活动→汇总评价资料→达成评价结果→分析评价结果→反思改进。</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以“确定评价标准”为例，评价标准应基于评价建构框架设计的基础上生成</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表现过程中的可视化或可量化监测的具体任务和具体学习活动。要从知识、技能、</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情感态度价值观等方面提出，重视学生核心素养和能力的培养。为了让评价更具</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可操作性，应注意评价标准的量规不宜太多。如下观察表3是在跨学科主题学习中的小组汇报对汇报能力的描述，细致的描述会引导学生增强表达能力，发展创新思维。</w:t>
      </w:r>
    </w:p>
    <w:p>
      <w:pPr>
        <w:spacing w:line="360" w:lineRule="auto"/>
        <w:ind w:firstLine="400" w:firstLineChars="200"/>
        <w:jc w:val="center"/>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表3 小组汇报观察表</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drawing>
          <wp:inline distT="0" distB="0" distL="114300" distR="114300">
            <wp:extent cx="5271770" cy="2931795"/>
            <wp:effectExtent l="0" t="0" r="0" b="0"/>
            <wp:docPr id="2" name="图片 2" descr="171066086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0660863462"/>
                    <pic:cNvPicPr>
                      <a:picLocks noChangeAspect="1"/>
                    </pic:cNvPicPr>
                  </pic:nvPicPr>
                  <pic:blipFill>
                    <a:blip r:embed="rId7"/>
                    <a:srcRect t="6025"/>
                    <a:stretch>
                      <a:fillRect/>
                    </a:stretch>
                  </pic:blipFill>
                  <pic:spPr>
                    <a:xfrm>
                      <a:off x="0" y="0"/>
                      <a:ext cx="5271770" cy="2931795"/>
                    </a:xfrm>
                    <a:prstGeom prst="rect">
                      <a:avLst/>
                    </a:prstGeom>
                  </pic:spPr>
                </pic:pic>
              </a:graphicData>
            </a:graphic>
          </wp:inline>
        </w:drawing>
      </w:r>
    </w:p>
    <w:p>
      <w:pPr>
        <w:numPr>
          <w:ilvl w:val="0"/>
          <w:numId w:val="0"/>
        </w:numPr>
        <w:spacing w:line="360" w:lineRule="auto"/>
        <w:rPr>
          <w:rFonts w:hint="eastAsia" w:ascii="宋体" w:hAnsi="宋体"/>
          <w:b/>
          <w:bCs/>
          <w:color w:val="000000" w:themeColor="text1"/>
          <w:sz w:val="24"/>
          <w:szCs w:val="24"/>
          <w:lang w:eastAsia="zh-CN"/>
          <w14:textFill>
            <w14:solidFill>
              <w14:schemeClr w14:val="tx1"/>
            </w14:solidFill>
          </w14:textFill>
        </w:rPr>
      </w:pPr>
      <w:bookmarkStart w:id="0" w:name="OLE_LINK1"/>
      <w:r>
        <w:rPr>
          <w:rFonts w:hint="eastAsia" w:ascii="宋体" w:hAnsi="宋体"/>
          <w:b/>
          <w:bCs/>
          <w:color w:val="000000" w:themeColor="text1"/>
          <w:sz w:val="24"/>
          <w:szCs w:val="24"/>
          <w:lang w:val="en-US" w:eastAsia="zh-CN"/>
          <w14:textFill>
            <w14:solidFill>
              <w14:schemeClr w14:val="tx1"/>
            </w14:solidFill>
          </w14:textFill>
        </w:rPr>
        <w:t xml:space="preserve">（二）以任务链作为表现性评价实施的基本路径 </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 xml:space="preserve">前期，通过以目标为导向的“逆向设计”对跨学科的主题单元表现性评价指 </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标、评分标准确立之后，再亟待解决的问题就是如何将表现性的评价指标与学生 的跨学科学习活</w:t>
      </w:r>
      <w:bookmarkEnd w:id="0"/>
      <w:r>
        <w:rPr>
          <w:rFonts w:hint="eastAsia" w:ascii="宋体" w:hAnsi="宋体"/>
          <w:sz w:val="24"/>
          <w:szCs w:val="24"/>
          <w:lang w:val="en-US" w:eastAsia="zh-CN"/>
        </w:rPr>
        <w:t xml:space="preserve">动相整合做到有效评价。学生完整的跨学科学习活动是长时性的，是由多个具有挑战性与开放性的学习活动环环相扣构成的，每一阶段的学习活动 </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 xml:space="preserve">都应具备适配的评价标准，用以判断是否可以向下一环节推进。因此本案例将整 </w:t>
      </w:r>
    </w:p>
    <w:p>
      <w:pPr>
        <w:spacing w:line="360" w:lineRule="auto"/>
        <w:rPr>
          <w:rFonts w:hint="eastAsia" w:ascii="宋体" w:hAnsi="宋体"/>
          <w:sz w:val="24"/>
          <w:szCs w:val="24"/>
        </w:rPr>
      </w:pPr>
      <w:r>
        <w:rPr>
          <w:rFonts w:hint="eastAsia" w:ascii="宋体" w:hAnsi="宋体"/>
          <w:sz w:val="24"/>
          <w:szCs w:val="24"/>
          <w:lang w:val="en-US" w:eastAsia="zh-CN"/>
        </w:rPr>
        <w:t>体的跨学课学习活动进行任务分解，以分课时任务链为线索，主题单元表现性评价指标 为依据，将评价标准进一步细化，适配于跨学科学习中的每个子任务。</w:t>
      </w:r>
    </w:p>
    <w:p>
      <w:pPr>
        <w:spacing w:line="360" w:lineRule="auto"/>
        <w:ind w:firstLine="480" w:firstLineChars="200"/>
        <w:rPr>
          <w:rFonts w:ascii="宋体" w:hAnsi="宋体"/>
          <w:sz w:val="24"/>
          <w:szCs w:val="24"/>
        </w:rPr>
      </w:pPr>
      <w:r>
        <w:rPr>
          <w:rFonts w:hint="eastAsia" w:ascii="宋体" w:hAnsi="宋体"/>
          <w:sz w:val="24"/>
          <w:szCs w:val="24"/>
        </w:rPr>
        <w:t>为达成教学目标，我们设置了以下</w:t>
      </w:r>
      <w:r>
        <w:rPr>
          <w:rFonts w:hint="eastAsia" w:ascii="宋体" w:hAnsi="宋体"/>
          <w:sz w:val="24"/>
          <w:szCs w:val="24"/>
          <w:lang w:val="en-US" w:eastAsia="zh-CN"/>
        </w:rPr>
        <w:t>分课时主题对应的</w:t>
      </w:r>
      <w:r>
        <w:rPr>
          <w:rFonts w:hint="eastAsia" w:ascii="宋体" w:hAnsi="宋体"/>
          <w:sz w:val="24"/>
          <w:szCs w:val="24"/>
        </w:rPr>
        <w:t>教学任务，并匹配了相应的表现性评价，如下图</w:t>
      </w:r>
      <w:r>
        <w:rPr>
          <w:rFonts w:hint="eastAsia" w:ascii="宋体" w:hAnsi="宋体"/>
          <w:sz w:val="24"/>
          <w:szCs w:val="24"/>
          <w:lang w:val="en-US" w:eastAsia="zh-CN"/>
        </w:rPr>
        <w:t>3</w:t>
      </w:r>
      <w:r>
        <w:rPr>
          <w:rFonts w:hint="eastAsia" w:ascii="宋体" w:hAnsi="宋体"/>
          <w:sz w:val="24"/>
          <w:szCs w:val="24"/>
        </w:rPr>
        <w:t>所示。</w:t>
      </w:r>
    </w:p>
    <w:p>
      <w:pPr>
        <w:spacing w:line="360" w:lineRule="auto"/>
        <w:jc w:val="center"/>
        <w:rPr>
          <w:rFonts w:ascii="宋体" w:hAnsi="宋体"/>
          <w:sz w:val="24"/>
          <w:szCs w:val="24"/>
        </w:rPr>
      </w:pPr>
      <w:r>
        <w:rPr>
          <w:rFonts w:ascii="宋体" w:hAnsi="宋体"/>
          <w:sz w:val="24"/>
          <w:szCs w:val="24"/>
        </w:rPr>
        <w:drawing>
          <wp:inline distT="0" distB="0" distL="0" distR="0">
            <wp:extent cx="5346700" cy="2990850"/>
            <wp:effectExtent l="0" t="0" r="0" b="1206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346700" cy="2990850"/>
                    </a:xfrm>
                    <a:prstGeom prst="rect">
                      <a:avLst/>
                    </a:prstGeom>
                    <a:noFill/>
                  </pic:spPr>
                </pic:pic>
              </a:graphicData>
            </a:graphic>
          </wp:inline>
        </w:drawing>
      </w:r>
    </w:p>
    <w:p>
      <w:pPr>
        <w:spacing w:line="360" w:lineRule="auto"/>
        <w:jc w:val="center"/>
        <w:rPr>
          <w:rFonts w:hint="eastAsia" w:ascii="宋体" w:hAnsi="宋体"/>
          <w:sz w:val="24"/>
          <w:szCs w:val="24"/>
        </w:rPr>
      </w:pPr>
      <w:r>
        <w:rPr>
          <w:rFonts w:hint="eastAsia" w:ascii="微软雅黑" w:hAnsi="微软雅黑" w:eastAsia="微软雅黑"/>
          <w:sz w:val="20"/>
          <w:szCs w:val="20"/>
        </w:rPr>
        <w:t>图</w:t>
      </w:r>
      <w:r>
        <w:rPr>
          <w:rFonts w:hint="eastAsia" w:ascii="微软雅黑" w:hAnsi="微软雅黑" w:eastAsia="微软雅黑"/>
          <w:sz w:val="20"/>
          <w:szCs w:val="20"/>
          <w:lang w:val="en-US" w:eastAsia="zh-CN"/>
        </w:rPr>
        <w:t>3</w:t>
      </w:r>
      <w:r>
        <w:rPr>
          <w:rFonts w:ascii="微软雅黑" w:hAnsi="微软雅黑" w:eastAsia="微软雅黑"/>
          <w:sz w:val="20"/>
          <w:szCs w:val="20"/>
        </w:rPr>
        <w:t xml:space="preserve"> </w:t>
      </w:r>
      <w:r>
        <w:rPr>
          <w:rFonts w:hint="eastAsia" w:ascii="微软雅黑" w:hAnsi="微软雅黑" w:eastAsia="微软雅黑"/>
          <w:sz w:val="20"/>
          <w:szCs w:val="20"/>
        </w:rPr>
        <w:t>“我国水稻种植业”</w:t>
      </w:r>
      <w:r>
        <w:rPr>
          <w:rFonts w:hint="eastAsia" w:ascii="微软雅黑" w:hAnsi="微软雅黑" w:eastAsia="微软雅黑"/>
          <w:sz w:val="20"/>
          <w:szCs w:val="20"/>
          <w:lang w:val="en-US" w:eastAsia="zh-CN"/>
        </w:rPr>
        <w:t>分课时任务链</w:t>
      </w:r>
    </w:p>
    <w:p>
      <w:pPr>
        <w:spacing w:line="360" w:lineRule="auto"/>
        <w:ind w:firstLine="480" w:firstLineChars="200"/>
        <w:rPr>
          <w:rFonts w:hint="eastAsia" w:ascii="宋体" w:hAnsi="宋体"/>
          <w:sz w:val="24"/>
          <w:szCs w:val="24"/>
          <w:lang w:eastAsia="zh-CN"/>
        </w:rPr>
      </w:pPr>
      <w:r>
        <w:rPr>
          <w:rFonts w:hint="eastAsia" w:ascii="宋体" w:hAnsi="宋体"/>
          <w:sz w:val="24"/>
          <w:szCs w:val="24"/>
        </w:rPr>
        <w:t>例如，“</w:t>
      </w:r>
      <w:r>
        <w:rPr>
          <w:rFonts w:hint="eastAsia" w:ascii="宋体" w:hAnsi="宋体"/>
          <w:sz w:val="24"/>
          <w:szCs w:val="24"/>
          <w:lang w:val="en-US" w:eastAsia="zh-CN"/>
        </w:rPr>
        <w:t>设计实验方案进行探究验证</w:t>
      </w:r>
      <w:r>
        <w:rPr>
          <w:rFonts w:hint="eastAsia" w:ascii="宋体" w:hAnsi="宋体"/>
          <w:sz w:val="24"/>
          <w:szCs w:val="24"/>
        </w:rPr>
        <w:t>”在这一子任务中，学生要完成的挑战是根据小组确定的研究主题</w:t>
      </w:r>
      <w:r>
        <w:rPr>
          <w:rFonts w:hint="eastAsia" w:ascii="宋体" w:hAnsi="宋体"/>
          <w:sz w:val="24"/>
          <w:szCs w:val="24"/>
          <w:lang w:val="en-US" w:eastAsia="zh-CN"/>
        </w:rPr>
        <w:t>收集资料并且加以筛选</w:t>
      </w:r>
      <w:r>
        <w:rPr>
          <w:rFonts w:hint="eastAsia" w:ascii="宋体" w:hAnsi="宋体"/>
          <w:sz w:val="24"/>
          <w:szCs w:val="24"/>
        </w:rPr>
        <w:t>，通过小组合作设计</w:t>
      </w:r>
      <w:r>
        <w:rPr>
          <w:rFonts w:hint="eastAsia" w:ascii="宋体" w:hAnsi="宋体"/>
          <w:sz w:val="24"/>
          <w:szCs w:val="24"/>
          <w:lang w:val="en-US" w:eastAsia="zh-CN"/>
        </w:rPr>
        <w:t>实验</w:t>
      </w:r>
      <w:r>
        <w:rPr>
          <w:rFonts w:hint="eastAsia" w:ascii="宋体" w:hAnsi="宋体"/>
          <w:sz w:val="24"/>
          <w:szCs w:val="24"/>
        </w:rPr>
        <w:t>方案</w:t>
      </w:r>
      <w:r>
        <w:rPr>
          <w:rFonts w:hint="eastAsia" w:ascii="宋体" w:hAnsi="宋体"/>
          <w:sz w:val="24"/>
          <w:szCs w:val="24"/>
          <w:lang w:val="en-US" w:eastAsia="zh-CN"/>
        </w:rPr>
        <w:t>筛选最具有推广价值的水稻品种</w:t>
      </w:r>
      <w:r>
        <w:rPr>
          <w:rFonts w:hint="eastAsia" w:ascii="宋体" w:hAnsi="宋体"/>
          <w:sz w:val="24"/>
          <w:szCs w:val="24"/>
        </w:rPr>
        <w:t>。在这个环节中，针对性的主题单元表现性评价指标为“</w:t>
      </w:r>
      <w:r>
        <w:rPr>
          <w:rFonts w:hint="eastAsia" w:ascii="宋体" w:hAnsi="宋体"/>
          <w:sz w:val="24"/>
          <w:szCs w:val="24"/>
          <w:lang w:val="en-US" w:eastAsia="zh-CN"/>
        </w:rPr>
        <w:t>资料</w:t>
      </w:r>
      <w:r>
        <w:rPr>
          <w:rFonts w:hint="eastAsia" w:ascii="宋体" w:hAnsi="宋体"/>
          <w:sz w:val="24"/>
          <w:szCs w:val="24"/>
        </w:rPr>
        <w:t>收集”“</w:t>
      </w:r>
      <w:r>
        <w:rPr>
          <w:rFonts w:hint="eastAsia" w:ascii="宋体" w:hAnsi="宋体"/>
          <w:sz w:val="24"/>
          <w:szCs w:val="24"/>
          <w:lang w:val="en-US" w:eastAsia="zh-CN"/>
        </w:rPr>
        <w:t>资料应用</w:t>
      </w:r>
      <w:r>
        <w:rPr>
          <w:rFonts w:hint="eastAsia" w:ascii="宋体" w:hAnsi="宋体"/>
          <w:sz w:val="24"/>
          <w:szCs w:val="24"/>
        </w:rPr>
        <w:t>”“小组合作”，对这三个大指标进行评价角度的细化，形成如下的观察评价表</w:t>
      </w:r>
      <w:r>
        <w:rPr>
          <w:rFonts w:hint="eastAsia" w:ascii="宋体" w:hAnsi="宋体"/>
          <w:sz w:val="24"/>
          <w:szCs w:val="24"/>
          <w:lang w:eastAsia="zh-CN"/>
        </w:rPr>
        <w:t>（</w:t>
      </w:r>
      <w:r>
        <w:rPr>
          <w:rFonts w:hint="eastAsia" w:ascii="宋体" w:hAnsi="宋体"/>
          <w:sz w:val="24"/>
          <w:szCs w:val="24"/>
          <w:lang w:val="en-US" w:eastAsia="zh-CN"/>
        </w:rPr>
        <w:t>表4</w:t>
      </w:r>
      <w:r>
        <w:rPr>
          <w:rFonts w:hint="eastAsia" w:ascii="宋体" w:hAnsi="宋体"/>
          <w:sz w:val="24"/>
          <w:szCs w:val="24"/>
          <w:lang w:eastAsia="zh-CN"/>
        </w:rPr>
        <w:t>）</w:t>
      </w:r>
      <w:r>
        <w:rPr>
          <w:rFonts w:hint="eastAsia" w:ascii="宋体" w:hAnsi="宋体"/>
          <w:sz w:val="24"/>
          <w:szCs w:val="24"/>
        </w:rPr>
        <w:t>，即时评价与反馈，达到表现性评价的有效实施</w:t>
      </w:r>
      <w:r>
        <w:rPr>
          <w:rFonts w:hint="eastAsia" w:ascii="宋体" w:hAnsi="宋体"/>
          <w:sz w:val="24"/>
          <w:szCs w:val="24"/>
          <w:lang w:eastAsia="zh-CN"/>
        </w:rPr>
        <w:t>。</w:t>
      </w:r>
    </w:p>
    <w:p>
      <w:pPr>
        <w:spacing w:line="360" w:lineRule="auto"/>
        <w:jc w:val="center"/>
        <w:rPr>
          <w:rFonts w:hint="eastAsia" w:ascii="微软雅黑" w:hAnsi="微软雅黑" w:eastAsia="微软雅黑"/>
          <w:sz w:val="20"/>
          <w:szCs w:val="20"/>
          <w:lang w:eastAsia="zh-CN"/>
        </w:rPr>
      </w:pPr>
      <w:r>
        <w:rPr>
          <w:rFonts w:hint="eastAsia" w:ascii="微软雅黑" w:hAnsi="微软雅黑" w:eastAsia="微软雅黑"/>
          <w:sz w:val="20"/>
          <w:szCs w:val="20"/>
          <w:lang w:val="en-US" w:eastAsia="zh-CN"/>
        </w:rPr>
        <w:t>表4 资料收集——活动观察评价表</w:t>
      </w:r>
    </w:p>
    <w:tbl>
      <w:tblPr>
        <w:tblStyle w:val="6"/>
        <w:tblW w:w="43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8"/>
        <w:gridCol w:w="1596"/>
        <w:gridCol w:w="1461"/>
        <w:gridCol w:w="1429"/>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103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维度</w:t>
            </w:r>
          </w:p>
        </w:tc>
        <w:tc>
          <w:tcPr>
            <w:tcW w:w="106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w:t>
            </w:r>
          </w:p>
        </w:tc>
        <w:tc>
          <w:tcPr>
            <w:tcW w:w="97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水平3</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（完全达成）</w:t>
            </w:r>
          </w:p>
        </w:tc>
        <w:tc>
          <w:tcPr>
            <w:tcW w:w="95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水平2</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（部分达成）</w:t>
            </w:r>
          </w:p>
        </w:tc>
        <w:tc>
          <w:tcPr>
            <w:tcW w:w="96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水平1</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（未达成）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1035" w:type="pct"/>
            <w:vMerge w:val="restar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表现性评价</w:t>
            </w:r>
          </w:p>
        </w:tc>
        <w:tc>
          <w:tcPr>
            <w:tcW w:w="106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资料收集</w:t>
            </w:r>
          </w:p>
        </w:tc>
        <w:tc>
          <w:tcPr>
            <w:tcW w:w="97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5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035" w:type="pct"/>
            <w:vMerge w:val="continue"/>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6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资料应用</w:t>
            </w:r>
          </w:p>
        </w:tc>
        <w:tc>
          <w:tcPr>
            <w:tcW w:w="97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5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03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情感态度评价</w:t>
            </w:r>
          </w:p>
        </w:tc>
        <w:tc>
          <w:tcPr>
            <w:tcW w:w="106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小组合作</w:t>
            </w:r>
          </w:p>
        </w:tc>
        <w:tc>
          <w:tcPr>
            <w:tcW w:w="97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5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bl>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p>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r>
        <w:rPr>
          <w:rFonts w:hint="eastAsia" w:ascii="宋体" w:hAnsi="宋体"/>
          <w:b/>
          <w:bCs/>
          <w:color w:val="000000" w:themeColor="text1"/>
          <w:sz w:val="24"/>
          <w:szCs w:val="24"/>
          <w:lang w:val="en-US" w:eastAsia="zh-CN"/>
          <w14:textFill>
            <w14:solidFill>
              <w14:schemeClr w14:val="tx1"/>
            </w14:solidFill>
          </w14:textFill>
        </w:rPr>
        <w:t xml:space="preserve">（三）应用信息化平台为表现性评价实施进行赋能 </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 xml:space="preserve"> 以任务链为线索，对整个跨学科的学习活动进行与任务适配的表现性评价，</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以充分发挥评价的指导与调控作用。为了更好的实现这一目标，进而对评价的呈</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现形式进行了思考。在跨学科的学习活动中，学生是主题探究策略的制定者与执</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行者，需要对自身有更清晰的认识，所以表现性评价更应以可视化的形式呈现给</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学生，方便学生对主题探究进行优化调控。</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在对子任务“研究成果，汇报交流”实施表现性评价时，首先对学生进行了评价标准的介绍，使得学生形成科学客观的评价体系。然后学生借助信息化平台进行小组间的展示，利用信息化技术让学生直观的看到自己的评价结果，促进学生对研究成果的反思优化，以达到实施表现性评价的成效。</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drawing>
          <wp:inline distT="0" distB="0" distL="114300" distR="114300">
            <wp:extent cx="4418330" cy="2942590"/>
            <wp:effectExtent l="0" t="0" r="1270" b="13970"/>
            <wp:docPr id="3" name="图片 3" descr="d30a383d4084bcb676456f8cce6d8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30a383d4084bcb676456f8cce6d88e"/>
                    <pic:cNvPicPr>
                      <a:picLocks noChangeAspect="1"/>
                    </pic:cNvPicPr>
                  </pic:nvPicPr>
                  <pic:blipFill>
                    <a:blip r:embed="rId9"/>
                    <a:stretch>
                      <a:fillRect/>
                    </a:stretch>
                  </pic:blipFill>
                  <pic:spPr>
                    <a:xfrm>
                      <a:off x="0" y="0"/>
                      <a:ext cx="4418330" cy="2942590"/>
                    </a:xfrm>
                    <a:prstGeom prst="rect">
                      <a:avLst/>
                    </a:prstGeom>
                  </pic:spPr>
                </pic:pic>
              </a:graphicData>
            </a:graphic>
          </wp:inline>
        </w:drawing>
      </w:r>
    </w:p>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p>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r>
        <w:rPr>
          <w:rFonts w:hint="eastAsia" w:ascii="宋体" w:hAnsi="宋体"/>
          <w:b/>
          <w:bCs/>
          <w:color w:val="000000" w:themeColor="text1"/>
          <w:sz w:val="24"/>
          <w:szCs w:val="24"/>
          <w:lang w:val="en-US" w:eastAsia="zh-CN"/>
          <w14:textFill>
            <w14:solidFill>
              <w14:schemeClr w14:val="tx1"/>
            </w14:solidFill>
          </w14:textFill>
        </w:rPr>
        <w:t xml:space="preserve">（四）以微论坛形式的课外评价指导课内活动实施 </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跨学科主题学习活动可以分为课内和课外活动，课内活动也包含学生的自主探究，整个过程中评价始终伴随。在每次课外活动过程中，教师指导学生在课外 活动中和活动后分阶段对课外活动进行实时的评价总结，笔者尝试根据嵌入微论坛课外评价来分析学生的整体表现和个体差异，通过与本学科教师、其他学科教师、其他学校教师之间交流反思，分析学生的表现性评价，发现优势和不足，聚焦学生的问题，为后续的课内教学活动提供参考。</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drawing>
          <wp:inline distT="0" distB="0" distL="114300" distR="114300">
            <wp:extent cx="4182745" cy="2788920"/>
            <wp:effectExtent l="0" t="0" r="8255" b="0"/>
            <wp:docPr id="4" name="图片 4" descr="005ff38b25f7e3c347d472b0cd2a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05ff38b25f7e3c347d472b0cd2a090"/>
                    <pic:cNvPicPr>
                      <a:picLocks noChangeAspect="1"/>
                    </pic:cNvPicPr>
                  </pic:nvPicPr>
                  <pic:blipFill>
                    <a:blip r:embed="rId10"/>
                    <a:stretch>
                      <a:fillRect/>
                    </a:stretch>
                  </pic:blipFill>
                  <pic:spPr>
                    <a:xfrm>
                      <a:off x="0" y="0"/>
                      <a:ext cx="4182745" cy="2788920"/>
                    </a:xfrm>
                    <a:prstGeom prst="rect">
                      <a:avLst/>
                    </a:prstGeom>
                  </pic:spPr>
                </pic:pic>
              </a:graphicData>
            </a:graphic>
          </wp:inline>
        </w:drawing>
      </w:r>
    </w:p>
    <w:p>
      <w:pPr>
        <w:spacing w:line="360" w:lineRule="auto"/>
        <w:ind w:firstLine="480" w:firstLineChars="200"/>
        <w:rPr>
          <w:rFonts w:hint="eastAsia" w:ascii="宋体" w:hAnsi="宋体"/>
          <w:sz w:val="24"/>
          <w:szCs w:val="24"/>
          <w:lang w:val="en-US" w:eastAsia="zh-CN"/>
        </w:rPr>
      </w:pPr>
    </w:p>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r>
        <w:rPr>
          <w:rFonts w:hint="eastAsia" w:ascii="宋体" w:hAnsi="宋体"/>
          <w:b/>
          <w:bCs/>
          <w:color w:val="000000" w:themeColor="text1"/>
          <w:sz w:val="24"/>
          <w:szCs w:val="24"/>
          <w:lang w:val="en-US" w:eastAsia="zh-CN"/>
          <w14:textFill>
            <w14:solidFill>
              <w14:schemeClr w14:val="tx1"/>
            </w14:solidFill>
          </w14:textFill>
        </w:rPr>
        <w:t xml:space="preserve">（五）分析评价结果并指导学生进行反思改进 </w:t>
      </w: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在第4课时整个跨学科主题学习过程中，针对同一个主题“探究宁夏引黄灌区最适宜推广的水稻品种”，提供学生实验素材不完全相同的报告单，通过设计不同的方案帮助学生理解水稻选种实验方法的适用范畴不同，从中领悟耐盐碱水稻品种选育推广的一般过程。通过组间评价各方案的利弊培养同学们的思辨能力，通过同主题下的异构培养学生们的探究力。学生完成阶段任务后，教师指导学生根据评 价要求完成自评表和互评表等评价表的填写和梳理，同时生成师评，然后将以上 评价结果逐一分析、总结，形成最终评价。教师指导学生反思自己在跨学科主题 学习中在知识方法的习得、问题解决方法、沟通协作能力、探究精神等方面的收 获和不足，进而总结出后续研究和改进的方向。如下小组合作学习组内评价表（表5）能促使学生更好的反思总结，发展综合能力。</w:t>
      </w:r>
    </w:p>
    <w:p>
      <w:pPr>
        <w:spacing w:line="360" w:lineRule="auto"/>
        <w:ind w:firstLine="480" w:firstLineChars="200"/>
        <w:rPr>
          <w:rFonts w:hint="eastAsia" w:ascii="宋体" w:hAnsi="宋体"/>
          <w:sz w:val="24"/>
          <w:szCs w:val="24"/>
          <w:lang w:val="en-US" w:eastAsia="zh-CN"/>
        </w:rPr>
      </w:pPr>
    </w:p>
    <w:p>
      <w:pPr>
        <w:spacing w:line="360" w:lineRule="auto"/>
        <w:jc w:val="center"/>
        <w:rPr>
          <w:rFonts w:hint="eastAsia" w:ascii="微软雅黑" w:hAnsi="微软雅黑" w:eastAsia="微软雅黑"/>
          <w:sz w:val="20"/>
          <w:szCs w:val="20"/>
          <w:lang w:val="en-US" w:eastAsia="zh-CN"/>
        </w:rPr>
      </w:pPr>
    </w:p>
    <w:p>
      <w:pPr>
        <w:spacing w:line="360" w:lineRule="auto"/>
        <w:jc w:val="center"/>
        <w:rPr>
          <w:rFonts w:hint="eastAsia" w:ascii="微软雅黑" w:hAnsi="微软雅黑" w:eastAsia="微软雅黑"/>
          <w:sz w:val="20"/>
          <w:szCs w:val="20"/>
          <w:lang w:val="en-US" w:eastAsia="zh-CN"/>
        </w:rPr>
      </w:pPr>
    </w:p>
    <w:p>
      <w:pPr>
        <w:spacing w:line="360" w:lineRule="auto"/>
        <w:jc w:val="center"/>
        <w:rPr>
          <w:rFonts w:hint="eastAsia" w:ascii="微软雅黑" w:hAnsi="微软雅黑" w:eastAsia="微软雅黑"/>
          <w:sz w:val="20"/>
          <w:szCs w:val="20"/>
          <w:lang w:val="en-US" w:eastAsia="zh-CN"/>
        </w:rPr>
      </w:pPr>
    </w:p>
    <w:p>
      <w:pPr>
        <w:spacing w:line="360" w:lineRule="auto"/>
        <w:jc w:val="center"/>
        <w:rPr>
          <w:rFonts w:hint="eastAsia" w:ascii="微软雅黑" w:hAnsi="微软雅黑" w:eastAsia="微软雅黑"/>
          <w:sz w:val="20"/>
          <w:szCs w:val="20"/>
          <w:lang w:val="en-US" w:eastAsia="zh-CN"/>
        </w:rPr>
      </w:pPr>
    </w:p>
    <w:p>
      <w:pPr>
        <w:spacing w:line="360" w:lineRule="auto"/>
        <w:jc w:val="center"/>
        <w:rPr>
          <w:rFonts w:hint="eastAsia" w:ascii="微软雅黑" w:hAnsi="微软雅黑" w:eastAsia="微软雅黑"/>
          <w:sz w:val="20"/>
          <w:szCs w:val="20"/>
          <w:lang w:val="en-US" w:eastAsia="zh-CN"/>
        </w:rPr>
      </w:pPr>
    </w:p>
    <w:p>
      <w:pPr>
        <w:spacing w:line="360" w:lineRule="auto"/>
        <w:jc w:val="center"/>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表5 小组合作学习组内评价表</w:t>
      </w:r>
    </w:p>
    <w:p>
      <w:pPr>
        <w:keepNext w:val="0"/>
        <w:keepLines w:val="0"/>
        <w:widowControl/>
        <w:suppressLineNumbers w:val="0"/>
        <w:jc w:val="left"/>
        <w:rPr>
          <w:rFonts w:hint="eastAsia" w:ascii="宋体" w:hAnsi="宋体" w:eastAsia="宋体" w:cs="宋体"/>
          <w:b/>
          <w:bCs/>
          <w:color w:val="000000"/>
          <w:kern w:val="0"/>
          <w:sz w:val="23"/>
          <w:szCs w:val="23"/>
          <w:lang w:val="en-US" w:eastAsia="zh-CN" w:bidi="ar"/>
        </w:rPr>
      </w:pPr>
      <w:r>
        <w:rPr>
          <w:rFonts w:hint="eastAsia" w:ascii="宋体" w:hAnsi="宋体" w:eastAsia="宋体" w:cs="宋体"/>
          <w:b/>
          <w:bCs/>
          <w:color w:val="000000"/>
          <w:kern w:val="0"/>
          <w:sz w:val="23"/>
          <w:szCs w:val="23"/>
          <w:lang w:val="en-US" w:eastAsia="zh-CN" w:bidi="ar"/>
        </w:rPr>
        <w:drawing>
          <wp:inline distT="0" distB="0" distL="114300" distR="114300">
            <wp:extent cx="4871720" cy="3589655"/>
            <wp:effectExtent l="0" t="0" r="5080" b="6985"/>
            <wp:docPr id="5" name="图片 5" descr="171066219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10662193318"/>
                    <pic:cNvPicPr>
                      <a:picLocks noChangeAspect="1"/>
                    </pic:cNvPicPr>
                  </pic:nvPicPr>
                  <pic:blipFill>
                    <a:blip r:embed="rId11"/>
                    <a:srcRect t="5949"/>
                    <a:stretch>
                      <a:fillRect/>
                    </a:stretch>
                  </pic:blipFill>
                  <pic:spPr>
                    <a:xfrm>
                      <a:off x="0" y="0"/>
                      <a:ext cx="4871720" cy="3589655"/>
                    </a:xfrm>
                    <a:prstGeom prst="rect">
                      <a:avLst/>
                    </a:prstGeom>
                  </pic:spPr>
                </pic:pic>
              </a:graphicData>
            </a:graphic>
          </wp:inline>
        </w:drawing>
      </w:r>
    </w:p>
    <w:p>
      <w:pPr>
        <w:keepNext w:val="0"/>
        <w:keepLines w:val="0"/>
        <w:widowControl/>
        <w:suppressLineNumbers w:val="0"/>
        <w:jc w:val="left"/>
        <w:rPr>
          <w:rFonts w:hint="eastAsia" w:ascii="宋体" w:hAnsi="宋体" w:eastAsia="宋体" w:cs="宋体"/>
          <w:b/>
          <w:bCs/>
          <w:color w:val="000000"/>
          <w:kern w:val="0"/>
          <w:sz w:val="23"/>
          <w:szCs w:val="23"/>
          <w:lang w:val="en-US" w:eastAsia="zh-CN" w:bidi="ar"/>
        </w:rPr>
      </w:pPr>
    </w:p>
    <w:p>
      <w:pPr>
        <w:keepNext w:val="0"/>
        <w:keepLines w:val="0"/>
        <w:widowControl/>
        <w:suppressLineNumbers w:val="0"/>
        <w:jc w:val="left"/>
        <w:rPr>
          <w:rFonts w:hint="eastAsia" w:ascii="宋体" w:hAnsi="宋体" w:eastAsia="宋体" w:cs="宋体"/>
          <w:b/>
          <w:bCs/>
          <w:color w:val="000000"/>
          <w:kern w:val="0"/>
          <w:sz w:val="23"/>
          <w:szCs w:val="23"/>
          <w:lang w:val="en-US" w:eastAsia="zh-CN" w:bidi="ar"/>
        </w:rPr>
      </w:pPr>
    </w:p>
    <w:p>
      <w:pPr>
        <w:numPr>
          <w:ilvl w:val="0"/>
          <w:numId w:val="0"/>
        </w:numPr>
        <w:spacing w:line="360" w:lineRule="auto"/>
        <w:rPr>
          <w:rFonts w:hint="eastAsia" w:ascii="宋体" w:hAnsi="宋体"/>
          <w:b/>
          <w:bCs/>
          <w:color w:val="000000" w:themeColor="text1"/>
          <w:sz w:val="24"/>
          <w:szCs w:val="24"/>
          <w:lang w:val="en-US" w:eastAsia="zh-CN"/>
          <w14:textFill>
            <w14:solidFill>
              <w14:schemeClr w14:val="tx1"/>
            </w14:solidFill>
          </w14:textFill>
        </w:rPr>
      </w:pPr>
      <w:r>
        <w:rPr>
          <w:rFonts w:hint="eastAsia" w:ascii="宋体" w:hAnsi="宋体"/>
          <w:b/>
          <w:bCs/>
          <w:color w:val="000000" w:themeColor="text1"/>
          <w:sz w:val="24"/>
          <w:szCs w:val="24"/>
          <w:lang w:val="en-US" w:eastAsia="zh-CN"/>
          <w14:textFill>
            <w14:solidFill>
              <w14:schemeClr w14:val="tx1"/>
            </w14:solidFill>
          </w14:textFill>
        </w:rPr>
        <w:t xml:space="preserve">（六）反思改进评价建构提高评价能力 </w:t>
      </w:r>
    </w:p>
    <w:p>
      <w:pPr>
        <w:spacing w:line="360" w:lineRule="auto"/>
        <w:ind w:firstLine="480" w:firstLineChars="200"/>
        <w:rPr>
          <w:rFonts w:ascii="宋体" w:hAnsi="宋体"/>
          <w:sz w:val="24"/>
          <w:szCs w:val="24"/>
        </w:rPr>
      </w:pPr>
      <w:r>
        <w:rPr>
          <w:rFonts w:ascii="宋体" w:hAnsi="宋体"/>
          <w:sz w:val="24"/>
          <w:szCs w:val="24"/>
        </w:rPr>
        <w:t>新课标强调针对不同的跨学科学习内容，应基于核心素养制定多种</w:t>
      </w:r>
      <w:r>
        <w:rPr>
          <w:rFonts w:hint="eastAsia" w:ascii="宋体" w:hAnsi="宋体"/>
          <w:sz w:val="24"/>
          <w:szCs w:val="24"/>
        </w:rPr>
        <w:t>形式的</w:t>
      </w:r>
      <w:r>
        <w:rPr>
          <w:rFonts w:ascii="宋体" w:hAnsi="宋体"/>
          <w:sz w:val="24"/>
          <w:szCs w:val="24"/>
        </w:rPr>
        <w:t>评价量表，如选题评价表、活动过程评价表、作品评价表和综合评价表等，从而用于学生自我诊断、组间评价以及教师的评价反馈</w:t>
      </w:r>
      <w:r>
        <w:rPr>
          <w:rFonts w:hint="eastAsia" w:ascii="宋体" w:hAnsi="宋体"/>
          <w:sz w:val="24"/>
          <w:szCs w:val="24"/>
          <w:vertAlign w:val="superscript"/>
        </w:rPr>
        <w:t>[</w:t>
      </w:r>
      <w:r>
        <w:rPr>
          <w:rFonts w:ascii="宋体" w:hAnsi="宋体"/>
          <w:sz w:val="24"/>
          <w:szCs w:val="24"/>
          <w:vertAlign w:val="superscript"/>
        </w:rPr>
        <w:t>2]</w:t>
      </w:r>
      <w:r>
        <w:rPr>
          <w:rFonts w:ascii="宋体" w:hAnsi="宋体"/>
          <w:sz w:val="24"/>
          <w:szCs w:val="24"/>
        </w:rPr>
        <w:t>。</w:t>
      </w:r>
      <w:r>
        <w:rPr>
          <w:rFonts w:hint="eastAsia" w:ascii="宋体" w:hAnsi="宋体"/>
          <w:sz w:val="24"/>
          <w:szCs w:val="24"/>
        </w:rPr>
        <w:t>针对本课时活动一的探究任务，制定了基于S</w:t>
      </w:r>
      <w:r>
        <w:rPr>
          <w:rFonts w:ascii="宋体" w:hAnsi="宋体"/>
          <w:sz w:val="24"/>
          <w:szCs w:val="24"/>
        </w:rPr>
        <w:t>OLO</w:t>
      </w:r>
      <w:r>
        <w:rPr>
          <w:rFonts w:hint="eastAsia" w:ascii="宋体" w:hAnsi="宋体"/>
          <w:sz w:val="24"/>
          <w:szCs w:val="24"/>
        </w:rPr>
        <w:t>分类理论的评价标准，思维层次由低到高依次为前结构、单点结构、多点结构、关联结构以及抽象扩展结构，如下表</w:t>
      </w:r>
      <w:r>
        <w:rPr>
          <w:rFonts w:hint="eastAsia" w:ascii="宋体" w:hAnsi="宋体"/>
          <w:sz w:val="24"/>
          <w:szCs w:val="24"/>
          <w:lang w:val="en-US" w:eastAsia="zh-CN"/>
        </w:rPr>
        <w:t>6</w:t>
      </w:r>
      <w:r>
        <w:rPr>
          <w:rFonts w:hint="eastAsia" w:ascii="宋体" w:hAnsi="宋体"/>
          <w:sz w:val="24"/>
          <w:szCs w:val="24"/>
        </w:rPr>
        <w:t>和表</w:t>
      </w:r>
      <w:r>
        <w:rPr>
          <w:rFonts w:hint="eastAsia" w:ascii="宋体" w:hAnsi="宋体"/>
          <w:sz w:val="24"/>
          <w:szCs w:val="24"/>
          <w:lang w:val="en-US" w:eastAsia="zh-CN"/>
        </w:rPr>
        <w:t>7</w:t>
      </w:r>
      <w:r>
        <w:rPr>
          <w:rFonts w:hint="eastAsia" w:ascii="宋体" w:hAnsi="宋体"/>
          <w:sz w:val="24"/>
          <w:szCs w:val="24"/>
        </w:rPr>
        <w:t>所示。</w:t>
      </w:r>
    </w:p>
    <w:p>
      <w:pPr>
        <w:spacing w:line="360" w:lineRule="auto"/>
        <w:jc w:val="center"/>
        <w:rPr>
          <w:rFonts w:ascii="宋体" w:hAnsi="宋体"/>
          <w:color w:val="000000" w:themeColor="text1"/>
          <w:sz w:val="24"/>
          <w:szCs w:val="24"/>
          <w14:textFill>
            <w14:solidFill>
              <w14:schemeClr w14:val="tx1"/>
            </w14:solidFill>
          </w14:textFill>
        </w:rPr>
      </w:pPr>
      <w:r>
        <w:rPr>
          <w:rFonts w:hint="eastAsia" w:ascii="微软雅黑" w:hAnsi="微软雅黑" w:eastAsia="微软雅黑"/>
          <w:sz w:val="20"/>
          <w:szCs w:val="20"/>
          <w:lang w:val="en-US" w:eastAsia="zh-CN"/>
        </w:rPr>
        <w:t>表6 基于SOLO分类理论的评价标准</w:t>
      </w:r>
      <w:r>
        <w:rPr>
          <w:rFonts w:hint="eastAsia" w:ascii="宋体" w:hAnsi="宋体"/>
          <w:color w:val="000000" w:themeColor="text1"/>
          <w:sz w:val="24"/>
          <w:szCs w:val="24"/>
          <w:vertAlign w:val="superscript"/>
          <w14:textFill>
            <w14:solidFill>
              <w14:schemeClr w14:val="tx1"/>
            </w14:solidFill>
          </w14:textFill>
        </w:rPr>
        <w:t>[</w:t>
      </w:r>
      <w:r>
        <w:rPr>
          <w:rFonts w:ascii="宋体" w:hAnsi="宋体"/>
          <w:color w:val="000000" w:themeColor="text1"/>
          <w:sz w:val="24"/>
          <w:szCs w:val="24"/>
          <w:vertAlign w:val="superscript"/>
          <w14:textFill>
            <w14:solidFill>
              <w14:schemeClr w14:val="tx1"/>
            </w14:solidFill>
          </w14:textFill>
        </w:rPr>
        <w:t>3]</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919"/>
        <w:gridCol w:w="1701"/>
        <w:gridCol w:w="5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S</w:t>
            </w:r>
            <w:r>
              <w:rPr>
                <w:rFonts w:ascii="宋体" w:hAnsi="宋体"/>
                <w:color w:val="000000" w:themeColor="text1"/>
                <w:sz w:val="22"/>
                <w14:textFill>
                  <w14:solidFill>
                    <w14:schemeClr w14:val="tx1"/>
                  </w14:solidFill>
                </w14:textFill>
              </w:rPr>
              <w:t>OLO</w:t>
            </w:r>
            <w:r>
              <w:rPr>
                <w:rFonts w:hint="eastAsia" w:ascii="宋体" w:hAnsi="宋体"/>
                <w:color w:val="000000" w:themeColor="text1"/>
                <w:sz w:val="22"/>
                <w14:textFill>
                  <w14:solidFill>
                    <w14:schemeClr w14:val="tx1"/>
                  </w14:solidFill>
                </w14:textFill>
              </w:rPr>
              <w:t>层次</w:t>
            </w:r>
          </w:p>
        </w:tc>
        <w:tc>
          <w:tcPr>
            <w:tcW w:w="919"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能力水平</w:t>
            </w:r>
          </w:p>
        </w:tc>
        <w:tc>
          <w:tcPr>
            <w:tcW w:w="1701"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思维操作</w:t>
            </w:r>
          </w:p>
        </w:tc>
        <w:tc>
          <w:tcPr>
            <w:tcW w:w="5040"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活动一回答范例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前</w:t>
            </w:r>
          </w:p>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结构</w:t>
            </w:r>
          </w:p>
        </w:tc>
        <w:tc>
          <w:tcPr>
            <w:tcW w:w="919"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问题线索和解答混淆</w:t>
            </w:r>
          </w:p>
        </w:tc>
        <w:tc>
          <w:tcPr>
            <w:tcW w:w="1701"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拒绝、同义反复、转换、跳跃到个别不适当或不相关的素材</w:t>
            </w:r>
          </w:p>
        </w:tc>
        <w:tc>
          <w:tcPr>
            <w:tcW w:w="5040" w:type="dxa"/>
            <w:vAlign w:val="center"/>
          </w:tcPr>
          <w:p>
            <w:pP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新疆岳普湖县可以种青阳三号水稻，因为它是国标1级优质稻，品质最好，收益高。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单点结构</w:t>
            </w:r>
          </w:p>
        </w:tc>
        <w:tc>
          <w:tcPr>
            <w:tcW w:w="919"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问题线索+单个相关素材</w:t>
            </w:r>
          </w:p>
        </w:tc>
        <w:tc>
          <w:tcPr>
            <w:tcW w:w="1701"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只能联系单一素材概括</w:t>
            </w:r>
          </w:p>
        </w:tc>
        <w:tc>
          <w:tcPr>
            <w:tcW w:w="5040" w:type="dxa"/>
            <w:vAlign w:val="center"/>
          </w:tcPr>
          <w:p>
            <w:pP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福建惠安县可以试种青阳3号耐盐碱稻，因为从熟制来看，当地的热量条件可以满足农作物一年两熟到三熟，而青阳3号全生育期1</w:t>
            </w:r>
            <w:r>
              <w:rPr>
                <w:rFonts w:ascii="宋体" w:hAnsi="宋体"/>
                <w:color w:val="000000" w:themeColor="text1"/>
                <w:sz w:val="22"/>
                <w14:textFill>
                  <w14:solidFill>
                    <w14:schemeClr w14:val="tx1"/>
                  </w14:solidFill>
                </w14:textFill>
              </w:rPr>
              <w:t>22.1</w:t>
            </w:r>
            <w:r>
              <w:rPr>
                <w:rFonts w:hint="eastAsia" w:ascii="宋体" w:hAnsi="宋体"/>
                <w:color w:val="000000" w:themeColor="text1"/>
                <w:sz w:val="22"/>
                <w14:textFill>
                  <w14:solidFill>
                    <w14:schemeClr w14:val="tx1"/>
                  </w14:solidFill>
                </w14:textFill>
              </w:rPr>
              <w:t>天，能恰好满足生长所需。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多点结构</w:t>
            </w:r>
          </w:p>
        </w:tc>
        <w:tc>
          <w:tcPr>
            <w:tcW w:w="919"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问题线索+多个孤立的相关素材</w:t>
            </w:r>
          </w:p>
        </w:tc>
        <w:tc>
          <w:tcPr>
            <w:tcW w:w="1701"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根据几个有限的、孤立的素材概括</w:t>
            </w:r>
          </w:p>
        </w:tc>
        <w:tc>
          <w:tcPr>
            <w:tcW w:w="5040" w:type="dxa"/>
            <w:vAlign w:val="center"/>
          </w:tcPr>
          <w:p>
            <w:pP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福建惠安县可以试种青阳3号耐盐碱稻。首先从熟制来看，当地的热量条件可以满足农作物一年两熟到三熟，而青阳3号全生育期1</w:t>
            </w:r>
            <w:r>
              <w:rPr>
                <w:rFonts w:ascii="宋体" w:hAnsi="宋体"/>
                <w:color w:val="000000" w:themeColor="text1"/>
                <w:sz w:val="22"/>
                <w14:textFill>
                  <w14:solidFill>
                    <w14:schemeClr w14:val="tx1"/>
                  </w14:solidFill>
                </w14:textFill>
              </w:rPr>
              <w:t>22.1</w:t>
            </w:r>
            <w:r>
              <w:rPr>
                <w:rFonts w:hint="eastAsia" w:ascii="宋体" w:hAnsi="宋体"/>
                <w:color w:val="000000" w:themeColor="text1"/>
                <w:sz w:val="22"/>
                <w14:textFill>
                  <w14:solidFill>
                    <w14:schemeClr w14:val="tx1"/>
                  </w14:solidFill>
                </w14:textFill>
              </w:rPr>
              <w:t>天，能恰好满足生长所需；再从当地气候特征分析，福建是亚热带季风气候，夏季炎热湿润，冬季温暖干燥，又多发台风，青阳3号习性耐热，抗倒伏性强。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关联结构</w:t>
            </w:r>
          </w:p>
        </w:tc>
        <w:tc>
          <w:tcPr>
            <w:tcW w:w="919"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问题线索+相关素材+相互关系</w:t>
            </w:r>
          </w:p>
        </w:tc>
        <w:tc>
          <w:tcPr>
            <w:tcW w:w="1701"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归纳；能在设定情景或已经历的经验范围内利用相关知识概括</w:t>
            </w:r>
          </w:p>
        </w:tc>
        <w:tc>
          <w:tcPr>
            <w:tcW w:w="5040" w:type="dxa"/>
            <w:vAlign w:val="center"/>
          </w:tcPr>
          <w:p>
            <w:pP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辽宁盘山县可以试种富研5品种的水稻。当地纬度较高，属于温带季风气候，相比全球同纬度其他地区水热条件更优越，但相比我国南方地区热量条件较欠缺，尤其冬半年易发霜冻、寒潮等灾害。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Align w:val="center"/>
          </w:tcPr>
          <w:p>
            <w:pPr>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抽象扩展结构</w:t>
            </w:r>
          </w:p>
        </w:tc>
        <w:tc>
          <w:tcPr>
            <w:tcW w:w="919"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问题线索+相关素材+相互关系+假设</w:t>
            </w:r>
          </w:p>
        </w:tc>
        <w:tc>
          <w:tcPr>
            <w:tcW w:w="1701" w:type="dxa"/>
            <w:vAlign w:val="center"/>
          </w:tcPr>
          <w:p>
            <w:pPr>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演绎与归纳；能概括未经历的情景</w:t>
            </w:r>
          </w:p>
        </w:tc>
        <w:tc>
          <w:tcPr>
            <w:tcW w:w="5040" w:type="dxa"/>
            <w:vAlign w:val="center"/>
          </w:tcPr>
          <w:p>
            <w:pP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辽宁盘山县可以种富研5。当地纬度较高，属于温带季风气候，冬半年易发霜冻、寒潮等灾害。富研5一年一熟，活动积温2</w:t>
            </w:r>
            <w:r>
              <w:rPr>
                <w:rFonts w:ascii="宋体" w:hAnsi="宋体"/>
                <w:color w:val="000000" w:themeColor="text1"/>
                <w:sz w:val="22"/>
                <w14:textFill>
                  <w14:solidFill>
                    <w14:schemeClr w14:val="tx1"/>
                  </w14:solidFill>
                </w14:textFill>
              </w:rPr>
              <w:t>400</w:t>
            </w:r>
            <w:r>
              <w:rPr>
                <w:rFonts w:hint="eastAsia" w:ascii="宋体" w:hAnsi="宋体"/>
                <w:color w:val="000000" w:themeColor="text1"/>
                <w:sz w:val="22"/>
                <w14:textFill>
                  <w14:solidFill>
                    <w14:schemeClr w14:val="tx1"/>
                  </w14:solidFill>
                </w14:textFill>
              </w:rPr>
              <w:t>℃可以满足，又将水田改为旱棚育秧，多方面来看都能适应东北的自然环境特征。但由于靠近冬季风源地，作物易倒伏，无法在强冷空气入侵前收割容易遭受冻害减产甚至绝收，因此需要人为施加磷肥催熟、施加钾肥壮根。假设在盘山县种植青阳3号，则该品种水稻不耐寒，容易受到冻害影响。推测同品种耐盐碱稻可以在多地种植推广，比如1</w:t>
            </w:r>
            <w:r>
              <w:rPr>
                <w:rFonts w:ascii="宋体" w:hAnsi="宋体"/>
                <w:color w:val="000000" w:themeColor="text1"/>
                <w:sz w:val="22"/>
                <w14:textFill>
                  <w14:solidFill>
                    <w14:schemeClr w14:val="tx1"/>
                  </w14:solidFill>
                </w14:textFill>
              </w:rPr>
              <w:t>805</w:t>
            </w:r>
            <w:r>
              <w:rPr>
                <w:rFonts w:hint="eastAsia" w:ascii="宋体" w:hAnsi="宋体"/>
                <w:color w:val="000000" w:themeColor="text1"/>
                <w:sz w:val="22"/>
                <w14:textFill>
                  <w14:solidFill>
                    <w14:schemeClr w14:val="tx1"/>
                  </w14:solidFill>
                </w14:textFill>
              </w:rPr>
              <w:t xml:space="preserve">品系具有耐寒耐热耐旱抗病等优秀基因，且长势强劲，可在新疆、宁夏、辽宁多地试验。 </w:t>
            </w:r>
            <w:r>
              <w:rPr>
                <w:rFonts w:ascii="宋体" w:hAnsi="宋体"/>
                <w:color w:val="000000" w:themeColor="text1"/>
                <w:sz w:val="22"/>
                <w14:textFill>
                  <w14:solidFill>
                    <w14:schemeClr w14:val="tx1"/>
                  </w14:solidFill>
                </w14:textFill>
              </w:rPr>
              <w:t xml:space="preserve">   </w:t>
            </w:r>
          </w:p>
        </w:tc>
      </w:tr>
    </w:tbl>
    <w:p>
      <w:pPr>
        <w:spacing w:line="360" w:lineRule="auto"/>
        <w:jc w:val="center"/>
        <w:rPr>
          <w:rFonts w:hint="eastAsia" w:ascii="微软雅黑" w:hAnsi="微软雅黑" w:eastAsia="微软雅黑"/>
          <w:sz w:val="20"/>
          <w:szCs w:val="20"/>
          <w:lang w:val="en-US" w:eastAsia="zh-CN"/>
        </w:rPr>
      </w:pPr>
      <w:r>
        <w:rPr>
          <w:rFonts w:hint="eastAsia" w:ascii="微软雅黑" w:hAnsi="微软雅黑" w:eastAsia="微软雅黑"/>
          <w:sz w:val="20"/>
          <w:szCs w:val="20"/>
          <w:lang w:val="en-US" w:eastAsia="zh-CN"/>
        </w:rPr>
        <w:t>表7 活动二实验表现性评价</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544"/>
        <w:gridCol w:w="992"/>
        <w:gridCol w:w="1134"/>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实验环节</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水平表现</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赋分</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学生评价</w:t>
            </w: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教师评价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413" w:type="dxa"/>
            <w:vMerge w:val="restart"/>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实验操作</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w:t>
            </w:r>
            <w:r>
              <w:rPr>
                <w:rFonts w:ascii="宋体" w:hAnsi="宋体"/>
                <w:color w:val="000000" w:themeColor="text1"/>
                <w:sz w:val="22"/>
                <w14:textFill>
                  <w14:solidFill>
                    <w14:schemeClr w14:val="tx1"/>
                  </w14:solidFill>
                </w14:textFill>
              </w:rPr>
              <w:t>1</w:t>
            </w:r>
            <w:r>
              <w:rPr>
                <w:rFonts w:hint="eastAsia" w:ascii="宋体" w:hAnsi="宋体"/>
                <w:color w:val="000000" w:themeColor="text1"/>
                <w:sz w:val="22"/>
                <w14:textFill>
                  <w14:solidFill>
                    <w14:schemeClr w14:val="tx1"/>
                  </w14:solidFill>
                </w14:textFill>
              </w:rPr>
              <w:t>：在教师或同学的帮助下完成实验</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1</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水平2：按照小组方案的实验步骤，操作规范，自主完成实验</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3</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水平3：能分析实验设计的不足并根据需要灵活改进实验设计</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5</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实验记录与分析</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水平1：完成大部分记录与分析内容</w:t>
            </w:r>
            <w:r>
              <w:rPr>
                <w:rFonts w:ascii="宋体" w:hAnsi="宋体"/>
                <w:color w:val="000000" w:themeColor="text1"/>
                <w:sz w:val="22"/>
                <w14:textFill>
                  <w14:solidFill>
                    <w14:schemeClr w14:val="tx1"/>
                  </w14:solidFill>
                </w14:textFill>
              </w:rPr>
              <w:t xml:space="preserve"> </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1</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水平2：借助帮助完成全部实验记录与分析，并绘制出完整的相关原理示意图</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3</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水平3：自主完成全部的实验记录与分析，填写清晰正确，并绘制出完整的相关原理示意图</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5</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实践态度与创新能力</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水平1：对活动有兴趣，但有时有应付、随意的态度，面对困难无从下手</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1</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水平2：对活动有兴趣，按照要求完成任务，能正确面对困难，对待问题有自己的想法</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3</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水平3： 对活动有浓厚的兴趣，积极主动发现、探索，能够独立面对困难并提出解决措施；有创新的意识与态度，并能提出有创造性的办法</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5</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实验小结</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水平1：能部分准确填写相关知识框图</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1</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水平2：能全部准确填写相关知识框图</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3</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before="156" w:beforeLines="50" w:after="156" w:afterLines="50"/>
              <w:jc w:val="center"/>
              <w:rPr>
                <w:rFonts w:ascii="宋体" w:hAnsi="宋体"/>
                <w:color w:val="000000" w:themeColor="text1"/>
                <w:sz w:val="22"/>
                <w14:textFill>
                  <w14:solidFill>
                    <w14:schemeClr w14:val="tx1"/>
                  </w14:solidFill>
                </w14:textFill>
              </w:rPr>
            </w:pP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水平3：能全部准确填写相关知识框图，并能自主优化相关框图环节，以进一步细化形成过程</w:t>
            </w: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5</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spacing w:before="156" w:beforeLines="50" w:after="156" w:afterLines="5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总评</w:t>
            </w:r>
          </w:p>
        </w:tc>
        <w:tc>
          <w:tcPr>
            <w:tcW w:w="354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992" w:type="dxa"/>
          </w:tcPr>
          <w:p>
            <w:pPr>
              <w:spacing w:before="156" w:beforeLines="50" w:after="156" w:afterLines="50"/>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平均分</w:t>
            </w:r>
          </w:p>
        </w:tc>
        <w:tc>
          <w:tcPr>
            <w:tcW w:w="1134" w:type="dxa"/>
          </w:tcPr>
          <w:p>
            <w:pPr>
              <w:spacing w:before="156" w:beforeLines="50" w:after="156" w:afterLines="50"/>
              <w:jc w:val="left"/>
              <w:rPr>
                <w:rFonts w:ascii="宋体" w:hAnsi="宋体"/>
                <w:color w:val="000000" w:themeColor="text1"/>
                <w:sz w:val="22"/>
                <w14:textFill>
                  <w14:solidFill>
                    <w14:schemeClr w14:val="tx1"/>
                  </w14:solidFill>
                </w14:textFill>
              </w:rPr>
            </w:pPr>
          </w:p>
        </w:tc>
        <w:tc>
          <w:tcPr>
            <w:tcW w:w="1213" w:type="dxa"/>
          </w:tcPr>
          <w:p>
            <w:pPr>
              <w:spacing w:before="156" w:beforeLines="50" w:after="156" w:afterLines="50"/>
              <w:jc w:val="left"/>
              <w:rPr>
                <w:rFonts w:ascii="宋体" w:hAnsi="宋体"/>
                <w:color w:val="000000" w:themeColor="text1"/>
                <w:sz w:val="22"/>
                <w14:textFill>
                  <w14:solidFill>
                    <w14:schemeClr w14:val="tx1"/>
                  </w14:solidFill>
                </w14:textFill>
              </w:rPr>
            </w:pPr>
          </w:p>
        </w:tc>
      </w:tr>
    </w:tbl>
    <w:p>
      <w:pPr>
        <w:spacing w:line="360" w:lineRule="auto"/>
      </w:pPr>
    </w:p>
    <w:p>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 xml:space="preserve">对于教师而言，在指导学生分析评价结果并指导学生进行反思改进之后，教 </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 xml:space="preserve">师应针对在跨学科主题学习过程中表现性评价设计存在的问题和不足进行梳理， </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 xml:space="preserve">比如评价标准如何更统一、更公平？表现性任务如何更真实、更适恰？评价的量 </w:t>
      </w:r>
    </w:p>
    <w:p>
      <w:pPr>
        <w:spacing w:line="360" w:lineRule="auto"/>
        <w:rPr>
          <w:rFonts w:hint="eastAsia" w:ascii="宋体" w:hAnsi="宋体"/>
          <w:sz w:val="24"/>
          <w:szCs w:val="24"/>
          <w:lang w:val="en-US" w:eastAsia="zh-CN"/>
        </w:rPr>
      </w:pPr>
      <w:r>
        <w:rPr>
          <w:rFonts w:hint="eastAsia" w:ascii="宋体" w:hAnsi="宋体"/>
          <w:sz w:val="24"/>
          <w:szCs w:val="24"/>
          <w:lang w:val="en-US" w:eastAsia="zh-CN"/>
        </w:rPr>
        <w:t>规如何更科学、更具可操作性？</w:t>
      </w:r>
    </w:p>
    <w:p>
      <w:pPr>
        <w:spacing w:line="360" w:lineRule="auto"/>
        <w:ind w:firstLine="480" w:firstLineChars="200"/>
        <w:rPr>
          <w:rFonts w:hint="eastAsia" w:ascii="宋体" w:hAnsi="宋体"/>
          <w:sz w:val="24"/>
          <w:szCs w:val="24"/>
        </w:rPr>
      </w:pPr>
      <w:r>
        <w:rPr>
          <w:rFonts w:hint="eastAsia" w:ascii="宋体" w:hAnsi="宋体"/>
          <w:sz w:val="24"/>
          <w:szCs w:val="24"/>
        </w:rPr>
        <w:t>选修本课的高二学生已经在生物、地理学科的课堂上学习过遗传学基础的知识和农业区位分析的基本方法，</w:t>
      </w:r>
      <w:r>
        <w:rPr>
          <w:rFonts w:hint="eastAsia" w:ascii="宋体" w:hAnsi="宋体"/>
          <w:sz w:val="24"/>
          <w:szCs w:val="24"/>
          <w:lang w:val="en-US" w:eastAsia="zh-CN"/>
        </w:rPr>
        <w:t>并且</w:t>
      </w:r>
      <w:r>
        <w:rPr>
          <w:rFonts w:hint="eastAsia" w:ascii="宋体" w:hAnsi="宋体"/>
          <w:sz w:val="24"/>
          <w:szCs w:val="24"/>
        </w:rPr>
        <w:t>基本具备资料搜集、区域认知、综合思维、实验设计和团队合作等能力初步具备创新意识、科学探究意识，对于主题探究活动兴趣浓厚，在着重实验探究、解释论证的本课时活动过程中进一步体验完整的科学探究过程，培养科学素养，提升探究能力。</w:t>
      </w:r>
    </w:p>
    <w:p>
      <w:pPr>
        <w:spacing w:line="360" w:lineRule="auto"/>
        <w:ind w:firstLine="480" w:firstLineChars="200"/>
      </w:pPr>
      <w:r>
        <w:rPr>
          <w:rFonts w:hint="eastAsia" w:ascii="宋体" w:hAnsi="宋体"/>
          <w:sz w:val="24"/>
          <w:szCs w:val="24"/>
          <w:lang w:val="en-US" w:eastAsia="zh-CN"/>
        </w:rPr>
        <w:t>课后教师也在不断总结反思，在实践经验的基础上，积极探索和学习表现性评价的相关理论，不断修正评价目标、评价内容、评价方式等，逐步完善表现性评价体系的建构，提高自身专业素养和实施评价的能力，促进教师和学生的全面发展。</w:t>
      </w:r>
    </w:p>
    <w:p>
      <w:pPr>
        <w:spacing w:line="360" w:lineRule="auto"/>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参考文献</w:t>
      </w:r>
    </w:p>
    <w:p>
      <w:pPr>
        <w:spacing w:before="156" w:beforeLines="50" w:after="156" w:afterLines="50" w:line="360" w:lineRule="auto"/>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[1]范冬萍,杨波.复杂性科学视野下大科学教育理念与跨学科学习系统策略[J/OL].系统科学学报,2023(04):35-39+136. </w:t>
      </w:r>
    </w:p>
    <w:p>
      <w:pPr>
        <w:spacing w:before="156" w:beforeLines="50" w:after="156" w:afterLines="50" w:line="360" w:lineRule="auto"/>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 xml:space="preserve">]詹泽慧,季瑜,赖雨彤.新课标导向下跨学科主题学习如何开展：基本思路与操作模型[J].现代远程教育研究,2023,35(01):49-58. </w:t>
      </w:r>
    </w:p>
    <w:p>
      <w:pPr>
        <w:spacing w:before="156" w:beforeLines="50" w:after="156" w:afterLines="50" w:line="360" w:lineRule="auto"/>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 xml:space="preserve">3] </w:t>
      </w:r>
      <w:r>
        <w:rPr>
          <w:rFonts w:hint="eastAsia" w:ascii="宋体" w:hAnsi="宋体"/>
          <w:color w:val="000000" w:themeColor="text1"/>
          <w:sz w:val="24"/>
          <w:szCs w:val="24"/>
          <w14:textFill>
            <w14:solidFill>
              <w14:schemeClr w14:val="tx1"/>
            </w14:solidFill>
          </w14:textFill>
        </w:rPr>
        <w:t>比格斯</w:t>
      </w:r>
      <w:r>
        <w:rPr>
          <w:rFonts w:ascii="宋体" w:hAnsi="宋体"/>
          <w:color w:val="000000" w:themeColor="text1"/>
          <w:sz w:val="24"/>
          <w:szCs w:val="24"/>
          <w14:textFill>
            <w14:solidFill>
              <w14:schemeClr w14:val="tx1"/>
            </w14:solidFill>
          </w14:textFill>
        </w:rPr>
        <w:t>,科利斯.学习质量评价:SOLO 分类理论（可观察的学习成果结构）[M].北京:人民教</w:t>
      </w:r>
      <w:r>
        <w:rPr>
          <w:rFonts w:hint="eastAsia" w:ascii="宋体" w:hAnsi="宋体"/>
          <w:color w:val="000000" w:themeColor="text1"/>
          <w:sz w:val="24"/>
          <w:szCs w:val="24"/>
          <w14:textFill>
            <w14:solidFill>
              <w14:schemeClr w14:val="tx1"/>
            </w14:solidFill>
          </w14:textFill>
        </w:rPr>
        <w:t>育出版社</w:t>
      </w:r>
      <w:r>
        <w:rPr>
          <w:rFonts w:ascii="宋体" w:hAnsi="宋体"/>
          <w:color w:val="000000" w:themeColor="text1"/>
          <w:sz w:val="24"/>
          <w:szCs w:val="24"/>
          <w14:textFill>
            <w14:solidFill>
              <w14:schemeClr w14:val="tx1"/>
            </w14:solidFill>
          </w14:textFill>
        </w:rPr>
        <w:t>,2010.</w:t>
      </w:r>
    </w:p>
    <w:p>
      <w:pPr>
        <w:spacing w:before="156" w:beforeLines="50" w:after="156" w:afterLines="50" w:line="360" w:lineRule="auto"/>
        <w:jc w:val="left"/>
        <w:rPr>
          <w:rFonts w:ascii="宋体" w:hAnsi="宋体"/>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5651698"/>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53898"/>
    <w:multiLevelType w:val="singleLevel"/>
    <w:tmpl w:val="95853898"/>
    <w:lvl w:ilvl="0" w:tentative="0">
      <w:start w:val="3"/>
      <w:numFmt w:val="chineseCounting"/>
      <w:suff w:val="nothing"/>
      <w:lvlText w:val="（%1）"/>
      <w:lvlJc w:val="left"/>
      <w:rPr>
        <w:rFonts w:hint="eastAsia"/>
      </w:rPr>
    </w:lvl>
  </w:abstractNum>
  <w:abstractNum w:abstractNumId="1">
    <w:nsid w:val="3F8A4674"/>
    <w:multiLevelType w:val="singleLevel"/>
    <w:tmpl w:val="3F8A4674"/>
    <w:lvl w:ilvl="0" w:tentative="0">
      <w:start w:val="2"/>
      <w:numFmt w:val="chineseCounting"/>
      <w:suff w:val="nothing"/>
      <w:lvlText w:val="%1、"/>
      <w:lvlJc w:val="left"/>
      <w:rPr>
        <w:rFonts w:hint="eastAsia"/>
      </w:rPr>
    </w:lvl>
  </w:abstractNum>
  <w:abstractNum w:abstractNumId="2">
    <w:nsid w:val="42EC050A"/>
    <w:multiLevelType w:val="singleLevel"/>
    <w:tmpl w:val="42EC050A"/>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1YWJhMzQzZmVkNmU1YzRlZGFjMTVlZDhjNzYzMjIifQ=="/>
  </w:docVars>
  <w:rsids>
    <w:rsidRoot w:val="003236B1"/>
    <w:rsid w:val="000007E2"/>
    <w:rsid w:val="00002D3D"/>
    <w:rsid w:val="00003755"/>
    <w:rsid w:val="000178D8"/>
    <w:rsid w:val="00023287"/>
    <w:rsid w:val="0005237D"/>
    <w:rsid w:val="00071E1F"/>
    <w:rsid w:val="000727E3"/>
    <w:rsid w:val="00093C6C"/>
    <w:rsid w:val="00096359"/>
    <w:rsid w:val="000A0225"/>
    <w:rsid w:val="000B29BA"/>
    <w:rsid w:val="000B31C1"/>
    <w:rsid w:val="000B3F63"/>
    <w:rsid w:val="000E44FE"/>
    <w:rsid w:val="000F2BD0"/>
    <w:rsid w:val="000F6160"/>
    <w:rsid w:val="000F7CCF"/>
    <w:rsid w:val="001005BC"/>
    <w:rsid w:val="00111AEF"/>
    <w:rsid w:val="001152AA"/>
    <w:rsid w:val="00133C31"/>
    <w:rsid w:val="0013690E"/>
    <w:rsid w:val="0014035A"/>
    <w:rsid w:val="00140400"/>
    <w:rsid w:val="0014058E"/>
    <w:rsid w:val="00161617"/>
    <w:rsid w:val="00162CE1"/>
    <w:rsid w:val="0017334A"/>
    <w:rsid w:val="00176089"/>
    <w:rsid w:val="00190310"/>
    <w:rsid w:val="001A53E0"/>
    <w:rsid w:val="001C1970"/>
    <w:rsid w:val="001C7C0D"/>
    <w:rsid w:val="001F7DBD"/>
    <w:rsid w:val="0020677C"/>
    <w:rsid w:val="00215E70"/>
    <w:rsid w:val="002177D1"/>
    <w:rsid w:val="0022154A"/>
    <w:rsid w:val="0022190B"/>
    <w:rsid w:val="002259A8"/>
    <w:rsid w:val="00233D44"/>
    <w:rsid w:val="002407C3"/>
    <w:rsid w:val="00257501"/>
    <w:rsid w:val="002C0ED6"/>
    <w:rsid w:val="002D3641"/>
    <w:rsid w:val="002E2696"/>
    <w:rsid w:val="002F0B8C"/>
    <w:rsid w:val="00303175"/>
    <w:rsid w:val="00312FA5"/>
    <w:rsid w:val="0031718A"/>
    <w:rsid w:val="00322E0B"/>
    <w:rsid w:val="003236B1"/>
    <w:rsid w:val="003366DE"/>
    <w:rsid w:val="00336EEB"/>
    <w:rsid w:val="00340943"/>
    <w:rsid w:val="00351223"/>
    <w:rsid w:val="00354C09"/>
    <w:rsid w:val="00357A05"/>
    <w:rsid w:val="00366A25"/>
    <w:rsid w:val="00386CA8"/>
    <w:rsid w:val="00390038"/>
    <w:rsid w:val="0039237D"/>
    <w:rsid w:val="00397143"/>
    <w:rsid w:val="003A05DA"/>
    <w:rsid w:val="003B2650"/>
    <w:rsid w:val="003C2285"/>
    <w:rsid w:val="003C2EEF"/>
    <w:rsid w:val="003D0F2E"/>
    <w:rsid w:val="003F265E"/>
    <w:rsid w:val="004173A4"/>
    <w:rsid w:val="0042380B"/>
    <w:rsid w:val="0043127F"/>
    <w:rsid w:val="004340E8"/>
    <w:rsid w:val="004349CC"/>
    <w:rsid w:val="0043533C"/>
    <w:rsid w:val="00435FF9"/>
    <w:rsid w:val="004533B3"/>
    <w:rsid w:val="00455165"/>
    <w:rsid w:val="00460E88"/>
    <w:rsid w:val="00461481"/>
    <w:rsid w:val="004722CF"/>
    <w:rsid w:val="00497011"/>
    <w:rsid w:val="004A62DC"/>
    <w:rsid w:val="004D10DB"/>
    <w:rsid w:val="004D20AF"/>
    <w:rsid w:val="004F03F7"/>
    <w:rsid w:val="005008B3"/>
    <w:rsid w:val="00510781"/>
    <w:rsid w:val="00513B52"/>
    <w:rsid w:val="00524DC9"/>
    <w:rsid w:val="00526816"/>
    <w:rsid w:val="00530AC1"/>
    <w:rsid w:val="00567B38"/>
    <w:rsid w:val="005705FC"/>
    <w:rsid w:val="00582468"/>
    <w:rsid w:val="00591F86"/>
    <w:rsid w:val="005936BF"/>
    <w:rsid w:val="00595239"/>
    <w:rsid w:val="00597912"/>
    <w:rsid w:val="005A4A6F"/>
    <w:rsid w:val="005D3CB8"/>
    <w:rsid w:val="005D4905"/>
    <w:rsid w:val="005F0B49"/>
    <w:rsid w:val="005F4186"/>
    <w:rsid w:val="00605BDA"/>
    <w:rsid w:val="006114FB"/>
    <w:rsid w:val="0061204A"/>
    <w:rsid w:val="00622791"/>
    <w:rsid w:val="006447E3"/>
    <w:rsid w:val="00651CA4"/>
    <w:rsid w:val="00652343"/>
    <w:rsid w:val="00685912"/>
    <w:rsid w:val="00694C5E"/>
    <w:rsid w:val="006A5B8B"/>
    <w:rsid w:val="006D2C30"/>
    <w:rsid w:val="006D46CE"/>
    <w:rsid w:val="00700D19"/>
    <w:rsid w:val="007018BA"/>
    <w:rsid w:val="00701950"/>
    <w:rsid w:val="00736186"/>
    <w:rsid w:val="0074417F"/>
    <w:rsid w:val="00793ACC"/>
    <w:rsid w:val="007A451C"/>
    <w:rsid w:val="007A7E39"/>
    <w:rsid w:val="007D264D"/>
    <w:rsid w:val="007F07B5"/>
    <w:rsid w:val="007F4269"/>
    <w:rsid w:val="008268C5"/>
    <w:rsid w:val="00846A83"/>
    <w:rsid w:val="008542BB"/>
    <w:rsid w:val="00871CCC"/>
    <w:rsid w:val="008778A8"/>
    <w:rsid w:val="008851CC"/>
    <w:rsid w:val="008861AC"/>
    <w:rsid w:val="00894759"/>
    <w:rsid w:val="008968AD"/>
    <w:rsid w:val="008A616D"/>
    <w:rsid w:val="008B386F"/>
    <w:rsid w:val="008B60B4"/>
    <w:rsid w:val="008B6D9C"/>
    <w:rsid w:val="008C0C11"/>
    <w:rsid w:val="008D5F3E"/>
    <w:rsid w:val="008E4F6F"/>
    <w:rsid w:val="008E54A6"/>
    <w:rsid w:val="008F0F53"/>
    <w:rsid w:val="008F248F"/>
    <w:rsid w:val="00937825"/>
    <w:rsid w:val="00940340"/>
    <w:rsid w:val="00943218"/>
    <w:rsid w:val="0095168F"/>
    <w:rsid w:val="00956199"/>
    <w:rsid w:val="00956349"/>
    <w:rsid w:val="00962327"/>
    <w:rsid w:val="00963E70"/>
    <w:rsid w:val="00996885"/>
    <w:rsid w:val="009A072C"/>
    <w:rsid w:val="009A1B09"/>
    <w:rsid w:val="009C734E"/>
    <w:rsid w:val="009D045F"/>
    <w:rsid w:val="009D1CFA"/>
    <w:rsid w:val="009D5D6E"/>
    <w:rsid w:val="009D7146"/>
    <w:rsid w:val="009E36A0"/>
    <w:rsid w:val="009F1984"/>
    <w:rsid w:val="009F21BC"/>
    <w:rsid w:val="00A02B09"/>
    <w:rsid w:val="00A07DEC"/>
    <w:rsid w:val="00A166DA"/>
    <w:rsid w:val="00A1765C"/>
    <w:rsid w:val="00A26C51"/>
    <w:rsid w:val="00A432D8"/>
    <w:rsid w:val="00A43DE8"/>
    <w:rsid w:val="00A47048"/>
    <w:rsid w:val="00A4707E"/>
    <w:rsid w:val="00A9765F"/>
    <w:rsid w:val="00AB1FED"/>
    <w:rsid w:val="00AB3FF1"/>
    <w:rsid w:val="00AC2585"/>
    <w:rsid w:val="00AC7E9E"/>
    <w:rsid w:val="00AD39BE"/>
    <w:rsid w:val="00AF030E"/>
    <w:rsid w:val="00AF0FEA"/>
    <w:rsid w:val="00B14BD9"/>
    <w:rsid w:val="00B17E88"/>
    <w:rsid w:val="00B22870"/>
    <w:rsid w:val="00B40EBE"/>
    <w:rsid w:val="00B41FC7"/>
    <w:rsid w:val="00B454D2"/>
    <w:rsid w:val="00B46D1E"/>
    <w:rsid w:val="00B50AB7"/>
    <w:rsid w:val="00B60714"/>
    <w:rsid w:val="00B610E7"/>
    <w:rsid w:val="00B619F4"/>
    <w:rsid w:val="00B70370"/>
    <w:rsid w:val="00B758AD"/>
    <w:rsid w:val="00B75CC4"/>
    <w:rsid w:val="00B87EBC"/>
    <w:rsid w:val="00B903B8"/>
    <w:rsid w:val="00B95DCF"/>
    <w:rsid w:val="00BA558F"/>
    <w:rsid w:val="00BA568D"/>
    <w:rsid w:val="00BB050B"/>
    <w:rsid w:val="00BB3B07"/>
    <w:rsid w:val="00BB592C"/>
    <w:rsid w:val="00BC293E"/>
    <w:rsid w:val="00BD078B"/>
    <w:rsid w:val="00BD5169"/>
    <w:rsid w:val="00BF60D8"/>
    <w:rsid w:val="00BF7FDD"/>
    <w:rsid w:val="00C03176"/>
    <w:rsid w:val="00C05923"/>
    <w:rsid w:val="00C11E7E"/>
    <w:rsid w:val="00C70C6A"/>
    <w:rsid w:val="00C75854"/>
    <w:rsid w:val="00CA0762"/>
    <w:rsid w:val="00CA7B0C"/>
    <w:rsid w:val="00CA7B60"/>
    <w:rsid w:val="00CB6E33"/>
    <w:rsid w:val="00CE4D2A"/>
    <w:rsid w:val="00D31665"/>
    <w:rsid w:val="00D31F56"/>
    <w:rsid w:val="00D37494"/>
    <w:rsid w:val="00D42633"/>
    <w:rsid w:val="00D67063"/>
    <w:rsid w:val="00D67D6F"/>
    <w:rsid w:val="00D83F68"/>
    <w:rsid w:val="00D868B9"/>
    <w:rsid w:val="00D94BBF"/>
    <w:rsid w:val="00DA1E2D"/>
    <w:rsid w:val="00DA4A01"/>
    <w:rsid w:val="00DB5C35"/>
    <w:rsid w:val="00DB75CE"/>
    <w:rsid w:val="00DC34A2"/>
    <w:rsid w:val="00DD062B"/>
    <w:rsid w:val="00DD3B05"/>
    <w:rsid w:val="00DF2CB8"/>
    <w:rsid w:val="00E04144"/>
    <w:rsid w:val="00E06FB8"/>
    <w:rsid w:val="00E143D4"/>
    <w:rsid w:val="00E21470"/>
    <w:rsid w:val="00E31713"/>
    <w:rsid w:val="00E47D99"/>
    <w:rsid w:val="00E622A2"/>
    <w:rsid w:val="00E71D68"/>
    <w:rsid w:val="00E730AE"/>
    <w:rsid w:val="00E733A5"/>
    <w:rsid w:val="00E75889"/>
    <w:rsid w:val="00E839C4"/>
    <w:rsid w:val="00E859E0"/>
    <w:rsid w:val="00EA258E"/>
    <w:rsid w:val="00EA3FF8"/>
    <w:rsid w:val="00EB1EFF"/>
    <w:rsid w:val="00EC288D"/>
    <w:rsid w:val="00EC5C3B"/>
    <w:rsid w:val="00EC6A73"/>
    <w:rsid w:val="00ED41DB"/>
    <w:rsid w:val="00F03EA6"/>
    <w:rsid w:val="00F26B64"/>
    <w:rsid w:val="00F354EC"/>
    <w:rsid w:val="00F36E55"/>
    <w:rsid w:val="00F43F6D"/>
    <w:rsid w:val="00F471FB"/>
    <w:rsid w:val="00F54900"/>
    <w:rsid w:val="00F90381"/>
    <w:rsid w:val="00F97AF4"/>
    <w:rsid w:val="00FA6A04"/>
    <w:rsid w:val="00FB6FF8"/>
    <w:rsid w:val="00FC2339"/>
    <w:rsid w:val="00FC6247"/>
    <w:rsid w:val="00FD336E"/>
    <w:rsid w:val="00FF3F05"/>
    <w:rsid w:val="011E772B"/>
    <w:rsid w:val="01226568"/>
    <w:rsid w:val="0563090D"/>
    <w:rsid w:val="07990616"/>
    <w:rsid w:val="0D6B76D4"/>
    <w:rsid w:val="0E39045D"/>
    <w:rsid w:val="2397107C"/>
    <w:rsid w:val="2B17347C"/>
    <w:rsid w:val="35077EB6"/>
    <w:rsid w:val="37CF597A"/>
    <w:rsid w:val="3AD969A0"/>
    <w:rsid w:val="3C555D84"/>
    <w:rsid w:val="46C74604"/>
    <w:rsid w:val="49496A9F"/>
    <w:rsid w:val="50827466"/>
    <w:rsid w:val="54C737A2"/>
    <w:rsid w:val="608E7761"/>
    <w:rsid w:val="60C2740B"/>
    <w:rsid w:val="617B306D"/>
    <w:rsid w:val="652C579B"/>
    <w:rsid w:val="677B6565"/>
    <w:rsid w:val="67852F40"/>
    <w:rsid w:val="79766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0"/>
    <w:autoRedefine/>
    <w:qFormat/>
    <w:uiPriority w:val="99"/>
    <w:pPr>
      <w:widowControl/>
      <w:spacing w:after="100" w:afterAutospacing="1" w:line="480" w:lineRule="exact"/>
      <w:ind w:firstLine="100" w:firstLineChars="100"/>
      <w:jc w:val="left"/>
    </w:pPr>
    <w:rPr>
      <w:rFonts w:ascii="宋体" w:hAnsi="Courier New"/>
      <w:kern w:val="0"/>
      <w:sz w:val="20"/>
      <w:szCs w:val="21"/>
      <w:lang w:eastAsia="en-US"/>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rPr>
      <w:rFonts w:asciiTheme="minorHAnsi" w:hAnsiTheme="minorHAnsi" w:eastAsiaTheme="minorEastAsia" w:cstheme="minorBidi"/>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纯文本 字符"/>
    <w:basedOn w:val="8"/>
    <w:autoRedefine/>
    <w:semiHidden/>
    <w:qFormat/>
    <w:uiPriority w:val="99"/>
    <w:rPr>
      <w:rFonts w:hAnsi="Courier New" w:cs="Courier New" w:asciiTheme="minorEastAsia"/>
    </w:rPr>
  </w:style>
  <w:style w:type="character" w:customStyle="1" w:styleId="10">
    <w:name w:val="纯文本 字符1"/>
    <w:basedOn w:val="8"/>
    <w:link w:val="2"/>
    <w:autoRedefine/>
    <w:qFormat/>
    <w:locked/>
    <w:uiPriority w:val="99"/>
    <w:rPr>
      <w:rFonts w:ascii="宋体" w:hAnsi="Courier New" w:eastAsia="宋体" w:cs="Times New Roman"/>
      <w:kern w:val="0"/>
      <w:sz w:val="20"/>
      <w:szCs w:val="21"/>
      <w:lang w:eastAsia="en-US"/>
    </w:rPr>
  </w:style>
  <w:style w:type="character" w:customStyle="1" w:styleId="11">
    <w:name w:val="页眉 字符"/>
    <w:basedOn w:val="8"/>
    <w:link w:val="4"/>
    <w:autoRedefine/>
    <w:qFormat/>
    <w:uiPriority w:val="99"/>
    <w:rPr>
      <w:rFonts w:ascii="Calibri" w:hAnsi="Calibri" w:eastAsia="宋体" w:cs="Times New Roman"/>
      <w:sz w:val="18"/>
      <w:szCs w:val="18"/>
    </w:rPr>
  </w:style>
  <w:style w:type="character" w:customStyle="1" w:styleId="12">
    <w:name w:val="页脚 字符"/>
    <w:basedOn w:val="8"/>
    <w:link w:val="3"/>
    <w:autoRedefine/>
    <w:qFormat/>
    <w:uiPriority w:val="99"/>
    <w:rPr>
      <w:rFonts w:ascii="Calibri" w:hAnsi="Calibri" w:eastAsia="宋体" w:cs="Times New Roman"/>
      <w:sz w:val="18"/>
      <w:szCs w:val="18"/>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4189</Words>
  <Characters>4298</Characters>
  <Lines>31</Lines>
  <Paragraphs>8</Paragraphs>
  <TotalTime>1</TotalTime>
  <ScaleCrop>false</ScaleCrop>
  <LinksUpToDate>false</LinksUpToDate>
  <CharactersWithSpaces>4327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2023-04-17T05:07:00Z</dcterms:created>
  <dc:creator>18301913318@163.com</dc:creator>
  <cp:lastModifiedBy>湖海散人</cp:lastModifiedBy>
  <dcterms:modified xsi:type="dcterms:W3CDTF">2024-03-17T08:11:53Z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EA8DB201BEBC43518E2A4DF4A6564BE3_13</vt:lpwstr>
  </property>
</Properties>
</file>