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黑体" w:hAnsi="黑体" w:eastAsia="黑体" w:cs="黑体"/>
          <w:sz w:val="48"/>
          <w:szCs w:val="48"/>
          <w:lang w:val="en-US" w:eastAsia="zh-CN"/>
        </w:rPr>
      </w:pPr>
      <w:r>
        <w:rPr>
          <w:rFonts w:hint="eastAsia" w:ascii="黑体" w:hAnsi="黑体" w:eastAsia="黑体" w:cs="黑体"/>
          <w:sz w:val="48"/>
          <w:szCs w:val="48"/>
          <w:lang w:val="en-US" w:eastAsia="zh-CN"/>
        </w:rPr>
        <w:t>模拟辩论情境的课堂实施策略</w:t>
      </w:r>
    </w:p>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default" w:ascii="黑体" w:hAnsi="黑体" w:eastAsia="黑体" w:cs="黑体"/>
          <w:sz w:val="24"/>
          <w:szCs w:val="24"/>
          <w:lang w:val="en-US" w:eastAsia="zh-CN"/>
        </w:rPr>
      </w:pPr>
      <w:r>
        <w:rPr>
          <w:rFonts w:hint="eastAsia" w:ascii="黑体" w:hAnsi="黑体" w:eastAsia="黑体" w:cs="黑体"/>
          <w:sz w:val="24"/>
          <w:szCs w:val="24"/>
          <w:lang w:val="en-US" w:eastAsia="zh-CN"/>
        </w:rPr>
        <w:t>许玮暄</w:t>
      </w:r>
    </w:p>
    <w:p>
      <w:pPr>
        <w:keepNext w:val="0"/>
        <w:keepLines w:val="0"/>
        <w:pageBreakBefore w:val="0"/>
        <w:widowControl w:val="0"/>
        <w:kinsoku/>
        <w:wordWrap/>
        <w:overflowPunct/>
        <w:topLinePunct w:val="0"/>
        <w:autoSpaceDE/>
        <w:autoSpaceDN/>
        <w:bidi w:val="0"/>
        <w:adjustRightInd/>
        <w:snapToGrid/>
        <w:spacing w:line="460" w:lineRule="exact"/>
        <w:jc w:val="both"/>
        <w:textAlignment w:val="auto"/>
        <w:rPr>
          <w:rFonts w:hint="eastAsia" w:ascii="楷体" w:hAnsi="楷体" w:eastAsia="楷体" w:cs="楷体"/>
          <w:sz w:val="18"/>
          <w:szCs w:val="18"/>
          <w:lang w:val="en-US" w:eastAsia="zh-CN"/>
        </w:rPr>
      </w:pPr>
      <w:r>
        <w:rPr>
          <w:rFonts w:hint="eastAsia" w:ascii="楷体" w:hAnsi="楷体" w:eastAsia="楷体" w:cs="楷体"/>
          <w:sz w:val="18"/>
          <w:szCs w:val="18"/>
          <w:lang w:val="en-US" w:eastAsia="zh-CN"/>
        </w:rPr>
        <w:t>摘要：《义务教育语文课程标准（2022版）》明确了“核心素养”</w:t>
      </w:r>
      <w:bookmarkStart w:id="0" w:name="_GoBack"/>
      <w:bookmarkEnd w:id="0"/>
      <w:r>
        <w:rPr>
          <w:rFonts w:hint="eastAsia" w:ascii="楷体" w:hAnsi="楷体" w:eastAsia="楷体" w:cs="楷体"/>
          <w:sz w:val="18"/>
          <w:szCs w:val="18"/>
          <w:lang w:val="en-US" w:eastAsia="zh-CN"/>
        </w:rPr>
        <w:t>的内涵和定义，而创设情境化课堂是落实语文核心素养的主要途径之一。本文以部编版九下口语交际版块《辩论》为切口，探讨了初中语文模拟辩论情境的课堂实施策略。教师通过模拟辩论情境,开拓课文之外的语文实践空间，依托具体文本,立足语文核心知识，在过程中带领学生深度学习，唤醒学生的自我意识，在实践中激发学生的能力和素养，催生追问-探究型课堂，</w:t>
      </w:r>
    </w:p>
    <w:p>
      <w:pPr>
        <w:keepNext w:val="0"/>
        <w:keepLines w:val="0"/>
        <w:pageBreakBefore w:val="0"/>
        <w:widowControl w:val="0"/>
        <w:kinsoku/>
        <w:wordWrap/>
        <w:overflowPunct/>
        <w:topLinePunct w:val="0"/>
        <w:autoSpaceDE/>
        <w:autoSpaceDN/>
        <w:bidi w:val="0"/>
        <w:adjustRightInd/>
        <w:snapToGrid/>
        <w:spacing w:line="460" w:lineRule="exact"/>
        <w:jc w:val="left"/>
        <w:textAlignment w:val="auto"/>
        <w:rPr>
          <w:rFonts w:hint="eastAsia" w:ascii="楷体" w:hAnsi="楷体" w:eastAsia="楷体" w:cs="楷体"/>
          <w:sz w:val="18"/>
          <w:szCs w:val="18"/>
          <w:lang w:val="en-US" w:eastAsia="zh-CN"/>
        </w:rPr>
      </w:pPr>
      <w:r>
        <w:rPr>
          <w:rFonts w:hint="eastAsia" w:ascii="楷体" w:hAnsi="楷体" w:eastAsia="楷体" w:cs="楷体"/>
          <w:sz w:val="18"/>
          <w:szCs w:val="18"/>
          <w:lang w:val="en-US" w:eastAsia="zh-CN"/>
        </w:rPr>
        <w:t>关键词：核心素养；情境化；辩论</w:t>
      </w:r>
    </w:p>
    <w:p>
      <w:pPr>
        <w:keepNext w:val="0"/>
        <w:keepLines w:val="0"/>
        <w:pageBreakBefore w:val="0"/>
        <w:widowControl w:val="0"/>
        <w:kinsoku/>
        <w:wordWrap/>
        <w:overflowPunct/>
        <w:topLinePunct w:val="0"/>
        <w:autoSpaceDE/>
        <w:autoSpaceDN/>
        <w:bidi w:val="0"/>
        <w:adjustRightInd/>
        <w:snapToGrid/>
        <w:spacing w:line="460" w:lineRule="exact"/>
        <w:jc w:val="both"/>
        <w:textAlignment w:val="auto"/>
        <w:rPr>
          <w:rFonts w:hint="default" w:ascii="楷体" w:hAnsi="楷体" w:eastAsia="楷体" w:cs="楷体"/>
          <w:sz w:val="18"/>
          <w:szCs w:val="18"/>
          <w:lang w:val="en-US" w:eastAsia="zh-CN"/>
        </w:rPr>
      </w:pPr>
      <w:r>
        <w:rPr>
          <w:rFonts w:hint="eastAsia" w:ascii="楷体" w:hAnsi="楷体" w:eastAsia="楷体" w:cs="楷体"/>
          <w:sz w:val="18"/>
          <w:szCs w:val="18"/>
          <w:lang w:val="en-US" w:eastAsia="zh-CN"/>
        </w:rPr>
        <w:t>作者简介：许玮暄，上海市第二初级中学语文教师，中学二级教师</w:t>
      </w:r>
    </w:p>
    <w:p>
      <w:pPr>
        <w:keepNext w:val="0"/>
        <w:keepLines w:val="0"/>
        <w:pageBreakBefore w:val="0"/>
        <w:widowControl w:val="0"/>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《普通高中语文课程标准（2017年版2020年修订）》</w:t>
      </w:r>
      <w:r>
        <w:rPr>
          <w:rFonts w:hint="eastAsia" w:ascii="宋体" w:hAnsi="宋体" w:eastAsia="宋体" w:cs="宋体"/>
          <w:sz w:val="21"/>
          <w:szCs w:val="21"/>
          <w:vertAlign w:val="superscript"/>
          <w:lang w:val="en-US" w:eastAsia="zh-CN"/>
        </w:rPr>
        <w:t>[1]</w:t>
      </w:r>
      <w:r>
        <w:rPr>
          <w:rFonts w:hint="eastAsia" w:ascii="宋体" w:hAnsi="宋体" w:eastAsia="宋体" w:cs="宋体"/>
          <w:sz w:val="21"/>
          <w:szCs w:val="21"/>
          <w:lang w:val="en-US" w:eastAsia="zh-CN"/>
        </w:rPr>
        <w:t>指出“语文学科核心素养是学生在积极的语言实践活动中积累与建构起来，并在真实的语言运用情境中表现出来的语言能力及其品质”；《义务教育语文课程标准（2022版）》</w:t>
      </w:r>
      <w:r>
        <w:rPr>
          <w:rFonts w:hint="eastAsia" w:ascii="宋体" w:hAnsi="宋体" w:eastAsia="宋体" w:cs="宋体"/>
          <w:sz w:val="21"/>
          <w:szCs w:val="21"/>
          <w:vertAlign w:val="superscript"/>
          <w:lang w:val="en-US" w:eastAsia="zh-CN"/>
        </w:rPr>
        <w:t>[2]</w:t>
      </w:r>
      <w:r>
        <w:rPr>
          <w:rFonts w:hint="eastAsia" w:ascii="宋体" w:hAnsi="宋体" w:eastAsia="宋体" w:cs="宋体"/>
          <w:sz w:val="21"/>
          <w:szCs w:val="21"/>
          <w:vertAlign w:val="baseline"/>
          <w:lang w:val="en-US" w:eastAsia="zh-CN"/>
        </w:rPr>
        <w:t>沿袭了这一内涵与定义,并指出“</w:t>
      </w:r>
      <w:r>
        <w:rPr>
          <w:rFonts w:hint="eastAsia" w:ascii="宋体" w:hAnsi="宋体" w:eastAsia="宋体" w:cs="宋体"/>
          <w:sz w:val="21"/>
          <w:szCs w:val="21"/>
          <w:lang w:val="en-US" w:eastAsia="zh-CN"/>
        </w:rPr>
        <w:t>是文化自信和语言运用、思维能力、审美创造的综合体现”。那么，如何让语文核心素养在课堂上“落地”、“生根”? 创设情境化课堂是主要途径之一。</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所谓情境，是指课堂教学内容涉及的语境</w:t>
      </w:r>
      <w:r>
        <w:rPr>
          <w:rFonts w:hint="eastAsia" w:ascii="宋体" w:hAnsi="宋体" w:eastAsia="宋体" w:cs="宋体"/>
          <w:sz w:val="21"/>
          <w:szCs w:val="21"/>
          <w:vertAlign w:val="superscript"/>
          <w:lang w:val="en-US" w:eastAsia="zh-CN"/>
        </w:rPr>
        <w:t>[3]</w:t>
      </w:r>
      <w:r>
        <w:rPr>
          <w:rFonts w:hint="eastAsia" w:ascii="宋体" w:hAnsi="宋体" w:eastAsia="宋体" w:cs="宋体"/>
          <w:sz w:val="21"/>
          <w:szCs w:val="21"/>
          <w:lang w:val="en-US" w:eastAsia="zh-CN"/>
        </w:rPr>
        <w:t>。部编版九下口语交际版块，提到“辩论”是一种日常生活和社会活动中常用的以驳倒对方观点、确立己方观点为目的的程序性较强的口语交际方式。笔者将“辩论”定义为模拟情境，它不是生活化的真实情境，也不是任务驱动型的问题情境，而是模拟出一种口语交际的互动场景,依托具体文本,立足语文核心知识，开拓课文之外的语文实践空间，在过程中唤醒学生的自我意识，催生追问-探究型课堂。</w:t>
      </w:r>
    </w:p>
    <w:p>
      <w:pPr>
        <w:keepNext w:val="0"/>
        <w:keepLines w:val="0"/>
        <w:pageBreakBefore w:val="0"/>
        <w:widowControl w:val="0"/>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为何模拟辩论情境能有效唤醒学生的自我意识？</w:t>
      </w:r>
    </w:p>
    <w:p>
      <w:pPr>
        <w:keepNext w:val="0"/>
        <w:keepLines w:val="0"/>
        <w:pageBreakBefore w:val="0"/>
        <w:widowControl w:val="0"/>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我们将弗洛伊德“本我”和“自我”这组概念迁移到学生这一主体上。弗洛伊德的人格结构模型认为,人的个性由三个动态的组织系统互动组成：本我</w:t>
      </w:r>
      <w:r>
        <w:rPr>
          <w:rFonts w:hint="default" w:ascii="Times New Roman" w:hAnsi="Times New Roman" w:eastAsia="宋体" w:cs="Times New Roman"/>
          <w:sz w:val="21"/>
          <w:szCs w:val="21"/>
          <w:lang w:val="en-US" w:eastAsia="zh-CN"/>
        </w:rPr>
        <w:t>（Id）</w:t>
      </w:r>
      <w:r>
        <w:rPr>
          <w:rFonts w:hint="eastAsia" w:ascii="宋体" w:hAnsi="宋体" w:eastAsia="宋体" w:cs="宋体"/>
          <w:sz w:val="21"/>
          <w:szCs w:val="21"/>
          <w:lang w:val="en-US" w:eastAsia="zh-CN"/>
        </w:rPr>
        <w:t>、自我</w:t>
      </w:r>
      <w:r>
        <w:rPr>
          <w:rFonts w:hint="eastAsia" w:ascii="Times New Roman" w:hAnsi="Times New Roman" w:eastAsia="宋体" w:cs="Times New Roman"/>
          <w:sz w:val="21"/>
          <w:szCs w:val="21"/>
          <w:lang w:val="en-US" w:eastAsia="zh-CN"/>
        </w:rPr>
        <w:t>（Ego）</w:t>
      </w:r>
      <w:r>
        <w:rPr>
          <w:rFonts w:hint="eastAsia" w:ascii="宋体" w:hAnsi="宋体" w:eastAsia="宋体" w:cs="宋体"/>
          <w:sz w:val="21"/>
          <w:szCs w:val="21"/>
          <w:lang w:val="en-US" w:eastAsia="zh-CN"/>
        </w:rPr>
        <w:t>、超我</w:t>
      </w:r>
      <w:r>
        <w:rPr>
          <w:rFonts w:hint="eastAsia" w:ascii="Times New Roman" w:hAnsi="Times New Roman" w:eastAsia="宋体" w:cs="Times New Roman"/>
          <w:sz w:val="21"/>
          <w:szCs w:val="21"/>
          <w:lang w:val="en-US" w:eastAsia="zh-CN"/>
        </w:rPr>
        <w:t>（Supergeo）</w:t>
      </w:r>
      <w:r>
        <w:rPr>
          <w:rFonts w:hint="eastAsia" w:ascii="Times New Roman" w:hAnsi="Times New Roman" w:eastAsia="宋体" w:cs="Times New Roman"/>
          <w:sz w:val="21"/>
          <w:szCs w:val="21"/>
          <w:vertAlign w:val="superscript"/>
          <w:lang w:val="en-US" w:eastAsia="zh-CN"/>
        </w:rPr>
        <w:t>[4]</w:t>
      </w:r>
      <w:r>
        <w:rPr>
          <w:rFonts w:hint="eastAsia" w:ascii="宋体" w:hAnsi="宋体" w:eastAsia="宋体" w:cs="宋体"/>
          <w:sz w:val="21"/>
          <w:szCs w:val="21"/>
          <w:lang w:val="en-US" w:eastAsia="zh-CN"/>
        </w:rPr>
        <w:t>。其中，“本我”是人一种与生俱来的动物性的本能冲动，而“自我”则要对“本我”激发出的本能行为做出理性或正确的判断。学生对知识产生疑惑进而提出质疑，是一种受求知欲望驱动的潜意识的“本我”行为，而这时的“自我”就是来满足个体需求，通过决策和行动与外界互动的一方，即学生在思考分析问题过程中，唤醒出来与“本我”进行对话和较量的存在，体现在语言表达上，会不断反问自己“为什么”，追问“怎么办”，对知识追本溯源。</w:t>
      </w:r>
    </w:p>
    <w:p>
      <w:pPr>
        <w:keepNext w:val="0"/>
        <w:keepLines w:val="0"/>
        <w:pageBreakBefore w:val="0"/>
        <w:widowControl w:val="0"/>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在传统课堂中，“自我”的角色往往由教师来扮演，教师通过设置逐级体现思维水平的问题，抛砖引玉，引导学生回答。然而教师的提问或经常带有强烈的指向性，通过引导学生说出预设的答案，以期推动课堂学习任务的落实和环节的推进。而由学生主导的课堂便应该把“自我”的角色交还给学生自己。模拟辩论情境便是唤醒学生自我意识的有效学习支架，进而催生追问-探究型课堂。</w:t>
      </w:r>
    </w:p>
    <w:p>
      <w:pPr>
        <w:keepNext w:val="0"/>
        <w:keepLines w:val="0"/>
        <w:pageBreakBefore w:val="0"/>
        <w:widowControl w:val="0"/>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我们以部编版八上语文第六单元课文《愚公移山》为例。在对文本进行疏通文意之后，教师大可以大胆地将第二课时的内容理解交由学生以“辩论”的形式来完成。辩论一般分为立论、攻辩、自由辩论和总结陈词四个环节，于是我们严格遵照一辩立论陈词、二辩驳斥立论-深化论点、三辩盘问质疑-质辩小结、四辩总结陈词进行职能分工。模拟辩论情境，旨在创设真实的语言活动，因而教师需要在赛前设计一套精致周密的赛制，赛制设计越丰富，学生身临其境的体验感就越强，积极性和投入度就越高。笔者借鉴到时下的热门综艺《乘风破浪的姐姐》中的赛制流程进行改良设计：</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vertAlign w:val="baseline"/>
                <w:lang w:val="en-US" w:eastAsia="zh-CN"/>
              </w:rPr>
            </w:pPr>
            <w:r>
              <w:rPr>
                <w:rFonts w:hint="eastAsia" w:ascii="宋体" w:hAnsi="宋体" w:eastAsia="宋体" w:cs="宋体"/>
                <w:b/>
                <w:bCs/>
                <w:sz w:val="21"/>
                <w:szCs w:val="21"/>
                <w:vertAlign w:val="baseline"/>
                <w:lang w:val="en-US" w:eastAsia="zh-CN"/>
              </w:rPr>
              <w:t>辩论赛制流程细则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1.以自荐和票选的形式，推选出四位辩论队创始人，以创始人和加盟者双向互选的形式，完成分组，展开A、B两组“同题异辩”的初赛。</w:t>
            </w:r>
          </w:p>
          <w:p>
            <w:pPr>
              <w:keepNext w:val="0"/>
              <w:keepLines w:val="0"/>
              <w:pageBreakBefore w:val="0"/>
              <w:widowControl w:val="0"/>
              <w:kinsoku/>
              <w:wordWrap/>
              <w:overflowPunct/>
              <w:topLinePunct w:val="0"/>
              <w:autoSpaceDE/>
              <w:autoSpaceDN/>
              <w:bidi w:val="0"/>
              <w:adjustRightInd/>
              <w:snapToGrid/>
              <w:spacing w:line="460" w:lineRule="exact"/>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2.剩余未加盟的同学组成一支大众评审团，参与正反双方观点讨论会的旁听。</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3.两组辩论各20分钟，严格遵照一辩立论陈词、二辩驳斥立论-深化论点、三辩盘问质疑-质辩小结、四辩总结陈词进行职能分工。</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4.大众评审团进行赛后观点的质询和补充。</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5.由大众评审团票选出两组辩论赛中的获胜队伍，推选一支最佳联创队全员晋级。</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6.大众评审团进行统分确定剩余三支队伍的顺位排名，总分最高的队伍产生两个晋级名额，总分垫后的两支队伍各产生一个晋级名额，组成一支全新的四人联创队。</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7.经过初赛的选拔，一支原班联创队和一支重组联创队晋级决赛，进行冠军角逐。</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lang w:val="en-US" w:eastAsia="zh-CN"/>
              </w:rPr>
              <w:t>8.决赛辩题基于初赛辩论中有争议的辩点来确定。</w:t>
            </w:r>
          </w:p>
        </w:tc>
      </w:tr>
    </w:tbl>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表1 辩论赛制流程细则</w:t>
      </w:r>
    </w:p>
    <w:p>
      <w:pPr>
        <w:keepNext w:val="0"/>
        <w:keepLines w:val="0"/>
        <w:pageBreakBefore w:val="0"/>
        <w:widowControl w:val="0"/>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以自由联创方式组队，以自荐和票选的形式诞生四位创始人，带领正反双方各两支辩论队，以创始人和加盟者双向互选的形式进行自由组队，确保各支队伍实力均衡，以强带弱的协同合作模式。设置A、B两组“同题异辩”的初赛，是为确保参与辩论的学生基数，不局限于少数资优生，也允许学生们对文本的不同理解和观点百花齐放。初赛之后，四支队伍中最终获胜者将团队全员晋级决赛，强调团队协同合作的有效性和重要性。剩余三只队伍根据团队顺位的排名，依次产生相应的晋级名额，重组辩论队，增强竞技比赛的观赏性，激发辩手的潜能和胜负欲。所谓情景化课堂教学，不能只是创设一个即时的氛围，也要考虑到延时的效果。因而决赛辩题将基于初赛辩论中有争议的辩点，作为课后延伸活动展开，引导学生运用高阶思维解决问题，锻造学生的语言意识。</w:t>
      </w:r>
    </w:p>
    <w:p>
      <w:pPr>
        <w:keepNext w:val="0"/>
        <w:keepLines w:val="0"/>
        <w:pageBreakBefore w:val="0"/>
        <w:widowControl w:val="0"/>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在赛前准备阶段，教师还需要参与学生的观点讨论会，指导学生如何确立己方观点，构想批驳思路。需要注意的是，教师要提醒学生，观点的确立和佐证观点的论据必须要立足于文本内容，取之有道，在此基础上方可进行理解的外延。如温儒敏所说，“要避免过于重视情境和活动而忽视经典阅读的问题”。</w:t>
      </w:r>
    </w:p>
    <w:p>
      <w:pPr>
        <w:keepNext w:val="0"/>
        <w:keepLines w:val="0"/>
        <w:pageBreakBefore w:val="0"/>
        <w:widowControl w:val="0"/>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以下是上海市某中学八年3班正反双方一、二辩的观点节选：</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2"/>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vertAlign w:val="baseline"/>
                <w:lang w:val="en-US" w:eastAsia="zh-CN"/>
              </w:rPr>
            </w:pPr>
            <w:r>
              <w:rPr>
                <w:rFonts w:hint="eastAsia" w:ascii="宋体" w:hAnsi="宋体" w:eastAsia="宋体" w:cs="宋体"/>
                <w:b/>
                <w:bCs/>
                <w:sz w:val="21"/>
                <w:szCs w:val="21"/>
                <w:vertAlign w:val="baseline"/>
                <w:lang w:val="en-US" w:eastAsia="zh-CN"/>
              </w:rPr>
              <w:t>辩题：愚公能不能移山？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trPr>
        <w:tc>
          <w:tcPr>
            <w:tcW w:w="4261"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sz w:val="21"/>
                <w:szCs w:val="21"/>
                <w:vertAlign w:val="baseline"/>
                <w:lang w:val="en-US" w:eastAsia="zh-CN"/>
              </w:rPr>
            </w:pPr>
            <w:r>
              <w:rPr>
                <w:rFonts w:hint="eastAsia" w:ascii="宋体" w:hAnsi="宋体" w:eastAsia="宋体" w:cs="宋体"/>
                <w:b/>
                <w:bCs/>
                <w:sz w:val="21"/>
                <w:szCs w:val="21"/>
                <w:vertAlign w:val="baseline"/>
                <w:lang w:val="en-US" w:eastAsia="zh-CN"/>
              </w:rPr>
              <w:t>正方一辩（立论陈词）</w:t>
            </w:r>
          </w:p>
        </w:tc>
        <w:tc>
          <w:tcPr>
            <w:tcW w:w="4261"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sz w:val="21"/>
                <w:szCs w:val="21"/>
                <w:vertAlign w:val="baseline"/>
                <w:lang w:val="en-US" w:eastAsia="zh-CN"/>
              </w:rPr>
            </w:pPr>
            <w:r>
              <w:rPr>
                <w:rFonts w:hint="eastAsia" w:ascii="宋体" w:hAnsi="宋体" w:eastAsia="宋体" w:cs="宋体"/>
                <w:b/>
                <w:bCs/>
                <w:sz w:val="21"/>
                <w:szCs w:val="21"/>
                <w:vertAlign w:val="baseline"/>
                <w:lang w:val="en-US" w:eastAsia="zh-CN"/>
              </w:rPr>
              <w:t>反方一辩（立论陈词）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9" w:hRule="atLeast"/>
        </w:trPr>
        <w:tc>
          <w:tcPr>
            <w:tcW w:w="4261" w:type="dxa"/>
            <w:vAlign w:val="center"/>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我方认为愚公能移山。</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愚公说：“子子孙孙无穷匮也”，可见他的子孙也会跟着去移山，他这样做是为造福千秋万代。而智叟用自己狭隘的目光不做改变，来断送子子孙孙后代们能够畅通无阻地走出山谷的希望，这才是最目光短浅的决定！俗话说，有志者事竟成。只要有决心，移山大业便一定能做到。</w:t>
            </w:r>
          </w:p>
        </w:tc>
        <w:tc>
          <w:tcPr>
            <w:tcW w:w="4261" w:type="dxa"/>
            <w:vAlign w:val="center"/>
          </w:tcPr>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我方认为愚公不能移山。</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jc w:val="both"/>
              <w:textAlignment w:val="auto"/>
              <w:rPr>
                <w:rFonts w:hint="default" w:ascii="宋体" w:hAnsi="宋体" w:eastAsia="宋体" w:cs="宋体"/>
                <w:sz w:val="21"/>
                <w:szCs w:val="21"/>
                <w:lang w:val="en-US" w:eastAsia="zh-CN"/>
              </w:rPr>
            </w:pPr>
            <w:r>
              <w:rPr>
                <w:rFonts w:hint="eastAsia" w:ascii="宋体" w:hAnsi="宋体" w:eastAsia="宋体" w:cs="宋体"/>
                <w:sz w:val="21"/>
                <w:szCs w:val="21"/>
              </w:rPr>
              <w:t>从</w:t>
            </w:r>
            <w:r>
              <w:rPr>
                <w:rFonts w:hint="eastAsia" w:ascii="宋体" w:hAnsi="宋体" w:eastAsia="宋体" w:cs="宋体"/>
                <w:sz w:val="21"/>
                <w:szCs w:val="21"/>
                <w:lang w:val="en-US" w:eastAsia="zh-CN"/>
              </w:rPr>
              <w:t>现实角度出发，山“方七百里，高万仞”和移山到“渤海之尾，隐土之北”的距离，可见移山并不具有可行性。且移山属于愚公的个人提议和决策</w:t>
            </w:r>
            <w:r>
              <w:rPr>
                <w:rFonts w:hint="eastAsia" w:ascii="宋体" w:hAnsi="宋体" w:eastAsia="宋体" w:cs="宋体"/>
                <w:sz w:val="21"/>
                <w:szCs w:val="21"/>
              </w:rPr>
              <w:t>，从他提出这个设想开始，往后的子孙就要放弃自己本来的事业将这辈子</w:t>
            </w:r>
            <w:r>
              <w:rPr>
                <w:rFonts w:hint="eastAsia" w:ascii="宋体" w:hAnsi="宋体" w:eastAsia="宋体" w:cs="宋体"/>
                <w:sz w:val="21"/>
                <w:szCs w:val="21"/>
                <w:lang w:val="en-US" w:eastAsia="zh-CN"/>
              </w:rPr>
              <w:t>的精力</w:t>
            </w:r>
            <w:r>
              <w:rPr>
                <w:rFonts w:hint="eastAsia" w:ascii="宋体" w:hAnsi="宋体" w:eastAsia="宋体" w:cs="宋体"/>
                <w:sz w:val="21"/>
                <w:szCs w:val="21"/>
              </w:rPr>
              <w:t>花费在移山上，这是极不公平的</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且移山会破坏生态环境，损害珍稀动植物。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sz w:val="21"/>
                <w:szCs w:val="21"/>
                <w:vertAlign w:val="baseline"/>
                <w:lang w:val="en-US" w:eastAsia="zh-CN"/>
              </w:rPr>
            </w:pPr>
            <w:r>
              <w:rPr>
                <w:rFonts w:hint="eastAsia" w:ascii="宋体" w:hAnsi="宋体" w:eastAsia="宋体" w:cs="宋体"/>
                <w:b/>
                <w:bCs/>
                <w:sz w:val="21"/>
                <w:szCs w:val="21"/>
                <w:vertAlign w:val="baseline"/>
                <w:lang w:val="en-US" w:eastAsia="zh-CN"/>
              </w:rPr>
              <w:t>正方二辩（驳斥立论-深化论点）</w:t>
            </w:r>
          </w:p>
        </w:tc>
        <w:tc>
          <w:tcPr>
            <w:tcW w:w="4261"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sz w:val="21"/>
                <w:szCs w:val="21"/>
                <w:vertAlign w:val="baseline"/>
                <w:lang w:val="en-US" w:eastAsia="zh-CN"/>
              </w:rPr>
            </w:pPr>
            <w:r>
              <w:rPr>
                <w:rFonts w:hint="eastAsia" w:ascii="宋体" w:hAnsi="宋体" w:eastAsia="宋体" w:cs="宋体"/>
                <w:b/>
                <w:bCs/>
                <w:sz w:val="21"/>
                <w:szCs w:val="21"/>
                <w:vertAlign w:val="baseline"/>
                <w:lang w:val="en-US" w:eastAsia="zh-CN"/>
              </w:rPr>
              <w:t>反方二辩（驳斥立论-深化论点）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反方一辩所说的移山是愚公的个人决策有误。首先，愚公基于“山北之塞，出入之迂”这一现实阻碍提出移山的想法，是在此居住的所有百姓都将面临的问题，这说明他有强烈的民本思想。当他提议时身边人皆“杂然相许”，在这一过程中，有“荷担者三夫”、始龀的“遗男”等人都出手相助，说明他们对此表示支持，何况“子子孙孙无穷匮也”。愚公勇于挑战和直面困难的精神力量也为后世子孙做出良好示范，文末“帝感其诚，命夸娥氏二子负其山”，虽带有神话色彩，实则是为了传达人定胜天的思想。再者，你方提到移山会造成资源损耗，但移山过程中也可能挖到是矿产和石油。</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lang w:val="en-US" w:eastAsia="zh-CN"/>
              </w:rPr>
              <w:t>  我方认为，愚公所在的时代是中国古代封建社会，甚至是奴隶社会，当时的思想观念也跟现在不一样。在古代，家是他们的根本所在，古人安土重迁，这也可能是他们选择移山的初衷和动力。你方也许会提出更有效率的策略，但却未考虑到“安土重迁”恰恰也是古人根深蒂固的观念。</w:t>
            </w:r>
          </w:p>
        </w:tc>
        <w:tc>
          <w:tcPr>
            <w:tcW w:w="4261" w:type="dxa"/>
          </w:tcPr>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我方认为你方所认为的“人定胜天”“事在人为”更多时候是一种自我感动，却缺乏理性考量。</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从技术和人力角度，“叩石垦壤，箕畚运于渤海之尾”，移山所用的技术是纯靠人一铲一铲地挖，而这两座大山险峻高大，用这种人力技术是无法完全铲除的，且你方所说的的“荷担者三夫”和“遗男”的意愿并不能代表所有的邻居和村民的意愿。从经济效益方面，中国古代是农耕社会，把种田的劳动力都用在移山上，显然是不行的。从时间安排上，“寒暑易节，始一反焉”说明耗费时间长，当时移山是为了通路，为了尽快地走出去，显然在时间上是有限制的，而移山如果要耗费几代人的时间，“走出去”的目的也就达不到。从村民舆论来说，一开始村民可能还是“杂然相许”，但是随着时间的推移，如果效果甚微，肯定会引发村民的的质疑和反动。</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textAlignment w:val="auto"/>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所以，愚公精神固然值得赞赏，但不是有信念就一定能实现的，还需要考虑各种现实因素。</w:t>
            </w:r>
          </w:p>
        </w:tc>
      </w:tr>
    </w:tbl>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表2 辩论观点节选</w:t>
      </w:r>
    </w:p>
    <w:p>
      <w:pPr>
        <w:keepNext w:val="0"/>
        <w:keepLines w:val="0"/>
        <w:pageBreakBefore w:val="0"/>
        <w:widowControl w:val="0"/>
        <w:kinsoku/>
        <w:wordWrap/>
        <w:overflowPunct/>
        <w:topLinePunct w:val="0"/>
        <w:autoSpaceDE/>
        <w:autoSpaceDN/>
        <w:bidi w:val="0"/>
        <w:adjustRightInd/>
        <w:snapToGrid/>
        <w:spacing w:line="460" w:lineRule="exact"/>
        <w:ind w:firstLine="420" w:firstLineChars="200"/>
        <w:jc w:val="left"/>
        <w:textAlignment w:val="auto"/>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通过模拟辩论情境，课堂完全交由学生来主导，深度学习（</w:t>
      </w:r>
      <w:r>
        <w:rPr>
          <w:rFonts w:hint="default" w:ascii="Times New Roman" w:hAnsi="Times New Roman" w:eastAsia="宋体" w:cs="Times New Roman"/>
          <w:sz w:val="21"/>
          <w:szCs w:val="21"/>
          <w:lang w:val="en-US" w:eastAsia="zh-CN"/>
        </w:rPr>
        <w:t>deep learning</w:t>
      </w:r>
      <w:r>
        <w:rPr>
          <w:rFonts w:hint="eastAsia" w:ascii="宋体" w:hAnsi="宋体" w:eastAsia="宋体" w:cs="宋体"/>
          <w:sz w:val="21"/>
          <w:szCs w:val="21"/>
          <w:lang w:val="en-US" w:eastAsia="zh-CN"/>
        </w:rPr>
        <w:t>）得以实现。“深度学习”这一概念目前已经成为新课改的重要理念和实践方式。钟启泉（2021）认为要覆盖三个视点</w:t>
      </w:r>
      <w:r>
        <w:rPr>
          <w:rFonts w:hint="eastAsia" w:ascii="宋体" w:hAnsi="宋体" w:eastAsia="宋体" w:cs="宋体"/>
          <w:sz w:val="21"/>
          <w:szCs w:val="21"/>
          <w:vertAlign w:val="superscript"/>
          <w:lang w:val="en-US" w:eastAsia="zh-CN"/>
        </w:rPr>
        <w:t>[5]</w:t>
      </w:r>
      <w:r>
        <w:rPr>
          <w:rFonts w:hint="eastAsia" w:ascii="宋体" w:hAnsi="宋体" w:eastAsia="宋体" w:cs="宋体"/>
          <w:sz w:val="21"/>
          <w:szCs w:val="21"/>
          <w:lang w:val="en-US" w:eastAsia="zh-CN"/>
        </w:rPr>
        <w:t>：“主体性学习”、“对话性学习”、“协同性学习”。学生在赛前准备环节需要事先撰写辩论提纲，分析并明确己方观点，还要考虑对方可能使用的论据与论述思路，推测对方可能出现的漏洞，构想己方批驳的思路，由此检测己方的观点表述和逻辑推理是否周密严谨，防止对方在攻辩驳论环节时有可趁之机，这一过程中通过批判性思考，不断追问和探究，对现有知识进行拓展迁移，深化认知，便自觉唤醒了自我意识，因而主体性和对话性学习得以彰显。辩论作为一种以协同合作形式开展的思辨性口语实践活动，在辩论过程中内部观点要保持一致性，不能自相矛盾，立场游移，一支队伍中的四位辩手要在有限时间内保持注意力的高度集中和频道一致，发现对方观点和论据的错漏、论证方法的错误等问题，要群策群力，精诚合作，“深度学习”中的“协同性学习”得以体现。</w:t>
      </w:r>
    </w:p>
    <w:p>
      <w:pPr>
        <w:keepNext w:val="0"/>
        <w:keepLines w:val="0"/>
        <w:pageBreakBefore w:val="0"/>
        <w:widowControl w:val="0"/>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而未参与课堂辩论赛的其余学生，也应具身参与其中，他们可以组成一支大众评审团，参与正反双方观点讨论会的旁听，负责比赛纪要，评价量表的设计，以及赛后观点的质询和补充，遴选出“最佳辩手”，完成辩论赛赛制的闭环。</w:t>
      </w:r>
    </w:p>
    <w:p>
      <w:pPr>
        <w:keepNext w:val="0"/>
        <w:keepLines w:val="0"/>
        <w:pageBreakBefore w:val="0"/>
        <w:widowControl w:val="0"/>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以下是大众评审团评价量表模板：</w:t>
      </w:r>
    </w:p>
    <w:p>
      <w:pPr>
        <w:keepNext w:val="0"/>
        <w:keepLines w:val="0"/>
        <w:pageBreakBefore w:val="0"/>
        <w:widowControl w:val="0"/>
        <w:kinsoku/>
        <w:wordWrap/>
        <w:overflowPunct/>
        <w:topLinePunct w:val="0"/>
        <w:autoSpaceDE/>
        <w:autoSpaceDN/>
        <w:bidi w:val="0"/>
        <w:adjustRightInd/>
        <w:snapToGrid/>
        <w:spacing w:line="460" w:lineRule="exact"/>
        <w:ind w:firstLine="420" w:firstLineChars="200"/>
        <w:jc w:val="left"/>
        <w:textAlignment w:val="auto"/>
        <w:rPr>
          <w:rFonts w:hint="default" w:ascii="宋体" w:hAnsi="宋体" w:eastAsia="宋体" w:cs="宋体"/>
          <w:sz w:val="21"/>
          <w:szCs w:val="21"/>
          <w:lang w:val="en-US" w:eastAsia="zh-CN"/>
        </w:rPr>
      </w:pPr>
    </w:p>
    <w:p>
      <w:pPr>
        <w:keepNext w:val="0"/>
        <w:keepLines w:val="0"/>
        <w:pageBreakBefore w:val="0"/>
        <w:widowControl w:val="0"/>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eastAsia="宋体" w:cs="宋体"/>
          <w:sz w:val="21"/>
          <w:szCs w:val="21"/>
          <w:lang w:val="en-US" w:eastAsia="zh-CN"/>
        </w:rPr>
      </w:pPr>
    </w:p>
    <w:p>
      <w:pPr>
        <w:keepNext w:val="0"/>
        <w:keepLines w:val="0"/>
        <w:pageBreakBefore w:val="0"/>
        <w:widowControl w:val="0"/>
        <w:kinsoku/>
        <w:wordWrap/>
        <w:overflowPunct/>
        <w:topLinePunct w:val="0"/>
        <w:autoSpaceDE/>
        <w:autoSpaceDN/>
        <w:bidi w:val="0"/>
        <w:adjustRightInd/>
        <w:snapToGrid/>
        <w:spacing w:line="460" w:lineRule="exact"/>
        <w:jc w:val="left"/>
        <w:textAlignment w:val="auto"/>
        <w:rPr>
          <w:rFonts w:hint="default" w:ascii="宋体" w:hAnsi="宋体" w:eastAsia="宋体" w:cs="宋体"/>
          <w:sz w:val="21"/>
          <w:szCs w:val="21"/>
          <w:lang w:val="en-US" w:eastAsia="zh-CN"/>
        </w:rPr>
      </w:pP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14"/>
        <w:gridCol w:w="2318"/>
        <w:gridCol w:w="1214"/>
        <w:gridCol w:w="1213"/>
        <w:gridCol w:w="1251"/>
        <w:gridCol w:w="13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1214" w:type="dxa"/>
            <w:vMerge w:val="restart"/>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vertAlign w:val="baseline"/>
                <w:lang w:eastAsia="zh-CN"/>
              </w:rPr>
            </w:pPr>
            <w:r>
              <w:rPr>
                <w:rFonts w:hint="eastAsia" w:ascii="宋体" w:hAnsi="宋体" w:eastAsia="宋体" w:cs="宋体"/>
                <w:b/>
                <w:bCs/>
                <w:sz w:val="21"/>
                <w:szCs w:val="21"/>
                <w:lang w:val="en-US" w:eastAsia="zh-CN"/>
              </w:rPr>
              <w:t>评分项目</w:t>
            </w:r>
          </w:p>
        </w:tc>
        <w:tc>
          <w:tcPr>
            <w:tcW w:w="2318" w:type="dxa"/>
            <w:vMerge w:val="restart"/>
            <w:vAlign w:val="center"/>
          </w:tcPr>
          <w:p>
            <w:pPr>
              <w:jc w:val="center"/>
              <w:rPr>
                <w:rFonts w:hint="default" w:ascii="宋体" w:hAnsi="宋体" w:eastAsia="宋体" w:cs="宋体"/>
                <w:b/>
                <w:bCs/>
                <w:sz w:val="21"/>
                <w:szCs w:val="21"/>
                <w:vertAlign w:val="baseline"/>
                <w:lang w:val="en-US" w:eastAsia="zh-CN"/>
              </w:rPr>
            </w:pPr>
            <w:r>
              <w:rPr>
                <w:rFonts w:hint="eastAsia" w:ascii="宋体" w:hAnsi="宋体" w:eastAsia="宋体" w:cs="宋体"/>
                <w:b/>
                <w:bCs/>
                <w:sz w:val="21"/>
                <w:szCs w:val="21"/>
                <w:vertAlign w:val="baseline"/>
                <w:lang w:val="en-US" w:eastAsia="zh-CN"/>
              </w:rPr>
              <w:t>具体要求</w:t>
            </w:r>
          </w:p>
        </w:tc>
        <w:tc>
          <w:tcPr>
            <w:tcW w:w="2427" w:type="dxa"/>
            <w:gridSpan w:val="2"/>
            <w:vAlign w:val="center"/>
          </w:tcPr>
          <w:p>
            <w:pPr>
              <w:jc w:val="center"/>
              <w:rPr>
                <w:rFonts w:hint="default" w:ascii="宋体" w:hAnsi="宋体" w:eastAsia="宋体" w:cs="宋体"/>
                <w:b/>
                <w:bCs/>
                <w:sz w:val="21"/>
                <w:szCs w:val="21"/>
                <w:vertAlign w:val="baseline"/>
                <w:lang w:val="en-US" w:eastAsia="zh-CN"/>
              </w:rPr>
            </w:pPr>
            <w:r>
              <w:rPr>
                <w:rFonts w:hint="eastAsia" w:ascii="宋体" w:hAnsi="宋体" w:eastAsia="宋体" w:cs="宋体"/>
                <w:b/>
                <w:bCs/>
                <w:sz w:val="21"/>
                <w:szCs w:val="21"/>
                <w:vertAlign w:val="baseline"/>
                <w:lang w:val="en-US" w:eastAsia="zh-CN"/>
              </w:rPr>
              <w:t>评分</w:t>
            </w:r>
          </w:p>
        </w:tc>
        <w:tc>
          <w:tcPr>
            <w:tcW w:w="2562" w:type="dxa"/>
            <w:gridSpan w:val="2"/>
            <w:vAlign w:val="center"/>
          </w:tcPr>
          <w:p>
            <w:pPr>
              <w:jc w:val="center"/>
              <w:rPr>
                <w:rFonts w:hint="eastAsia" w:ascii="宋体" w:hAnsi="宋体" w:eastAsia="宋体" w:cs="宋体"/>
                <w:b/>
                <w:bCs/>
                <w:sz w:val="21"/>
                <w:szCs w:val="21"/>
                <w:vertAlign w:val="baseline"/>
                <w:lang w:val="en-US" w:eastAsia="zh-CN"/>
              </w:rPr>
            </w:pPr>
            <w:r>
              <w:rPr>
                <w:rFonts w:hint="eastAsia" w:ascii="宋体" w:hAnsi="宋体" w:eastAsia="宋体" w:cs="宋体"/>
                <w:b/>
                <w:bCs/>
                <w:sz w:val="21"/>
                <w:szCs w:val="21"/>
                <w:vertAlign w:val="baseline"/>
                <w:lang w:val="en-US" w:eastAsia="zh-CN"/>
              </w:rPr>
              <w:t>观点纪要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1214" w:type="dxa"/>
            <w:vMerge w:val="continue"/>
            <w:vAlign w:val="center"/>
          </w:tcPr>
          <w:p>
            <w:pPr>
              <w:jc w:val="center"/>
            </w:pPr>
          </w:p>
        </w:tc>
        <w:tc>
          <w:tcPr>
            <w:tcW w:w="2318" w:type="dxa"/>
            <w:vMerge w:val="continue"/>
            <w:vAlign w:val="center"/>
          </w:tcPr>
          <w:p>
            <w:pPr>
              <w:jc w:val="center"/>
              <w:rPr>
                <w:b/>
                <w:bCs/>
              </w:rPr>
            </w:pPr>
          </w:p>
        </w:tc>
        <w:tc>
          <w:tcPr>
            <w:tcW w:w="1214" w:type="dxa"/>
            <w:vAlign w:val="center"/>
          </w:tcPr>
          <w:p>
            <w:pPr>
              <w:jc w:val="center"/>
              <w:rPr>
                <w:rFonts w:hint="default" w:ascii="宋体" w:hAnsi="宋体" w:eastAsia="宋体" w:cs="宋体"/>
                <w:b/>
                <w:bCs/>
                <w:sz w:val="21"/>
                <w:szCs w:val="21"/>
                <w:vertAlign w:val="baseline"/>
                <w:lang w:val="en-US" w:eastAsia="zh-CN"/>
              </w:rPr>
            </w:pPr>
            <w:r>
              <w:rPr>
                <w:rFonts w:hint="eastAsia" w:ascii="宋体" w:hAnsi="宋体" w:eastAsia="宋体" w:cs="宋体"/>
                <w:b/>
                <w:bCs/>
                <w:sz w:val="21"/>
                <w:szCs w:val="21"/>
                <w:vertAlign w:val="baseline"/>
                <w:lang w:val="en-US" w:eastAsia="zh-CN"/>
              </w:rPr>
              <w:t>正方</w:t>
            </w:r>
          </w:p>
        </w:tc>
        <w:tc>
          <w:tcPr>
            <w:tcW w:w="1213" w:type="dxa"/>
            <w:vAlign w:val="center"/>
          </w:tcPr>
          <w:p>
            <w:pPr>
              <w:jc w:val="center"/>
              <w:rPr>
                <w:rFonts w:hint="default" w:ascii="宋体" w:hAnsi="宋体" w:eastAsia="宋体" w:cs="宋体"/>
                <w:b/>
                <w:bCs/>
                <w:sz w:val="21"/>
                <w:szCs w:val="21"/>
                <w:vertAlign w:val="baseline"/>
                <w:lang w:val="en-US" w:eastAsia="zh-CN"/>
              </w:rPr>
            </w:pPr>
            <w:r>
              <w:rPr>
                <w:rFonts w:hint="eastAsia" w:ascii="宋体" w:hAnsi="宋体" w:eastAsia="宋体" w:cs="宋体"/>
                <w:b/>
                <w:bCs/>
                <w:sz w:val="21"/>
                <w:szCs w:val="21"/>
                <w:vertAlign w:val="baseline"/>
                <w:lang w:val="en-US" w:eastAsia="zh-CN"/>
              </w:rPr>
              <w:t>反方</w:t>
            </w:r>
          </w:p>
        </w:tc>
        <w:tc>
          <w:tcPr>
            <w:tcW w:w="1251" w:type="dxa"/>
            <w:vAlign w:val="center"/>
          </w:tcPr>
          <w:p>
            <w:pPr>
              <w:jc w:val="center"/>
              <w:rPr>
                <w:rFonts w:hint="default" w:ascii="宋体" w:hAnsi="宋体" w:eastAsia="宋体" w:cs="宋体"/>
                <w:b/>
                <w:bCs/>
                <w:sz w:val="21"/>
                <w:szCs w:val="21"/>
                <w:vertAlign w:val="baseline"/>
                <w:lang w:val="en-US" w:eastAsia="zh-CN"/>
              </w:rPr>
            </w:pPr>
            <w:r>
              <w:rPr>
                <w:rFonts w:hint="eastAsia" w:ascii="宋体" w:hAnsi="宋体" w:eastAsia="宋体" w:cs="宋体"/>
                <w:b/>
                <w:bCs/>
                <w:sz w:val="21"/>
                <w:szCs w:val="21"/>
                <w:vertAlign w:val="baseline"/>
                <w:lang w:val="en-US" w:eastAsia="zh-CN"/>
              </w:rPr>
              <w:t>正方</w:t>
            </w:r>
          </w:p>
        </w:tc>
        <w:tc>
          <w:tcPr>
            <w:tcW w:w="1311" w:type="dxa"/>
            <w:vAlign w:val="center"/>
          </w:tcPr>
          <w:p>
            <w:pPr>
              <w:jc w:val="center"/>
              <w:rPr>
                <w:rFonts w:hint="default" w:ascii="宋体" w:hAnsi="宋体" w:eastAsia="宋体" w:cs="宋体"/>
                <w:b/>
                <w:bCs/>
                <w:sz w:val="21"/>
                <w:szCs w:val="21"/>
                <w:vertAlign w:val="baseline"/>
                <w:lang w:val="en-US" w:eastAsia="zh-CN"/>
              </w:rPr>
            </w:pPr>
            <w:r>
              <w:rPr>
                <w:rFonts w:hint="eastAsia" w:ascii="宋体" w:hAnsi="宋体" w:eastAsia="宋体" w:cs="宋体"/>
                <w:b/>
                <w:bCs/>
                <w:sz w:val="21"/>
                <w:szCs w:val="21"/>
                <w:vertAlign w:val="baseline"/>
                <w:lang w:val="en-US" w:eastAsia="zh-CN"/>
              </w:rPr>
              <w:t>反方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4" w:type="dxa"/>
            <w:vAlign w:val="center"/>
          </w:tcPr>
          <w:p>
            <w:pPr>
              <w:jc w:val="center"/>
              <w:rPr>
                <w:rFonts w:hint="eastAsia" w:ascii="宋体" w:hAnsi="宋体" w:eastAsia="宋体" w:cs="宋体"/>
                <w:b/>
                <w:bCs/>
                <w:sz w:val="21"/>
                <w:szCs w:val="21"/>
                <w:vertAlign w:val="baseline"/>
                <w:lang w:val="en-US" w:eastAsia="zh-CN"/>
              </w:rPr>
            </w:pPr>
            <w:r>
              <w:rPr>
                <w:rFonts w:hint="eastAsia" w:ascii="宋体" w:hAnsi="宋体" w:eastAsia="宋体" w:cs="宋体"/>
                <w:b/>
                <w:bCs/>
                <w:sz w:val="21"/>
                <w:szCs w:val="21"/>
                <w:vertAlign w:val="baseline"/>
                <w:lang w:val="en-US" w:eastAsia="zh-CN"/>
              </w:rPr>
              <w:t>论辩内容</w:t>
            </w:r>
          </w:p>
          <w:p>
            <w:pPr>
              <w:jc w:val="center"/>
              <w:rPr>
                <w:rFonts w:hint="eastAsia" w:ascii="宋体" w:hAnsi="宋体" w:eastAsia="宋体" w:cs="宋体"/>
                <w:b/>
                <w:bCs/>
                <w:sz w:val="21"/>
                <w:szCs w:val="21"/>
                <w:vertAlign w:val="baseline"/>
                <w:lang w:val="en-US" w:eastAsia="zh-CN"/>
              </w:rPr>
            </w:pPr>
            <w:r>
              <w:rPr>
                <w:rFonts w:hint="eastAsia" w:ascii="宋体" w:hAnsi="宋体" w:eastAsia="宋体" w:cs="宋体"/>
                <w:b/>
                <w:bCs/>
                <w:sz w:val="21"/>
                <w:szCs w:val="21"/>
                <w:vertAlign w:val="baseline"/>
                <w:lang w:val="en-US" w:eastAsia="zh-CN"/>
              </w:rPr>
              <w:t>（20分）</w:t>
            </w:r>
          </w:p>
        </w:tc>
        <w:tc>
          <w:tcPr>
            <w:tcW w:w="2318" w:type="dxa"/>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①观点明确，有见地</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val="en-US" w:eastAsia="zh-CN"/>
              </w:rPr>
              <w:t>②论据合理丰富，能充分证明论点</w:t>
            </w:r>
          </w:p>
        </w:tc>
        <w:tc>
          <w:tcPr>
            <w:tcW w:w="1214" w:type="dxa"/>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sz w:val="21"/>
                <w:szCs w:val="21"/>
                <w:vertAlign w:val="baseline"/>
                <w:lang w:val="en-US" w:eastAsia="zh-CN"/>
              </w:rPr>
            </w:pPr>
          </w:p>
        </w:tc>
        <w:tc>
          <w:tcPr>
            <w:tcW w:w="1213" w:type="dxa"/>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sz w:val="21"/>
                <w:szCs w:val="21"/>
                <w:vertAlign w:val="baseline"/>
                <w:lang w:val="en-US" w:eastAsia="zh-CN"/>
              </w:rPr>
            </w:pPr>
          </w:p>
        </w:tc>
        <w:tc>
          <w:tcPr>
            <w:tcW w:w="1251"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sz w:val="21"/>
                <w:szCs w:val="21"/>
                <w:vertAlign w:val="baseline"/>
                <w:lang w:val="en-US" w:eastAsia="zh-CN"/>
              </w:rPr>
            </w:pPr>
          </w:p>
        </w:tc>
        <w:tc>
          <w:tcPr>
            <w:tcW w:w="1311"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4" w:type="dxa"/>
            <w:vAlign w:val="center"/>
          </w:tcPr>
          <w:p>
            <w:pPr>
              <w:jc w:val="center"/>
              <w:rPr>
                <w:rFonts w:hint="eastAsia" w:ascii="宋体" w:hAnsi="宋体" w:eastAsia="宋体" w:cs="宋体"/>
                <w:b/>
                <w:bCs/>
                <w:sz w:val="21"/>
                <w:szCs w:val="21"/>
                <w:vertAlign w:val="baseline"/>
                <w:lang w:val="en-US" w:eastAsia="zh-CN"/>
              </w:rPr>
            </w:pPr>
            <w:r>
              <w:rPr>
                <w:rFonts w:hint="eastAsia" w:ascii="宋体" w:hAnsi="宋体" w:eastAsia="宋体" w:cs="宋体"/>
                <w:b/>
                <w:bCs/>
                <w:sz w:val="21"/>
                <w:szCs w:val="21"/>
                <w:vertAlign w:val="baseline"/>
                <w:lang w:val="en-US" w:eastAsia="zh-CN"/>
              </w:rPr>
              <w:t>逻辑推理</w:t>
            </w:r>
          </w:p>
          <w:p>
            <w:pPr>
              <w:jc w:val="center"/>
              <w:rPr>
                <w:rFonts w:hint="eastAsia" w:ascii="宋体" w:hAnsi="宋体" w:eastAsia="宋体" w:cs="宋体"/>
                <w:b/>
                <w:bCs/>
                <w:sz w:val="21"/>
                <w:szCs w:val="21"/>
                <w:vertAlign w:val="baseline"/>
                <w:lang w:val="en-US" w:eastAsia="zh-CN"/>
              </w:rPr>
            </w:pPr>
            <w:r>
              <w:rPr>
                <w:rFonts w:hint="eastAsia" w:ascii="宋体" w:hAnsi="宋体" w:eastAsia="宋体" w:cs="宋体"/>
                <w:b/>
                <w:bCs/>
                <w:sz w:val="21"/>
                <w:szCs w:val="21"/>
                <w:vertAlign w:val="baseline"/>
                <w:lang w:val="en-US" w:eastAsia="zh-CN"/>
              </w:rPr>
              <w:t>（20分）</w:t>
            </w:r>
          </w:p>
        </w:tc>
        <w:tc>
          <w:tcPr>
            <w:tcW w:w="2318" w:type="dxa"/>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①论证方法合理</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②逻辑清晰</w:t>
            </w:r>
          </w:p>
        </w:tc>
        <w:tc>
          <w:tcPr>
            <w:tcW w:w="1214" w:type="dxa"/>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sz w:val="21"/>
                <w:szCs w:val="21"/>
                <w:vertAlign w:val="baseline"/>
                <w:lang w:val="en-US" w:eastAsia="zh-CN"/>
              </w:rPr>
            </w:pPr>
          </w:p>
        </w:tc>
        <w:tc>
          <w:tcPr>
            <w:tcW w:w="1213" w:type="dxa"/>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sz w:val="21"/>
                <w:szCs w:val="21"/>
                <w:vertAlign w:val="baseline"/>
                <w:lang w:val="en-US" w:eastAsia="zh-CN"/>
              </w:rPr>
            </w:pPr>
          </w:p>
        </w:tc>
        <w:tc>
          <w:tcPr>
            <w:tcW w:w="1251"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sz w:val="21"/>
                <w:szCs w:val="21"/>
                <w:vertAlign w:val="baseline"/>
                <w:lang w:val="en-US" w:eastAsia="zh-CN"/>
              </w:rPr>
            </w:pPr>
          </w:p>
        </w:tc>
        <w:tc>
          <w:tcPr>
            <w:tcW w:w="1311"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4" w:type="dxa"/>
            <w:vAlign w:val="center"/>
          </w:tcPr>
          <w:p>
            <w:pPr>
              <w:jc w:val="center"/>
              <w:rPr>
                <w:rFonts w:hint="eastAsia" w:ascii="宋体" w:hAnsi="宋体" w:eastAsia="宋体" w:cs="宋体"/>
                <w:b/>
                <w:bCs/>
                <w:sz w:val="21"/>
                <w:szCs w:val="21"/>
                <w:vertAlign w:val="baseline"/>
                <w:lang w:val="en-US" w:eastAsia="zh-CN"/>
              </w:rPr>
            </w:pPr>
            <w:r>
              <w:rPr>
                <w:rFonts w:hint="eastAsia" w:ascii="宋体" w:hAnsi="宋体" w:eastAsia="宋体" w:cs="宋体"/>
                <w:b/>
                <w:bCs/>
                <w:sz w:val="21"/>
                <w:szCs w:val="21"/>
                <w:vertAlign w:val="baseline"/>
                <w:lang w:val="en-US" w:eastAsia="zh-CN"/>
              </w:rPr>
              <w:t>辩驳能力</w:t>
            </w:r>
          </w:p>
          <w:p>
            <w:pPr>
              <w:jc w:val="center"/>
              <w:rPr>
                <w:rFonts w:hint="eastAsia" w:ascii="宋体" w:hAnsi="宋体" w:eastAsia="宋体" w:cs="宋体"/>
                <w:b/>
                <w:bCs/>
                <w:sz w:val="21"/>
                <w:szCs w:val="21"/>
                <w:vertAlign w:val="baseline"/>
                <w:lang w:val="en-US" w:eastAsia="zh-CN"/>
              </w:rPr>
            </w:pPr>
            <w:r>
              <w:rPr>
                <w:rFonts w:hint="eastAsia" w:ascii="宋体" w:hAnsi="宋体" w:eastAsia="宋体" w:cs="宋体"/>
                <w:b/>
                <w:bCs/>
                <w:sz w:val="21"/>
                <w:szCs w:val="21"/>
                <w:vertAlign w:val="baseline"/>
                <w:lang w:val="en-US" w:eastAsia="zh-CN"/>
              </w:rPr>
              <w:t>（20分）</w:t>
            </w:r>
          </w:p>
        </w:tc>
        <w:tc>
          <w:tcPr>
            <w:tcW w:w="2318" w:type="dxa"/>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①提问简明扼要</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②回答问题准确无误</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③辩驳有力，有理有据，直中要害</w:t>
            </w:r>
          </w:p>
        </w:tc>
        <w:tc>
          <w:tcPr>
            <w:tcW w:w="1214" w:type="dxa"/>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sz w:val="21"/>
                <w:szCs w:val="21"/>
                <w:vertAlign w:val="baseline"/>
                <w:lang w:val="en-US" w:eastAsia="zh-CN"/>
              </w:rPr>
            </w:pPr>
          </w:p>
        </w:tc>
        <w:tc>
          <w:tcPr>
            <w:tcW w:w="1213" w:type="dxa"/>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sz w:val="21"/>
                <w:szCs w:val="21"/>
                <w:vertAlign w:val="baseline"/>
                <w:lang w:val="en-US" w:eastAsia="zh-CN"/>
              </w:rPr>
            </w:pPr>
          </w:p>
        </w:tc>
        <w:tc>
          <w:tcPr>
            <w:tcW w:w="1251"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sz w:val="21"/>
                <w:szCs w:val="21"/>
                <w:vertAlign w:val="baseline"/>
                <w:lang w:val="en-US" w:eastAsia="zh-CN"/>
              </w:rPr>
            </w:pPr>
          </w:p>
        </w:tc>
        <w:tc>
          <w:tcPr>
            <w:tcW w:w="1311"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4" w:type="dxa"/>
            <w:vAlign w:val="center"/>
          </w:tcPr>
          <w:p>
            <w:pPr>
              <w:jc w:val="center"/>
              <w:rPr>
                <w:rFonts w:hint="eastAsia" w:ascii="宋体" w:hAnsi="宋体" w:eastAsia="宋体" w:cs="宋体"/>
                <w:b/>
                <w:bCs/>
                <w:sz w:val="21"/>
                <w:szCs w:val="21"/>
                <w:vertAlign w:val="baseline"/>
                <w:lang w:val="en-US" w:eastAsia="zh-CN"/>
              </w:rPr>
            </w:pPr>
            <w:r>
              <w:rPr>
                <w:rFonts w:hint="eastAsia" w:ascii="宋体" w:hAnsi="宋体" w:eastAsia="宋体" w:cs="宋体"/>
                <w:b/>
                <w:bCs/>
                <w:sz w:val="21"/>
                <w:szCs w:val="21"/>
                <w:vertAlign w:val="baseline"/>
                <w:lang w:val="en-US" w:eastAsia="zh-CN"/>
              </w:rPr>
              <w:t>临场反应</w:t>
            </w:r>
          </w:p>
          <w:p>
            <w:pPr>
              <w:jc w:val="center"/>
              <w:rPr>
                <w:rFonts w:hint="eastAsia" w:ascii="宋体" w:hAnsi="宋体" w:eastAsia="宋体" w:cs="宋体"/>
                <w:b/>
                <w:bCs/>
                <w:sz w:val="21"/>
                <w:szCs w:val="21"/>
                <w:vertAlign w:val="baseline"/>
                <w:lang w:val="en-US" w:eastAsia="zh-CN"/>
              </w:rPr>
            </w:pPr>
            <w:r>
              <w:rPr>
                <w:rFonts w:hint="eastAsia" w:ascii="宋体" w:hAnsi="宋体" w:eastAsia="宋体" w:cs="宋体"/>
                <w:b/>
                <w:bCs/>
                <w:sz w:val="21"/>
                <w:szCs w:val="21"/>
                <w:vertAlign w:val="baseline"/>
                <w:lang w:val="en-US" w:eastAsia="zh-CN"/>
              </w:rPr>
              <w:t>（10分）</w:t>
            </w:r>
          </w:p>
        </w:tc>
        <w:tc>
          <w:tcPr>
            <w:tcW w:w="2318" w:type="dxa"/>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①反应敏捷快速</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val="en-US" w:eastAsia="zh-CN"/>
              </w:rPr>
              <w:t>②善用论辩技巧及艺术</w:t>
            </w:r>
          </w:p>
        </w:tc>
        <w:tc>
          <w:tcPr>
            <w:tcW w:w="1214" w:type="dxa"/>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sz w:val="21"/>
                <w:szCs w:val="21"/>
                <w:vertAlign w:val="baseline"/>
                <w:lang w:val="en-US" w:eastAsia="zh-CN"/>
              </w:rPr>
            </w:pPr>
          </w:p>
        </w:tc>
        <w:tc>
          <w:tcPr>
            <w:tcW w:w="1213" w:type="dxa"/>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sz w:val="21"/>
                <w:szCs w:val="21"/>
                <w:vertAlign w:val="baseline"/>
                <w:lang w:val="en-US" w:eastAsia="zh-CN"/>
              </w:rPr>
            </w:pPr>
          </w:p>
        </w:tc>
        <w:tc>
          <w:tcPr>
            <w:tcW w:w="1251"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sz w:val="21"/>
                <w:szCs w:val="21"/>
                <w:vertAlign w:val="baseline"/>
                <w:lang w:val="en-US" w:eastAsia="zh-CN"/>
              </w:rPr>
            </w:pPr>
          </w:p>
        </w:tc>
        <w:tc>
          <w:tcPr>
            <w:tcW w:w="1311"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4" w:type="dxa"/>
            <w:vAlign w:val="center"/>
          </w:tcPr>
          <w:p>
            <w:pPr>
              <w:jc w:val="center"/>
              <w:rPr>
                <w:rFonts w:hint="eastAsia" w:ascii="宋体" w:hAnsi="宋体" w:eastAsia="宋体" w:cs="宋体"/>
                <w:b/>
                <w:bCs/>
                <w:sz w:val="21"/>
                <w:szCs w:val="21"/>
                <w:vertAlign w:val="baseline"/>
                <w:lang w:val="en-US" w:eastAsia="zh-CN"/>
              </w:rPr>
            </w:pPr>
            <w:r>
              <w:rPr>
                <w:rFonts w:hint="eastAsia" w:ascii="宋体" w:hAnsi="宋体" w:eastAsia="宋体" w:cs="宋体"/>
                <w:b/>
                <w:bCs/>
                <w:sz w:val="21"/>
                <w:szCs w:val="21"/>
                <w:vertAlign w:val="baseline"/>
                <w:lang w:val="en-US" w:eastAsia="zh-CN"/>
              </w:rPr>
              <w:t>团队协作</w:t>
            </w:r>
          </w:p>
          <w:p>
            <w:pPr>
              <w:jc w:val="center"/>
              <w:rPr>
                <w:rFonts w:hint="eastAsia" w:ascii="宋体" w:hAnsi="宋体" w:eastAsia="宋体" w:cs="宋体"/>
                <w:b/>
                <w:bCs/>
                <w:sz w:val="21"/>
                <w:szCs w:val="21"/>
                <w:vertAlign w:val="baseline"/>
                <w:lang w:val="en-US" w:eastAsia="zh-CN"/>
              </w:rPr>
            </w:pPr>
            <w:r>
              <w:rPr>
                <w:rFonts w:hint="eastAsia" w:ascii="宋体" w:hAnsi="宋体" w:eastAsia="宋体" w:cs="宋体"/>
                <w:b/>
                <w:bCs/>
                <w:sz w:val="21"/>
                <w:szCs w:val="21"/>
                <w:vertAlign w:val="baseline"/>
                <w:lang w:val="en-US" w:eastAsia="zh-CN"/>
              </w:rPr>
              <w:t>（10分）</w:t>
            </w:r>
          </w:p>
        </w:tc>
        <w:tc>
          <w:tcPr>
            <w:tcW w:w="2318" w:type="dxa"/>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①分工合理、协调一致</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kern w:val="2"/>
                <w:sz w:val="21"/>
                <w:szCs w:val="21"/>
                <w:vertAlign w:val="baseline"/>
                <w:lang w:val="en-US" w:eastAsia="zh-CN" w:bidi="ar-SA"/>
              </w:rPr>
            </w:pPr>
            <w:r>
              <w:rPr>
                <w:rFonts w:hint="eastAsia" w:ascii="宋体" w:hAnsi="宋体" w:eastAsia="宋体" w:cs="宋体"/>
                <w:sz w:val="21"/>
                <w:szCs w:val="21"/>
                <w:vertAlign w:val="baseline"/>
                <w:lang w:val="en-US" w:eastAsia="zh-CN"/>
              </w:rPr>
              <w:t>②衔接有序，配合默契，气氛调节有度</w:t>
            </w:r>
          </w:p>
        </w:tc>
        <w:tc>
          <w:tcPr>
            <w:tcW w:w="1214" w:type="dxa"/>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sz w:val="21"/>
                <w:szCs w:val="21"/>
                <w:vertAlign w:val="baseline"/>
                <w:lang w:val="en-US" w:eastAsia="zh-CN"/>
              </w:rPr>
            </w:pPr>
          </w:p>
        </w:tc>
        <w:tc>
          <w:tcPr>
            <w:tcW w:w="1213" w:type="dxa"/>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sz w:val="21"/>
                <w:szCs w:val="21"/>
                <w:vertAlign w:val="baseline"/>
                <w:lang w:val="en-US" w:eastAsia="zh-CN"/>
              </w:rPr>
            </w:pPr>
          </w:p>
        </w:tc>
        <w:tc>
          <w:tcPr>
            <w:tcW w:w="1251"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sz w:val="21"/>
                <w:szCs w:val="21"/>
                <w:vertAlign w:val="baseline"/>
                <w:lang w:val="en-US" w:eastAsia="zh-CN"/>
              </w:rPr>
            </w:pPr>
          </w:p>
        </w:tc>
        <w:tc>
          <w:tcPr>
            <w:tcW w:w="1311"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4" w:type="dxa"/>
            <w:vAlign w:val="center"/>
          </w:tcPr>
          <w:p>
            <w:pPr>
              <w:jc w:val="center"/>
              <w:rPr>
                <w:rFonts w:hint="eastAsia" w:ascii="宋体" w:hAnsi="宋体" w:eastAsia="宋体" w:cs="宋体"/>
                <w:b/>
                <w:bCs/>
                <w:sz w:val="21"/>
                <w:szCs w:val="21"/>
                <w:vertAlign w:val="baseline"/>
                <w:lang w:val="en-US" w:eastAsia="zh-CN"/>
              </w:rPr>
            </w:pPr>
            <w:r>
              <w:rPr>
                <w:rFonts w:hint="eastAsia" w:ascii="宋体" w:hAnsi="宋体" w:eastAsia="宋体" w:cs="宋体"/>
                <w:b/>
                <w:bCs/>
                <w:sz w:val="21"/>
                <w:szCs w:val="21"/>
                <w:vertAlign w:val="baseline"/>
                <w:lang w:val="en-US" w:eastAsia="zh-CN"/>
              </w:rPr>
              <w:t>语言表达</w:t>
            </w:r>
          </w:p>
          <w:p>
            <w:pPr>
              <w:jc w:val="center"/>
              <w:rPr>
                <w:rFonts w:hint="eastAsia" w:ascii="宋体" w:hAnsi="宋体" w:eastAsia="宋体" w:cs="宋体"/>
                <w:b/>
                <w:bCs/>
                <w:sz w:val="21"/>
                <w:szCs w:val="21"/>
                <w:vertAlign w:val="baseline"/>
                <w:lang w:val="en-US" w:eastAsia="zh-CN"/>
              </w:rPr>
            </w:pPr>
            <w:r>
              <w:rPr>
                <w:rFonts w:hint="eastAsia" w:ascii="宋体" w:hAnsi="宋体" w:eastAsia="宋体" w:cs="宋体"/>
                <w:b/>
                <w:bCs/>
                <w:sz w:val="21"/>
                <w:szCs w:val="21"/>
                <w:vertAlign w:val="baseline"/>
                <w:lang w:val="en-US" w:eastAsia="zh-CN"/>
              </w:rPr>
              <w:t>（10分）</w:t>
            </w:r>
          </w:p>
        </w:tc>
        <w:tc>
          <w:tcPr>
            <w:tcW w:w="2318" w:type="dxa"/>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表达清晰，语言流畅</w:t>
            </w:r>
          </w:p>
        </w:tc>
        <w:tc>
          <w:tcPr>
            <w:tcW w:w="1214" w:type="dxa"/>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sz w:val="21"/>
                <w:szCs w:val="21"/>
                <w:vertAlign w:val="baseline"/>
                <w:lang w:val="en-US" w:eastAsia="zh-CN"/>
              </w:rPr>
            </w:pPr>
          </w:p>
        </w:tc>
        <w:tc>
          <w:tcPr>
            <w:tcW w:w="1213" w:type="dxa"/>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sz w:val="21"/>
                <w:szCs w:val="21"/>
                <w:vertAlign w:val="baseline"/>
                <w:lang w:val="en-US" w:eastAsia="zh-CN"/>
              </w:rPr>
            </w:pPr>
          </w:p>
        </w:tc>
        <w:tc>
          <w:tcPr>
            <w:tcW w:w="1251"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sz w:val="21"/>
                <w:szCs w:val="21"/>
                <w:vertAlign w:val="baseline"/>
                <w:lang w:val="en-US" w:eastAsia="zh-CN"/>
              </w:rPr>
            </w:pPr>
          </w:p>
        </w:tc>
        <w:tc>
          <w:tcPr>
            <w:tcW w:w="1311"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4" w:type="dxa"/>
            <w:vAlign w:val="center"/>
          </w:tcPr>
          <w:p>
            <w:pPr>
              <w:jc w:val="center"/>
              <w:rPr>
                <w:rFonts w:hint="eastAsia" w:ascii="宋体" w:hAnsi="宋体" w:eastAsia="宋体" w:cs="宋体"/>
                <w:b/>
                <w:bCs/>
                <w:sz w:val="21"/>
                <w:szCs w:val="21"/>
                <w:vertAlign w:val="baseline"/>
                <w:lang w:val="en-US" w:eastAsia="zh-CN"/>
              </w:rPr>
            </w:pPr>
            <w:r>
              <w:rPr>
                <w:rFonts w:hint="eastAsia" w:ascii="宋体" w:hAnsi="宋体" w:eastAsia="宋体" w:cs="宋体"/>
                <w:b/>
                <w:bCs/>
                <w:sz w:val="21"/>
                <w:szCs w:val="21"/>
                <w:vertAlign w:val="baseline"/>
                <w:lang w:val="en-US" w:eastAsia="zh-CN"/>
              </w:rPr>
              <w:t>综合印象</w:t>
            </w:r>
          </w:p>
          <w:p>
            <w:pPr>
              <w:jc w:val="center"/>
              <w:rPr>
                <w:rFonts w:hint="eastAsia" w:ascii="宋体" w:hAnsi="宋体" w:eastAsia="宋体" w:cs="宋体"/>
                <w:b/>
                <w:bCs/>
                <w:sz w:val="21"/>
                <w:szCs w:val="21"/>
                <w:vertAlign w:val="baseline"/>
                <w:lang w:val="en-US" w:eastAsia="zh-CN"/>
              </w:rPr>
            </w:pPr>
            <w:r>
              <w:rPr>
                <w:rFonts w:hint="eastAsia" w:ascii="宋体" w:hAnsi="宋体" w:eastAsia="宋体" w:cs="宋体"/>
                <w:b/>
                <w:bCs/>
                <w:sz w:val="21"/>
                <w:szCs w:val="21"/>
                <w:vertAlign w:val="baseline"/>
                <w:lang w:val="en-US" w:eastAsia="zh-CN"/>
              </w:rPr>
              <w:t>（10分）</w:t>
            </w:r>
          </w:p>
        </w:tc>
        <w:tc>
          <w:tcPr>
            <w:tcW w:w="2318" w:type="dxa"/>
            <w:vAlign w:val="center"/>
          </w:tcPr>
          <w:p>
            <w:pPr>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val="en-US" w:eastAsia="zh-CN"/>
              </w:rPr>
              <w:t>仪容仪态大方得体</w:t>
            </w:r>
          </w:p>
        </w:tc>
        <w:tc>
          <w:tcPr>
            <w:tcW w:w="1214" w:type="dxa"/>
            <w:vAlign w:val="center"/>
          </w:tcPr>
          <w:p>
            <w:pPr>
              <w:jc w:val="both"/>
              <w:rPr>
                <w:rFonts w:hint="eastAsia" w:ascii="宋体" w:hAnsi="宋体" w:eastAsia="宋体" w:cs="宋体"/>
                <w:sz w:val="21"/>
                <w:szCs w:val="21"/>
                <w:vertAlign w:val="baseline"/>
                <w:lang w:val="en-US" w:eastAsia="zh-CN"/>
              </w:rPr>
            </w:pPr>
          </w:p>
        </w:tc>
        <w:tc>
          <w:tcPr>
            <w:tcW w:w="1213" w:type="dxa"/>
            <w:vAlign w:val="center"/>
          </w:tcPr>
          <w:p>
            <w:pPr>
              <w:jc w:val="both"/>
              <w:rPr>
                <w:rFonts w:hint="eastAsia" w:ascii="宋体" w:hAnsi="宋体" w:eastAsia="宋体" w:cs="宋体"/>
                <w:sz w:val="21"/>
                <w:szCs w:val="21"/>
                <w:vertAlign w:val="baseline"/>
                <w:lang w:val="en-US" w:eastAsia="zh-CN"/>
              </w:rPr>
            </w:pPr>
          </w:p>
        </w:tc>
        <w:tc>
          <w:tcPr>
            <w:tcW w:w="1251" w:type="dxa"/>
            <w:vMerge w:val="continue"/>
            <w:vAlign w:val="center"/>
          </w:tcPr>
          <w:p>
            <w:pPr>
              <w:jc w:val="both"/>
              <w:rPr>
                <w:rFonts w:hint="eastAsia" w:ascii="宋体" w:hAnsi="宋体" w:eastAsia="宋体" w:cs="宋体"/>
                <w:sz w:val="21"/>
                <w:szCs w:val="21"/>
                <w:vertAlign w:val="baseline"/>
                <w:lang w:val="en-US" w:eastAsia="zh-CN"/>
              </w:rPr>
            </w:pPr>
          </w:p>
        </w:tc>
        <w:tc>
          <w:tcPr>
            <w:tcW w:w="1311" w:type="dxa"/>
            <w:vMerge w:val="continue"/>
            <w:vAlign w:val="center"/>
          </w:tcPr>
          <w:p>
            <w:pPr>
              <w:jc w:val="both"/>
              <w:rPr>
                <w:rFonts w:hint="eastAsia" w:ascii="宋体" w:hAnsi="宋体" w:eastAsia="宋体" w:cs="宋体"/>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3532" w:type="dxa"/>
            <w:gridSpan w:val="2"/>
            <w:vAlign w:val="center"/>
          </w:tcPr>
          <w:p>
            <w:pPr>
              <w:jc w:val="center"/>
              <w:rPr>
                <w:rFonts w:hint="eastAsia" w:ascii="宋体" w:hAnsi="宋体" w:eastAsia="宋体" w:cs="宋体"/>
                <w:sz w:val="21"/>
                <w:szCs w:val="21"/>
                <w:vertAlign w:val="baseline"/>
                <w:lang w:val="en-US" w:eastAsia="zh-CN"/>
              </w:rPr>
            </w:pPr>
            <w:r>
              <w:rPr>
                <w:rFonts w:hint="eastAsia" w:ascii="宋体" w:hAnsi="宋体" w:eastAsia="宋体" w:cs="宋体"/>
                <w:b/>
                <w:bCs/>
                <w:sz w:val="21"/>
                <w:szCs w:val="21"/>
                <w:vertAlign w:val="baseline"/>
                <w:lang w:val="en-US" w:eastAsia="zh-CN"/>
              </w:rPr>
              <w:t>总分</w:t>
            </w:r>
          </w:p>
        </w:tc>
        <w:tc>
          <w:tcPr>
            <w:tcW w:w="1214" w:type="dxa"/>
            <w:vAlign w:val="center"/>
          </w:tcPr>
          <w:p>
            <w:pPr>
              <w:jc w:val="both"/>
              <w:rPr>
                <w:rFonts w:hint="eastAsia" w:ascii="宋体" w:hAnsi="宋体" w:eastAsia="宋体" w:cs="宋体"/>
                <w:sz w:val="21"/>
                <w:szCs w:val="21"/>
                <w:vertAlign w:val="baseline"/>
                <w:lang w:val="en-US" w:eastAsia="zh-CN"/>
              </w:rPr>
            </w:pPr>
          </w:p>
          <w:p>
            <w:pPr>
              <w:jc w:val="both"/>
              <w:rPr>
                <w:rFonts w:hint="eastAsia" w:ascii="宋体" w:hAnsi="宋体" w:eastAsia="宋体" w:cs="宋体"/>
                <w:sz w:val="21"/>
                <w:szCs w:val="21"/>
                <w:vertAlign w:val="baseline"/>
                <w:lang w:val="en-US" w:eastAsia="zh-CN"/>
              </w:rPr>
            </w:pPr>
          </w:p>
        </w:tc>
        <w:tc>
          <w:tcPr>
            <w:tcW w:w="1213" w:type="dxa"/>
            <w:vAlign w:val="center"/>
          </w:tcPr>
          <w:p>
            <w:pPr>
              <w:jc w:val="both"/>
              <w:rPr>
                <w:rFonts w:hint="eastAsia" w:ascii="宋体" w:hAnsi="宋体" w:eastAsia="宋体" w:cs="宋体"/>
                <w:sz w:val="21"/>
                <w:szCs w:val="21"/>
                <w:vertAlign w:val="baseline"/>
                <w:lang w:val="en-US" w:eastAsia="zh-CN"/>
              </w:rPr>
            </w:pPr>
          </w:p>
        </w:tc>
        <w:tc>
          <w:tcPr>
            <w:tcW w:w="1251" w:type="dxa"/>
            <w:vMerge w:val="continue"/>
            <w:vAlign w:val="center"/>
          </w:tcPr>
          <w:p>
            <w:pPr>
              <w:jc w:val="both"/>
              <w:rPr>
                <w:rFonts w:hint="eastAsia" w:ascii="宋体" w:hAnsi="宋体" w:eastAsia="宋体" w:cs="宋体"/>
                <w:sz w:val="21"/>
                <w:szCs w:val="21"/>
                <w:vertAlign w:val="baseline"/>
                <w:lang w:val="en-US" w:eastAsia="zh-CN"/>
              </w:rPr>
            </w:pPr>
          </w:p>
        </w:tc>
        <w:tc>
          <w:tcPr>
            <w:tcW w:w="1311" w:type="dxa"/>
            <w:vMerge w:val="continue"/>
            <w:vAlign w:val="center"/>
          </w:tcPr>
          <w:p>
            <w:pPr>
              <w:jc w:val="both"/>
              <w:rPr>
                <w:rFonts w:hint="eastAsia" w:ascii="宋体" w:hAnsi="宋体" w:eastAsia="宋体" w:cs="宋体"/>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3532" w:type="dxa"/>
            <w:gridSpan w:val="2"/>
            <w:vAlign w:val="center"/>
          </w:tcPr>
          <w:p>
            <w:pPr>
              <w:jc w:val="center"/>
              <w:rPr>
                <w:rFonts w:hint="default" w:ascii="宋体" w:hAnsi="宋体" w:eastAsia="宋体" w:cs="宋体"/>
                <w:b/>
                <w:bCs/>
                <w:sz w:val="21"/>
                <w:szCs w:val="21"/>
                <w:vertAlign w:val="baseline"/>
                <w:lang w:val="en-US" w:eastAsia="zh-CN"/>
              </w:rPr>
            </w:pPr>
            <w:r>
              <w:rPr>
                <w:rFonts w:hint="eastAsia" w:ascii="宋体" w:hAnsi="宋体" w:eastAsia="宋体" w:cs="宋体"/>
                <w:b/>
                <w:bCs/>
                <w:sz w:val="21"/>
                <w:szCs w:val="21"/>
                <w:vertAlign w:val="baseline"/>
                <w:lang w:val="en-US" w:eastAsia="zh-CN"/>
              </w:rPr>
              <w:t>最佳辩手</w:t>
            </w:r>
          </w:p>
        </w:tc>
        <w:tc>
          <w:tcPr>
            <w:tcW w:w="2427" w:type="dxa"/>
            <w:gridSpan w:val="2"/>
            <w:vAlign w:val="center"/>
          </w:tcPr>
          <w:p>
            <w:pPr>
              <w:jc w:val="both"/>
              <w:rPr>
                <w:rFonts w:hint="eastAsia" w:ascii="宋体" w:hAnsi="宋体" w:eastAsia="宋体" w:cs="宋体"/>
                <w:sz w:val="21"/>
                <w:szCs w:val="21"/>
                <w:vertAlign w:val="baseline"/>
                <w:lang w:val="en-US" w:eastAsia="zh-CN"/>
              </w:rPr>
            </w:pPr>
          </w:p>
          <w:p>
            <w:pPr>
              <w:jc w:val="both"/>
              <w:rPr>
                <w:rFonts w:hint="eastAsia" w:ascii="宋体" w:hAnsi="宋体" w:eastAsia="宋体" w:cs="宋体"/>
                <w:sz w:val="21"/>
                <w:szCs w:val="21"/>
                <w:vertAlign w:val="baseline"/>
                <w:lang w:val="en-US" w:eastAsia="zh-CN"/>
              </w:rPr>
            </w:pPr>
          </w:p>
        </w:tc>
        <w:tc>
          <w:tcPr>
            <w:tcW w:w="1251" w:type="dxa"/>
            <w:vMerge w:val="continue"/>
            <w:vAlign w:val="center"/>
          </w:tcPr>
          <w:p>
            <w:pPr>
              <w:jc w:val="both"/>
              <w:rPr>
                <w:rFonts w:hint="eastAsia" w:ascii="宋体" w:hAnsi="宋体" w:eastAsia="宋体" w:cs="宋体"/>
                <w:sz w:val="21"/>
                <w:szCs w:val="21"/>
                <w:vertAlign w:val="baseline"/>
                <w:lang w:val="en-US" w:eastAsia="zh-CN"/>
              </w:rPr>
            </w:pPr>
          </w:p>
        </w:tc>
        <w:tc>
          <w:tcPr>
            <w:tcW w:w="1311" w:type="dxa"/>
            <w:vMerge w:val="continue"/>
            <w:vAlign w:val="center"/>
          </w:tcPr>
          <w:p>
            <w:pPr>
              <w:jc w:val="both"/>
              <w:rPr>
                <w:rFonts w:hint="eastAsia" w:ascii="宋体" w:hAnsi="宋体" w:eastAsia="宋体" w:cs="宋体"/>
                <w:sz w:val="21"/>
                <w:szCs w:val="21"/>
                <w:vertAlign w:val="baseline"/>
                <w:lang w:val="en-US" w:eastAsia="zh-CN"/>
              </w:rPr>
            </w:pPr>
          </w:p>
        </w:tc>
      </w:tr>
    </w:tbl>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表3 评价量表</w:t>
      </w:r>
    </w:p>
    <w:p>
      <w:pPr>
        <w:keepNext w:val="0"/>
        <w:keepLines w:val="0"/>
        <w:pageBreakBefore w:val="0"/>
        <w:widowControl w:val="0"/>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模拟辩论情境，强调学生的经历与具身参与，一改传统的讲授方式——教师讲学生听、教师说学生记。在特定的赛制约束下，学生需要将既有知识与经验链接起来思考，以文本为证据确立观点，关注逻辑与推理，展开批判性探讨。在辩论赛中要发挥临场应变能力，因势利导，顺势而为。同时，辩论这一口语交际形式，不仅提供给学生独立思考和表达自我观点的空间，观点若有冲突，可以在双方交辩中进一步深化和切磋，因而也给足学生容错的空间。自我意识在被唤醒的同时也逐级呈现学生的思维水平，由此促进对文本的思辨性阅读，提升辩证思维的表达，激发学生真实情境下的能力和素养，催生出一堂追问-探究型的好课。</w:t>
      </w:r>
    </w:p>
    <w:p>
      <w:pPr>
        <w:keepNext w:val="0"/>
        <w:keepLines w:val="0"/>
        <w:pageBreakBefore w:val="0"/>
        <w:widowControl w:val="0"/>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eastAsia="宋体" w:cs="宋体"/>
          <w:sz w:val="21"/>
          <w:szCs w:val="21"/>
          <w:lang w:val="en-US" w:eastAsia="zh-CN"/>
        </w:rPr>
      </w:pPr>
    </w:p>
    <w:p>
      <w:pPr>
        <w:keepNext w:val="0"/>
        <w:keepLines w:val="0"/>
        <w:pageBreakBefore w:val="0"/>
        <w:widowControl w:val="0"/>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eastAsia="宋体" w:cs="宋体"/>
          <w:sz w:val="21"/>
          <w:szCs w:val="21"/>
          <w:lang w:val="en-US" w:eastAsia="zh-CN"/>
        </w:rPr>
      </w:pPr>
    </w:p>
    <w:p>
      <w:pPr>
        <w:keepNext w:val="0"/>
        <w:keepLines w:val="0"/>
        <w:pageBreakBefore w:val="0"/>
        <w:widowControl w:val="0"/>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eastAsia="宋体" w:cs="宋体"/>
          <w:sz w:val="21"/>
          <w:szCs w:val="21"/>
          <w:lang w:val="en-US" w:eastAsia="zh-CN"/>
        </w:rPr>
      </w:pPr>
    </w:p>
    <w:p>
      <w:pPr>
        <w:keepNext w:val="0"/>
        <w:keepLines w:val="0"/>
        <w:pageBreakBefore w:val="0"/>
        <w:widowControl w:val="0"/>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eastAsia="宋体" w:cs="宋体"/>
          <w:sz w:val="21"/>
          <w:szCs w:val="21"/>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after="240" w:line="240" w:lineRule="auto"/>
        <w:jc w:val="left"/>
        <w:textAlignment w:val="auto"/>
        <w:rPr>
          <w:rFonts w:hint="eastAsia" w:ascii="楷体" w:hAnsi="楷体" w:eastAsia="楷体" w:cs="楷体"/>
          <w:b/>
          <w:bCs/>
          <w:sz w:val="18"/>
          <w:szCs w:val="18"/>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after="240" w:line="240" w:lineRule="auto"/>
        <w:jc w:val="left"/>
        <w:textAlignment w:val="auto"/>
        <w:rPr>
          <w:rFonts w:hint="eastAsia" w:ascii="楷体" w:hAnsi="楷体" w:eastAsia="楷体" w:cs="楷体"/>
          <w:b/>
          <w:bCs/>
          <w:sz w:val="18"/>
          <w:szCs w:val="18"/>
          <w:lang w:val="en-US" w:eastAsia="zh-CN"/>
        </w:rPr>
      </w:pPr>
      <w:r>
        <w:rPr>
          <w:rFonts w:hint="eastAsia" w:ascii="楷体" w:hAnsi="楷体" w:eastAsia="楷体" w:cs="楷体"/>
          <w:b/>
          <w:bCs/>
          <w:sz w:val="18"/>
          <w:szCs w:val="18"/>
          <w:lang w:val="en-US" w:eastAsia="zh-CN"/>
        </w:rPr>
        <w:t>参考文献</w:t>
      </w:r>
    </w:p>
    <w:p>
      <w:pPr>
        <w:keepNext w:val="0"/>
        <w:keepLines w:val="0"/>
        <w:pageBreakBefore w:val="0"/>
        <w:widowControl w:val="0"/>
        <w:numPr>
          <w:ilvl w:val="0"/>
          <w:numId w:val="1"/>
        </w:numPr>
        <w:kinsoku/>
        <w:wordWrap/>
        <w:overflowPunct/>
        <w:topLinePunct w:val="0"/>
        <w:autoSpaceDE/>
        <w:autoSpaceDN/>
        <w:bidi w:val="0"/>
        <w:adjustRightInd/>
        <w:snapToGrid/>
        <w:spacing w:after="240" w:line="240" w:lineRule="auto"/>
        <w:jc w:val="left"/>
        <w:textAlignment w:val="auto"/>
        <w:rPr>
          <w:rFonts w:hint="eastAsia" w:ascii="楷体" w:hAnsi="楷体" w:eastAsia="楷体" w:cs="楷体"/>
          <w:sz w:val="18"/>
          <w:szCs w:val="18"/>
          <w:lang w:val="en-US" w:eastAsia="zh-CN"/>
        </w:rPr>
      </w:pPr>
      <w:r>
        <w:rPr>
          <w:rFonts w:hint="eastAsia" w:ascii="楷体" w:hAnsi="楷体" w:eastAsia="楷体" w:cs="楷体"/>
          <w:sz w:val="18"/>
          <w:szCs w:val="18"/>
          <w:lang w:val="en-US" w:eastAsia="zh-CN"/>
        </w:rPr>
        <w:t>普通高中语文课程标准（2017年版2020年修订）[M].人民教育出版社.2020.</w:t>
      </w:r>
    </w:p>
    <w:p>
      <w:pPr>
        <w:keepNext w:val="0"/>
        <w:keepLines w:val="0"/>
        <w:pageBreakBefore w:val="0"/>
        <w:widowControl w:val="0"/>
        <w:numPr>
          <w:ilvl w:val="0"/>
          <w:numId w:val="1"/>
        </w:numPr>
        <w:kinsoku/>
        <w:wordWrap/>
        <w:overflowPunct/>
        <w:topLinePunct w:val="0"/>
        <w:autoSpaceDE/>
        <w:autoSpaceDN/>
        <w:bidi w:val="0"/>
        <w:adjustRightInd/>
        <w:snapToGrid/>
        <w:spacing w:after="240" w:line="240" w:lineRule="auto"/>
        <w:jc w:val="left"/>
        <w:textAlignment w:val="auto"/>
        <w:rPr>
          <w:rFonts w:hint="eastAsia" w:ascii="楷体" w:hAnsi="楷体" w:eastAsia="楷体" w:cs="楷体"/>
          <w:sz w:val="18"/>
          <w:szCs w:val="18"/>
          <w:lang w:val="en-US" w:eastAsia="zh-CN"/>
        </w:rPr>
      </w:pPr>
      <w:r>
        <w:rPr>
          <w:rFonts w:hint="eastAsia" w:ascii="楷体" w:hAnsi="楷体" w:eastAsia="楷体" w:cs="楷体"/>
          <w:sz w:val="18"/>
          <w:szCs w:val="18"/>
          <w:lang w:val="en-US" w:eastAsia="zh-CN"/>
        </w:rPr>
        <w:t>义务教育语文课程标准(2022版)[M].北京师范大学出版社.2022</w:t>
      </w:r>
    </w:p>
    <w:p>
      <w:pPr>
        <w:keepNext w:val="0"/>
        <w:keepLines w:val="0"/>
        <w:pageBreakBefore w:val="0"/>
        <w:widowControl w:val="0"/>
        <w:numPr>
          <w:ilvl w:val="0"/>
          <w:numId w:val="1"/>
        </w:numPr>
        <w:kinsoku/>
        <w:wordWrap/>
        <w:overflowPunct/>
        <w:topLinePunct w:val="0"/>
        <w:autoSpaceDE/>
        <w:autoSpaceDN/>
        <w:bidi w:val="0"/>
        <w:adjustRightInd/>
        <w:snapToGrid/>
        <w:spacing w:after="240" w:line="240" w:lineRule="auto"/>
        <w:jc w:val="left"/>
        <w:textAlignment w:val="auto"/>
        <w:rPr>
          <w:rFonts w:hint="eastAsia" w:ascii="楷体" w:hAnsi="楷体" w:eastAsia="楷体" w:cs="楷体"/>
          <w:sz w:val="18"/>
          <w:szCs w:val="18"/>
          <w:lang w:val="en-US" w:eastAsia="zh-CN"/>
        </w:rPr>
      </w:pPr>
      <w:r>
        <w:rPr>
          <w:rFonts w:hint="eastAsia" w:ascii="楷体" w:hAnsi="楷体" w:eastAsia="楷体" w:cs="楷体"/>
          <w:sz w:val="18"/>
          <w:szCs w:val="18"/>
          <w:lang w:val="en-US" w:eastAsia="zh-CN"/>
        </w:rPr>
        <w:t>语文学习任务群的“是”与“非” — —北京师范大学王宁教授访谈［J］. 语文建设，2019（1）：4-7.</w:t>
      </w:r>
    </w:p>
    <w:p>
      <w:pPr>
        <w:keepNext w:val="0"/>
        <w:keepLines w:val="0"/>
        <w:pageBreakBefore w:val="0"/>
        <w:widowControl w:val="0"/>
        <w:numPr>
          <w:ilvl w:val="0"/>
          <w:numId w:val="1"/>
        </w:numPr>
        <w:kinsoku/>
        <w:wordWrap/>
        <w:overflowPunct/>
        <w:topLinePunct w:val="0"/>
        <w:autoSpaceDE/>
        <w:autoSpaceDN/>
        <w:bidi w:val="0"/>
        <w:adjustRightInd/>
        <w:snapToGrid/>
        <w:spacing w:after="240" w:line="240" w:lineRule="auto"/>
        <w:jc w:val="left"/>
        <w:textAlignment w:val="auto"/>
        <w:rPr>
          <w:rFonts w:hint="eastAsia" w:ascii="楷体" w:hAnsi="楷体" w:eastAsia="楷体" w:cs="楷体"/>
          <w:sz w:val="18"/>
          <w:szCs w:val="18"/>
          <w:lang w:val="en-US" w:eastAsia="zh-CN"/>
        </w:rPr>
      </w:pPr>
      <w:r>
        <w:rPr>
          <w:rFonts w:hint="eastAsia" w:ascii="楷体" w:hAnsi="楷体" w:eastAsia="楷体" w:cs="楷体"/>
          <w:sz w:val="18"/>
          <w:szCs w:val="18"/>
          <w:lang w:val="en-US" w:eastAsia="zh-CN"/>
        </w:rPr>
        <w:t>弗洛伊德.本我与自我[M].上海译文出版社.2010.</w:t>
      </w:r>
    </w:p>
    <w:p>
      <w:pPr>
        <w:keepNext w:val="0"/>
        <w:keepLines w:val="0"/>
        <w:pageBreakBefore w:val="0"/>
        <w:widowControl w:val="0"/>
        <w:numPr>
          <w:ilvl w:val="0"/>
          <w:numId w:val="0"/>
        </w:numPr>
        <w:kinsoku/>
        <w:wordWrap/>
        <w:overflowPunct/>
        <w:topLinePunct w:val="0"/>
        <w:autoSpaceDE/>
        <w:autoSpaceDN/>
        <w:bidi w:val="0"/>
        <w:adjustRightInd/>
        <w:snapToGrid/>
        <w:spacing w:after="240" w:line="240" w:lineRule="auto"/>
        <w:jc w:val="left"/>
        <w:textAlignment w:val="auto"/>
        <w:rPr>
          <w:rFonts w:hint="eastAsia" w:ascii="楷体" w:hAnsi="楷体" w:eastAsia="楷体" w:cs="楷体"/>
          <w:sz w:val="18"/>
          <w:szCs w:val="18"/>
          <w:lang w:val="en-US" w:eastAsia="zh-CN"/>
        </w:rPr>
      </w:pPr>
      <w:r>
        <w:rPr>
          <w:rFonts w:hint="eastAsia" w:ascii="楷体" w:hAnsi="楷体" w:eastAsia="楷体" w:cs="楷体"/>
          <w:sz w:val="18"/>
          <w:szCs w:val="18"/>
          <w:lang w:val="en-US" w:eastAsia="zh-CN"/>
        </w:rPr>
        <w:t>[5]钟启泉.从“知识本位”转向“素养本位”——课程改革的挑战性课题[J].基础教育课程,2021(11):5-20.</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sz w:val="24"/>
          <w:szCs w:val="24"/>
          <w:lang w:val="en-US" w:eastAsia="zh-CN"/>
        </w:rPr>
      </w:pPr>
    </w:p>
    <w:p>
      <w:pPr>
        <w:rPr>
          <w:rFonts w:hint="eastAsia" w:ascii="楷体" w:hAnsi="楷体" w:eastAsia="楷体" w:cs="楷体"/>
          <w:sz w:val="18"/>
          <w:szCs w:val="21"/>
          <w:lang w:val="en-US" w:eastAsia="zh-CN"/>
        </w:rPr>
      </w:pPr>
      <w:r>
        <w:rPr>
          <w:rFonts w:hint="eastAsia" w:ascii="楷体" w:hAnsi="楷体" w:eastAsia="楷体" w:cs="楷体"/>
          <w:sz w:val="18"/>
          <w:szCs w:val="21"/>
          <w:lang w:val="en-US" w:eastAsia="zh-CN"/>
        </w:rPr>
        <w:t>作者信息：许玮暄，中学二级教师，硕士研究生</w:t>
      </w:r>
    </w:p>
    <w:p>
      <w:pPr>
        <w:rPr>
          <w:rFonts w:hint="eastAsia" w:ascii="楷体" w:hAnsi="楷体" w:eastAsia="楷体" w:cs="楷体"/>
          <w:sz w:val="18"/>
          <w:szCs w:val="21"/>
          <w:lang w:val="en-US" w:eastAsia="zh-CN"/>
        </w:rPr>
      </w:pPr>
      <w:r>
        <w:rPr>
          <w:rFonts w:hint="eastAsia" w:ascii="楷体" w:hAnsi="楷体" w:eastAsia="楷体" w:cs="楷体"/>
          <w:sz w:val="18"/>
          <w:szCs w:val="21"/>
          <w:lang w:val="en-US" w:eastAsia="zh-CN"/>
        </w:rPr>
        <w:t>联系电话：18816927995</w:t>
      </w:r>
    </w:p>
    <w:p>
      <w:pPr>
        <w:rPr>
          <w:rFonts w:hint="eastAsia" w:ascii="楷体" w:hAnsi="楷体" w:eastAsia="楷体" w:cs="楷体"/>
          <w:sz w:val="18"/>
          <w:szCs w:val="21"/>
          <w:lang w:val="en-US" w:eastAsia="zh-CN"/>
        </w:rPr>
      </w:pPr>
      <w:r>
        <w:rPr>
          <w:rFonts w:hint="eastAsia" w:ascii="楷体" w:hAnsi="楷体" w:eastAsia="楷体" w:cs="楷体"/>
          <w:sz w:val="18"/>
          <w:szCs w:val="21"/>
          <w:lang w:val="en-US" w:eastAsia="zh-CN"/>
        </w:rPr>
        <w:t>联系方式：上海市徐汇区永嘉路388号上海市第二初级中学 200031</w:t>
      </w:r>
    </w:p>
    <w:p>
      <w:pPr>
        <w:rPr>
          <w:rFonts w:hint="eastAsia" w:ascii="楷体" w:hAnsi="楷体" w:eastAsia="楷体" w:cs="楷体"/>
          <w:sz w:val="18"/>
          <w:szCs w:val="21"/>
          <w:lang w:val="en-US" w:eastAsia="zh-CN"/>
        </w:rPr>
      </w:pPr>
    </w:p>
    <w:p>
      <w:pPr>
        <w:rPr>
          <w:rFonts w:hint="eastAsia" w:ascii="楷体" w:hAnsi="楷体" w:eastAsia="楷体" w:cs="楷体"/>
          <w:sz w:val="18"/>
          <w:szCs w:val="21"/>
          <w:lang w:val="en-US" w:eastAsia="zh-CN"/>
        </w:rPr>
      </w:pPr>
    </w:p>
    <w:p>
      <w:pPr>
        <w:rPr>
          <w:rFonts w:hint="eastAsia" w:ascii="楷体" w:hAnsi="楷体" w:eastAsia="楷体" w:cs="楷体"/>
          <w:sz w:val="18"/>
          <w:szCs w:val="21"/>
          <w:lang w:val="en-US" w:eastAsia="zh-CN"/>
        </w:rPr>
      </w:pPr>
    </w:p>
    <w:p>
      <w:pPr>
        <w:rPr>
          <w:rFonts w:hint="eastAsia" w:ascii="楷体" w:hAnsi="楷体" w:eastAsia="楷体" w:cs="楷体"/>
          <w:sz w:val="18"/>
          <w:szCs w:val="21"/>
          <w:lang w:val="en-US" w:eastAsia="zh-CN"/>
        </w:rPr>
      </w:pPr>
    </w:p>
    <w:p>
      <w:pPr>
        <w:rPr>
          <w:rFonts w:hint="eastAsia" w:ascii="楷体" w:hAnsi="楷体" w:eastAsia="楷体" w:cs="楷体"/>
          <w:sz w:val="18"/>
          <w:szCs w:val="21"/>
          <w:lang w:val="en-US" w:eastAsia="zh-CN"/>
        </w:rPr>
      </w:pPr>
    </w:p>
    <w:p>
      <w:pPr>
        <w:rPr>
          <w:rFonts w:hint="eastAsia" w:ascii="楷体" w:hAnsi="楷体" w:eastAsia="楷体" w:cs="楷体"/>
          <w:sz w:val="18"/>
          <w:szCs w:val="21"/>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5E44C94"/>
    <w:multiLevelType w:val="singleLevel"/>
    <w:tmpl w:val="A5E44C94"/>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Y0YzM4M2FhNjJiYTYwYjhiY2IwNjBiYmY4NWFkMzcifQ=="/>
  </w:docVars>
  <w:rsids>
    <w:rsidRoot w:val="5BB06BED"/>
    <w:rsid w:val="0CFF7893"/>
    <w:rsid w:val="328526EC"/>
    <w:rsid w:val="50CC243A"/>
    <w:rsid w:val="5BB06BED"/>
    <w:rsid w:val="705011DC"/>
    <w:rsid w:val="73006CF3"/>
    <w:rsid w:val="75BB35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4569</Words>
  <Characters>4706</Characters>
  <Lines>0</Lines>
  <Paragraphs>0</Paragraphs>
  <TotalTime>1</TotalTime>
  <ScaleCrop>false</ScaleCrop>
  <LinksUpToDate>false</LinksUpToDate>
  <CharactersWithSpaces>4717</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2024-03-24T07:54:00Z</dcterms:created>
  <dc:creator>芒果猫的树</dc:creator>
  <cp:lastModifiedBy>芒果猫的树</cp:lastModifiedBy>
  <dcterms:modified xsi:type="dcterms:W3CDTF">2024-03-31T12:28:02Z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1DCCC872DE674AD284F86EBC31FF74DA_11</vt:lpwstr>
  </property>
</Properties>
</file>