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360" w:hanging="360"/>
        <w:jc w:val="center"/>
        <w:rPr>
          <w:sz w:val="22"/>
          <w:szCs w:val="28"/>
        </w:rPr>
      </w:pPr>
      <w:r>
        <w:rPr>
          <w:rFonts w:hint="eastAsia" w:ascii="宋体" w:hAnsi="宋体" w:eastAsia="宋体"/>
          <w:b/>
          <w:bCs/>
          <w:sz w:val="28"/>
          <w:szCs w:val="28"/>
          <w:lang w:val="en-US" w:eastAsia="zh-CN"/>
        </w:rPr>
        <w:t>基于单元主题意义的初中英语深度阅读教学</w:t>
      </w:r>
    </w:p>
    <w:p>
      <w:pPr>
        <w:spacing w:line="360" w:lineRule="auto"/>
        <w:ind w:left="360" w:hanging="360"/>
        <w:jc w:val="center"/>
        <w:rPr>
          <w:rFonts w:hint="eastAsia" w:ascii="SimSong Regular" w:hAnsi="SimSong Regular" w:eastAsia="SimSong Regular" w:cs="SimSong Regular"/>
          <w:sz w:val="21"/>
          <w:szCs w:val="21"/>
          <w:lang w:val="en-US" w:eastAsia="zh-CN"/>
        </w:rPr>
      </w:pPr>
      <w:r>
        <w:rPr>
          <w:rFonts w:hint="eastAsia" w:ascii="SimSong Regular" w:hAnsi="SimSong Regular" w:eastAsia="SimSong Regular" w:cs="SimSong Regular"/>
          <w:sz w:val="21"/>
          <w:szCs w:val="21"/>
          <w:lang w:val="en-US" w:eastAsia="zh-CN"/>
        </w:rPr>
        <w:t>上海</w:t>
      </w:r>
      <w:bookmarkStart w:id="0" w:name="_GoBack"/>
      <w:bookmarkEnd w:id="0"/>
      <w:r>
        <w:rPr>
          <w:rFonts w:hint="eastAsia" w:ascii="SimSong Regular" w:hAnsi="SimSong Regular" w:eastAsia="SimSong Regular" w:cs="SimSong Regular"/>
          <w:sz w:val="21"/>
          <w:szCs w:val="21"/>
          <w:lang w:val="en-US" w:eastAsia="zh-CN"/>
        </w:rPr>
        <w:t>市西南位育中学   姚丽</w:t>
      </w:r>
    </w:p>
    <w:p>
      <w:pPr>
        <w:spacing w:line="360" w:lineRule="auto"/>
        <w:rPr>
          <w:rFonts w:hint="default" w:ascii="宋体" w:hAnsi="宋体" w:eastAsia="宋体"/>
          <w:b w:val="0"/>
          <w:bCs w:val="0"/>
          <w:sz w:val="24"/>
          <w:szCs w:val="24"/>
          <w:lang w:val="en-US" w:eastAsia="zh-CN"/>
        </w:rPr>
      </w:pPr>
      <w:r>
        <w:rPr>
          <w:rFonts w:hint="eastAsia" w:ascii="宋体" w:hAnsi="宋体" w:eastAsia="宋体"/>
          <w:b/>
          <w:bCs/>
          <w:sz w:val="24"/>
          <w:szCs w:val="24"/>
          <w:lang w:val="en-US" w:eastAsia="zh-CN"/>
        </w:rPr>
        <w:t>【摘要】</w:t>
      </w:r>
      <w:r>
        <w:rPr>
          <w:rFonts w:hint="eastAsia" w:ascii="宋体" w:hAnsi="宋体" w:eastAsia="宋体"/>
          <w:b w:val="0"/>
          <w:bCs w:val="0"/>
          <w:sz w:val="24"/>
          <w:szCs w:val="24"/>
          <w:lang w:val="en-US" w:eastAsia="zh-CN"/>
        </w:rPr>
        <w:t>基于单元主题意义的深度阅读教学是提升学生思维品质，启迪学生文化意识，实现英语学科育人的重要途径。文章主要阐述了基于单元主题意义深度阅读教学实施路径，从探究单元语篇的主题意义，开发拓展阅读语篇，确定阅读教学目标，设计指向深度阅读的探究活动，通过过程性评价提升学生对主题意义的建构程度六个方面展开，以期促进学生语言能力，思维品质、文化意识和学习能力的发展与提升。</w:t>
      </w:r>
    </w:p>
    <w:p>
      <w:pPr>
        <w:spacing w:line="360" w:lineRule="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【关键词】单元主题意义；深度阅读；拓展语篇</w:t>
      </w:r>
    </w:p>
    <w:p>
      <w:pPr>
        <w:spacing w:line="360" w:lineRule="auto"/>
        <w:rPr>
          <w:rFonts w:hint="default" w:ascii="宋体" w:hAnsi="宋体" w:eastAsia="宋体"/>
          <w:b w:val="0"/>
          <w:bCs w:val="0"/>
          <w:sz w:val="24"/>
          <w:szCs w:val="24"/>
          <w:lang w:val="en-US" w:eastAsia="zh-CN"/>
        </w:rPr>
      </w:pPr>
    </w:p>
    <w:p>
      <w:pPr>
        <w:spacing w:line="360" w:lineRule="auto"/>
        <w:ind w:left="360" w:hanging="360"/>
        <w:rPr>
          <w:rFonts w:ascii="宋体" w:hAnsi="宋体" w:eastAsia="宋体"/>
          <w:sz w:val="24"/>
          <w:szCs w:val="24"/>
        </w:rPr>
      </w:pPr>
      <w:r>
        <w:rPr>
          <w:rFonts w:hint="eastAsia" w:ascii="宋体" w:hAnsi="宋体" w:eastAsia="宋体"/>
          <w:b/>
          <w:bCs/>
          <w:sz w:val="24"/>
          <w:szCs w:val="24"/>
        </w:rPr>
        <w:t>一、研究背景</w:t>
      </w:r>
    </w:p>
    <w:p>
      <w:pPr>
        <w:spacing w:line="360" w:lineRule="auto"/>
        <w:ind w:firstLine="420" w:firstLineChars="0"/>
        <w:rPr>
          <w:rFonts w:hint="default" w:ascii="宋体" w:hAnsi="宋体" w:eastAsia="宋体"/>
          <w:sz w:val="24"/>
          <w:szCs w:val="24"/>
          <w:lang w:val="en-US" w:eastAsia="zh-CN"/>
        </w:rPr>
      </w:pPr>
      <w:r>
        <w:rPr>
          <w:rFonts w:hint="eastAsia" w:ascii="宋体" w:hAnsi="宋体" w:eastAsia="宋体"/>
          <w:sz w:val="24"/>
          <w:szCs w:val="24"/>
        </w:rPr>
        <w:t>《</w:t>
      </w:r>
      <w:r>
        <w:rPr>
          <w:rFonts w:hint="eastAsia" w:ascii="宋体" w:hAnsi="宋体" w:eastAsia="宋体"/>
          <w:sz w:val="24"/>
          <w:szCs w:val="24"/>
          <w:lang w:val="en-US" w:eastAsia="zh-CN"/>
        </w:rPr>
        <w:t>义务教育英语课程标准（2022年版）</w:t>
      </w:r>
      <w:r>
        <w:rPr>
          <w:rFonts w:hint="eastAsia" w:ascii="宋体" w:hAnsi="宋体" w:eastAsia="宋体"/>
          <w:sz w:val="24"/>
          <w:szCs w:val="24"/>
        </w:rPr>
        <w:t>》有关课程实施的教学建议中提到了加强单元教学的整体性，其中明确指</w:t>
      </w:r>
      <w:r>
        <w:rPr>
          <w:rFonts w:hint="eastAsia" w:ascii="宋体" w:hAnsi="宋体" w:eastAsia="宋体"/>
          <w:sz w:val="24"/>
          <w:szCs w:val="24"/>
          <w:u w:val="none"/>
        </w:rPr>
        <w:t>出</w:t>
      </w:r>
      <w:r>
        <w:rPr>
          <w:rFonts w:hint="eastAsia" w:ascii="宋体" w:hAnsi="宋体" w:eastAsia="宋体"/>
          <w:sz w:val="24"/>
          <w:szCs w:val="24"/>
          <w:u w:val="none"/>
          <w:lang w:eastAsia="zh-CN"/>
        </w:rPr>
        <w:t>“</w:t>
      </w:r>
      <w:r>
        <w:rPr>
          <w:rFonts w:hint="eastAsia" w:ascii="宋体" w:hAnsi="宋体" w:eastAsia="宋体"/>
          <w:sz w:val="24"/>
          <w:szCs w:val="24"/>
          <w:u w:val="none"/>
        </w:rPr>
        <w:t>教师要深入解读和分析单元内各语篇及相关教学资源，并结合学生的认知逻辑和生活经验，对单元内容进行必要的整合或重组，建立单元内各语篇之间的联系;</w:t>
      </w:r>
      <w:r>
        <w:rPr>
          <w:rFonts w:hint="eastAsia" w:ascii="宋体" w:hAnsi="宋体" w:eastAsia="宋体"/>
          <w:sz w:val="24"/>
          <w:szCs w:val="24"/>
          <w:u w:val="none"/>
          <w:lang w:val="en-US" w:eastAsia="zh-CN"/>
        </w:rPr>
        <w:t xml:space="preserve"> </w:t>
      </w:r>
      <w:r>
        <w:rPr>
          <w:rFonts w:hint="eastAsia" w:ascii="宋体" w:hAnsi="宋体" w:eastAsia="宋体"/>
          <w:sz w:val="24"/>
          <w:szCs w:val="24"/>
          <w:u w:val="none"/>
        </w:rPr>
        <w:t>引导学生基于对各语篇内容的学习和主题意义的探究，逐步建构和生成围绕单元主题的深层认知、态度和价值判断，促</w:t>
      </w:r>
      <w:r>
        <w:rPr>
          <w:rFonts w:hint="eastAsia" w:ascii="宋体" w:hAnsi="宋体" w:eastAsia="宋体"/>
          <w:sz w:val="24"/>
          <w:szCs w:val="24"/>
        </w:rPr>
        <w:t>进其核心素养综合表现的达成。”</w:t>
      </w:r>
      <w:r>
        <w:rPr>
          <w:rFonts w:hint="default" w:ascii="宋体" w:hAnsi="宋体" w:eastAsia="宋体"/>
          <w:sz w:val="24"/>
          <w:szCs w:val="24"/>
          <w:vertAlign w:val="superscript"/>
          <w:lang w:val="en-US"/>
        </w:rPr>
        <w:t xml:space="preserve">[1] </w:t>
      </w:r>
      <w:r>
        <w:rPr>
          <w:rFonts w:hint="eastAsia" w:ascii="宋体" w:hAnsi="宋体" w:eastAsia="宋体"/>
          <w:sz w:val="24"/>
          <w:szCs w:val="24"/>
          <w:lang w:val="en-US" w:eastAsia="zh-CN"/>
        </w:rPr>
        <w:t>学生对主题意义的探究是学生学习语言的最重要内容，直接影响学生语篇理解的深度，思维发展的水平和语言学习的成效。但从教学实践上来讲，</w:t>
      </w:r>
      <w:r>
        <w:rPr>
          <w:rFonts w:hint="eastAsia" w:ascii="宋体" w:hAnsi="宋体" w:eastAsia="宋体"/>
          <w:sz w:val="24"/>
          <w:szCs w:val="24"/>
        </w:rPr>
        <w:t>由于现有的初中英语教材语篇内容和语言不足以支撑学生对单元主题语篇的深度探究</w:t>
      </w:r>
      <w:r>
        <w:rPr>
          <w:rFonts w:hint="eastAsia" w:ascii="宋体" w:hAnsi="宋体" w:eastAsia="宋体"/>
          <w:sz w:val="24"/>
          <w:szCs w:val="24"/>
          <w:lang w:eastAsia="zh-CN"/>
        </w:rPr>
        <w:t>，</w:t>
      </w:r>
      <w:r>
        <w:rPr>
          <w:rFonts w:hint="eastAsia" w:ascii="宋体" w:hAnsi="宋体" w:eastAsia="宋体"/>
          <w:sz w:val="24"/>
          <w:szCs w:val="24"/>
        </w:rPr>
        <w:t>学生的阅读能力难以得到系统的锻炼</w:t>
      </w:r>
      <w:r>
        <w:rPr>
          <w:rFonts w:hint="eastAsia" w:ascii="宋体" w:hAnsi="宋体" w:eastAsia="宋体"/>
          <w:sz w:val="24"/>
          <w:szCs w:val="24"/>
          <w:lang w:eastAsia="zh-CN"/>
        </w:rPr>
        <w:t>；</w:t>
      </w:r>
      <w:r>
        <w:rPr>
          <w:rFonts w:hint="eastAsia" w:ascii="宋体" w:hAnsi="宋体" w:eastAsia="宋体"/>
          <w:sz w:val="24"/>
          <w:szCs w:val="24"/>
          <w:lang w:val="en-US" w:eastAsia="zh-CN"/>
        </w:rPr>
        <w:t>教师对单元内各语篇及相关教学资源的开发研究尚不充分。教学当中还不同程度的存在着重词汇语法，轻阅读技能；重表层信息，轻深层理解；重文本内容，轻语篇知识；重课文语言，轻联系生活的现象，致使教学内容和教学过程呈现碎片化现象，不利于学生建构单元主题意义。因此，学生很难完成深度阅读的过程，即通过深度加工知识信息、深度理解复杂概念、深度掌握内在含义、主动建构个人知识体系并迁移应用到真实情境中解决复杂问题的过程</w:t>
      </w:r>
      <w:r>
        <w:rPr>
          <w:rFonts w:hint="default" w:ascii="宋体" w:hAnsi="宋体" w:eastAsia="宋体"/>
          <w:sz w:val="24"/>
          <w:szCs w:val="24"/>
          <w:vertAlign w:val="superscript"/>
          <w:lang w:val="en-US" w:eastAsia="zh-CN"/>
        </w:rPr>
        <w:t>[2]</w:t>
      </w:r>
      <w:r>
        <w:rPr>
          <w:rFonts w:hint="eastAsia" w:ascii="宋体" w:hAnsi="宋体" w:eastAsia="宋体"/>
          <w:sz w:val="24"/>
          <w:szCs w:val="24"/>
          <w:lang w:val="en-US" w:eastAsia="zh-CN"/>
        </w:rPr>
        <w:t>。</w:t>
      </w:r>
    </w:p>
    <w:p>
      <w:pPr>
        <w:spacing w:line="360" w:lineRule="auto"/>
        <w:ind w:firstLine="420" w:firstLineChars="0"/>
        <w:rPr>
          <w:rFonts w:hint="default" w:ascii="宋体" w:hAnsi="宋体" w:eastAsia="宋体"/>
          <w:sz w:val="24"/>
          <w:szCs w:val="24"/>
          <w:lang w:val="en-US" w:eastAsia="zh-CN"/>
        </w:rPr>
      </w:pPr>
      <w:r>
        <w:rPr>
          <w:rFonts w:hint="eastAsia" w:ascii="宋体" w:hAnsi="宋体" w:eastAsia="宋体"/>
          <w:sz w:val="24"/>
          <w:szCs w:val="24"/>
        </w:rPr>
        <w:t>基于以上</w:t>
      </w:r>
      <w:r>
        <w:rPr>
          <w:rFonts w:hint="eastAsia" w:ascii="宋体" w:hAnsi="宋体" w:eastAsia="宋体"/>
          <w:sz w:val="24"/>
          <w:szCs w:val="24"/>
          <w:lang w:val="en-US" w:eastAsia="zh-CN"/>
        </w:rPr>
        <w:t>背景，本文将结合具体案例，阐述基于单元主题意义的英语深度阅读教学的具体路径，</w:t>
      </w:r>
      <w:r>
        <w:rPr>
          <w:rFonts w:hint="eastAsia" w:ascii="宋体" w:hAnsi="宋体" w:eastAsia="宋体"/>
          <w:sz w:val="24"/>
          <w:szCs w:val="24"/>
        </w:rPr>
        <w:t>促进学生对单元主题意义的深度探究，帮助学生丰富知识结构，实现单元语篇的协同育人价值。</w:t>
      </w:r>
      <w:r>
        <w:rPr>
          <w:rFonts w:hint="eastAsia" w:ascii="宋体" w:hAnsi="宋体" w:eastAsia="宋体"/>
          <w:sz w:val="24"/>
          <w:szCs w:val="24"/>
          <w:lang w:val="en-US" w:eastAsia="zh-CN"/>
        </w:rPr>
        <w:t xml:space="preserve">   </w:t>
      </w:r>
    </w:p>
    <w:p>
      <w:pPr>
        <w:numPr>
          <w:ilvl w:val="0"/>
          <w:numId w:val="1"/>
        </w:numPr>
        <w:spacing w:line="360" w:lineRule="auto"/>
        <w:ind w:left="360" w:leftChars="0" w:hanging="360" w:firstLineChars="0"/>
        <w:jc w:val="both"/>
        <w:rPr>
          <w:rFonts w:hint="eastAsia" w:ascii="宋体" w:hAnsi="宋体" w:eastAsia="宋体"/>
          <w:b/>
          <w:bCs/>
          <w:sz w:val="24"/>
          <w:szCs w:val="24"/>
          <w:lang w:val="en-US" w:eastAsia="zh-CN"/>
        </w:rPr>
      </w:pPr>
      <w:r>
        <w:rPr>
          <w:rFonts w:hint="eastAsia" w:ascii="宋体" w:hAnsi="宋体" w:eastAsia="宋体"/>
          <w:b/>
          <w:bCs/>
          <w:sz w:val="24"/>
          <w:szCs w:val="24"/>
          <w:lang w:val="en-US" w:eastAsia="zh-CN"/>
        </w:rPr>
        <w:t>基于单元主题意义的初中英语深度阅读教学路径</w:t>
      </w:r>
    </w:p>
    <w:p>
      <w:pPr>
        <w:numPr>
          <w:ilvl w:val="0"/>
          <w:numId w:val="0"/>
        </w:numPr>
        <w:spacing w:line="360" w:lineRule="auto"/>
        <w:jc w:val="both"/>
        <w:rPr>
          <w:rFonts w:hint="default" w:ascii="宋体" w:hAnsi="宋体" w:eastAsia="宋体"/>
          <w:b/>
          <w:bCs/>
          <w:sz w:val="24"/>
          <w:szCs w:val="24"/>
          <w:lang w:val="en-US" w:eastAsia="zh-CN"/>
        </w:rPr>
      </w:pPr>
      <w:r>
        <w:rPr>
          <w:rFonts w:hint="eastAsia" w:ascii="宋体" w:hAnsi="宋体" w:eastAsia="宋体"/>
          <w:b/>
          <w:bCs/>
          <w:sz w:val="24"/>
          <w:szCs w:val="24"/>
          <w:lang w:val="en-US" w:eastAsia="zh-CN"/>
        </w:rPr>
        <w:t>（一）分析单元语篇，探究主题意义</w:t>
      </w:r>
    </w:p>
    <w:p>
      <w:pPr>
        <w:numPr>
          <w:ilvl w:val="0"/>
          <w:numId w:val="0"/>
        </w:numPr>
        <w:spacing w:line="360" w:lineRule="auto"/>
        <w:ind w:firstLine="420" w:firstLineChars="0"/>
        <w:jc w:val="both"/>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对主题意义的探究是英语课程的核心任务，主题具有联结和统领课程内容要素的作用</w:t>
      </w:r>
      <w:r>
        <w:rPr>
          <w:rFonts w:hint="default" w:ascii="宋体" w:hAnsi="宋体" w:eastAsia="宋体"/>
          <w:b w:val="0"/>
          <w:bCs w:val="0"/>
          <w:sz w:val="24"/>
          <w:szCs w:val="24"/>
          <w:vertAlign w:val="superscript"/>
          <w:lang w:val="en-US" w:eastAsia="zh-CN"/>
        </w:rPr>
        <w:t>[3]</w:t>
      </w:r>
      <w:r>
        <w:rPr>
          <w:rFonts w:hint="eastAsia" w:ascii="宋体" w:hAnsi="宋体" w:eastAsia="宋体"/>
          <w:b w:val="0"/>
          <w:bCs w:val="0"/>
          <w:sz w:val="24"/>
          <w:szCs w:val="24"/>
          <w:vertAlign w:val="baseline"/>
          <w:lang w:val="en-US" w:eastAsia="zh-CN"/>
        </w:rPr>
        <w:t>。</w:t>
      </w:r>
      <w:r>
        <w:rPr>
          <w:rFonts w:hint="eastAsia" w:ascii="宋体" w:hAnsi="宋体" w:eastAsia="宋体"/>
          <w:b w:val="0"/>
          <w:bCs w:val="0"/>
          <w:sz w:val="24"/>
          <w:szCs w:val="24"/>
          <w:lang w:val="en-US" w:eastAsia="zh-CN"/>
        </w:rPr>
        <w:t>新版课程标准将主题划分为人与自我、人与社会、人与自然三大范畴，每个范畴下设置若干主题群，各主题群下设若干子主题。教师应对照新课程标准，确定单元主题，并根据语篇内容授予语篇子主题。</w:t>
      </w:r>
      <w:r>
        <w:rPr>
          <w:rFonts w:hint="eastAsia" w:ascii="宋体" w:hAnsi="宋体" w:eastAsia="宋体"/>
          <w:sz w:val="24"/>
          <w:szCs w:val="24"/>
          <w:lang w:val="en-US" w:eastAsia="zh-CN"/>
        </w:rPr>
        <w:t>教师需要打破板块间的界限，以全局视角统筹，以单元主题为统领核心，梳理教材已有语篇间的逻辑关系，并将本单元的所有语篇联结起来，整体设计，整体实施，整体评价，引导学生从“只见树木”的知识点学习走向“心中有森林”的单元整体学习</w:t>
      </w:r>
      <w:r>
        <w:rPr>
          <w:rFonts w:hint="default" w:ascii="宋体" w:hAnsi="宋体" w:eastAsia="宋体"/>
          <w:sz w:val="24"/>
          <w:szCs w:val="24"/>
          <w:vertAlign w:val="superscript"/>
          <w:lang w:val="en-US" w:eastAsia="zh-CN"/>
        </w:rPr>
        <w:t>[4]</w:t>
      </w:r>
      <w:r>
        <w:rPr>
          <w:rFonts w:hint="eastAsia" w:ascii="宋体" w:hAnsi="宋体" w:eastAsia="宋体"/>
          <w:sz w:val="24"/>
          <w:szCs w:val="24"/>
          <w:lang w:val="en-US" w:eastAsia="zh-CN"/>
        </w:rPr>
        <w:t>。</w:t>
      </w:r>
      <w:r>
        <w:rPr>
          <w:rFonts w:hint="eastAsia" w:ascii="宋体" w:hAnsi="宋体" w:eastAsia="宋体"/>
          <w:b w:val="0"/>
          <w:bCs w:val="0"/>
          <w:sz w:val="24"/>
          <w:szCs w:val="24"/>
          <w:lang w:val="en-US" w:eastAsia="zh-CN"/>
        </w:rPr>
        <w:t>学生在完成单元所有语篇的学习之后，要形成对单元主题的整体性理解。基于此，老师以</w:t>
      </w:r>
      <w:r>
        <w:rPr>
          <w:rFonts w:hint="default" w:ascii="Times New Roman Regular" w:hAnsi="Times New Roman Regular" w:eastAsia="宋体" w:cs="Times New Roman Regular"/>
          <w:b w:val="0"/>
          <w:bCs w:val="0"/>
          <w:sz w:val="24"/>
          <w:szCs w:val="24"/>
          <w:lang w:val="en-US" w:eastAsia="zh-CN"/>
        </w:rPr>
        <w:t>6B Unit 1</w:t>
      </w:r>
      <w:r>
        <w:rPr>
          <w:rFonts w:hint="eastAsia" w:ascii="Times New Roman Regular" w:hAnsi="Times New Roman Regular" w:eastAsia="宋体" w:cs="Times New Roman Regular"/>
          <w:b w:val="0"/>
          <w:bCs w:val="0"/>
          <w:sz w:val="24"/>
          <w:szCs w:val="24"/>
          <w:lang w:val="en-US" w:eastAsia="zh-CN"/>
        </w:rPr>
        <w:t xml:space="preserve"> </w:t>
      </w:r>
      <w:r>
        <w:rPr>
          <w:rFonts w:hint="default" w:ascii="Times New Roman Regular" w:hAnsi="Times New Roman Regular" w:eastAsia="宋体" w:cs="Times New Roman Regular"/>
          <w:b w:val="0"/>
          <w:bCs w:val="0"/>
          <w:sz w:val="24"/>
          <w:szCs w:val="24"/>
          <w:lang w:val="en-US" w:eastAsia="zh-CN"/>
        </w:rPr>
        <w:t>Great Cities in Asia</w:t>
      </w:r>
      <w:r>
        <w:rPr>
          <w:rFonts w:hint="eastAsia" w:ascii="宋体" w:hAnsi="宋体" w:eastAsia="宋体"/>
          <w:b w:val="0"/>
          <w:bCs w:val="0"/>
          <w:sz w:val="24"/>
          <w:szCs w:val="24"/>
          <w:lang w:val="en-US" w:eastAsia="zh-CN"/>
        </w:rPr>
        <w:t>为列，制定了如图1所示的单元主题与语篇主题意义的表格。</w:t>
      </w:r>
    </w:p>
    <w:tbl>
      <w:tblPr>
        <w:tblStyle w:val="4"/>
        <w:tblW w:w="86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2950"/>
        <w:gridCol w:w="2562"/>
        <w:gridCol w:w="1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tcPr>
          <w:p>
            <w:pPr>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单元主题</w:t>
            </w:r>
          </w:p>
        </w:tc>
        <w:tc>
          <w:tcPr>
            <w:tcW w:w="7494" w:type="dxa"/>
            <w:gridSpan w:val="3"/>
          </w:tcPr>
          <w:p>
            <w:pPr>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eastAsia" w:ascii="Times New Roman" w:hAnsi="Times New Roman" w:eastAsia="宋体" w:cs="Times New Roman"/>
                <w:kern w:val="0"/>
                <w:sz w:val="21"/>
                <w:szCs w:val="21"/>
              </w:rPr>
              <w:t>历史、社会与文化</w:t>
            </w:r>
            <w:r>
              <w:rPr>
                <w:rFonts w:hint="eastAsia" w:ascii="Times New Roman" w:hAnsi="Times New Roman" w:eastAsia="宋体" w:cs="Times New Roman"/>
                <w:kern w:val="0"/>
                <w:sz w:val="21"/>
                <w:szCs w:val="21"/>
                <w:lang w:eastAsia="zh-CN"/>
              </w:rPr>
              <w:t>（</w:t>
            </w:r>
            <w:r>
              <w:rPr>
                <w:rFonts w:hint="eastAsia" w:ascii="宋体" w:hAnsi="宋体" w:eastAsia="宋体"/>
                <w:b w:val="0"/>
                <w:bCs w:val="0"/>
                <w:sz w:val="21"/>
                <w:szCs w:val="21"/>
                <w:vertAlign w:val="baseline"/>
                <w:lang w:val="en-US" w:eastAsia="zh-CN"/>
              </w:rPr>
              <w:t>人与社会）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tcPr>
          <w:p>
            <w:pPr>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子主题</w:t>
            </w:r>
          </w:p>
        </w:tc>
        <w:tc>
          <w:tcPr>
            <w:tcW w:w="2950" w:type="dxa"/>
          </w:tcPr>
          <w:p>
            <w:pPr>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游览体验</w:t>
            </w:r>
          </w:p>
        </w:tc>
        <w:tc>
          <w:tcPr>
            <w:tcW w:w="4544" w:type="dxa"/>
            <w:gridSpan w:val="2"/>
          </w:tcPr>
          <w:p>
            <w:pPr>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中外名胜古迹的相关知识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tcPr>
          <w:p>
            <w:pPr>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语篇</w:t>
            </w:r>
          </w:p>
        </w:tc>
        <w:tc>
          <w:tcPr>
            <w:tcW w:w="2950" w:type="dxa"/>
          </w:tcPr>
          <w:p>
            <w:pPr>
              <w:numPr>
                <w:ilvl w:val="0"/>
                <w:numId w:val="0"/>
              </w:numPr>
              <w:spacing w:line="360" w:lineRule="auto"/>
              <w:jc w:val="both"/>
              <w:rPr>
                <w:rFonts w:hint="default" w:ascii="Times New Roman Regular" w:hAnsi="Times New Roman Regular" w:eastAsia="宋体" w:cs="Times New Roman Regular"/>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语篇</w:t>
            </w:r>
            <w:r>
              <w:rPr>
                <w:rFonts w:hint="default" w:ascii="Times New Roman Regular" w:hAnsi="Times New Roman Regular" w:eastAsia="宋体" w:cs="Times New Roman Regular"/>
                <w:b w:val="0"/>
                <w:bCs w:val="0"/>
                <w:sz w:val="21"/>
                <w:szCs w:val="21"/>
                <w:vertAlign w:val="baseline"/>
                <w:lang w:val="en-US" w:eastAsia="zh-CN"/>
              </w:rPr>
              <w:t>1</w:t>
            </w:r>
            <w:r>
              <w:rPr>
                <w:rFonts w:hint="eastAsia" w:ascii="Times New Roman Regular" w:hAnsi="Times New Roman Regular" w:eastAsia="宋体" w:cs="Times New Roman Regular"/>
                <w:b w:val="0"/>
                <w:bCs w:val="0"/>
                <w:sz w:val="21"/>
                <w:szCs w:val="21"/>
                <w:vertAlign w:val="baseline"/>
                <w:lang w:val="en-US" w:eastAsia="zh-CN"/>
              </w:rPr>
              <w:t>&amp; 2</w:t>
            </w:r>
            <w:r>
              <w:rPr>
                <w:rFonts w:hint="eastAsia" w:ascii="宋体" w:hAnsi="宋体" w:eastAsia="宋体"/>
                <w:b w:val="0"/>
                <w:bCs w:val="0"/>
                <w:sz w:val="21"/>
                <w:szCs w:val="21"/>
                <w:vertAlign w:val="baseline"/>
                <w:lang w:val="en-US" w:eastAsia="zh-CN"/>
              </w:rPr>
              <w:t>听说</w:t>
            </w:r>
            <w:r>
              <w:rPr>
                <w:rFonts w:hint="default" w:ascii="Times New Roman Regular" w:hAnsi="Times New Roman Regular" w:eastAsia="宋体" w:cs="Times New Roman Regular"/>
                <w:b w:val="0"/>
                <w:bCs w:val="0"/>
                <w:sz w:val="21"/>
                <w:szCs w:val="21"/>
                <w:vertAlign w:val="baseline"/>
                <w:lang w:val="en-US" w:eastAsia="zh-CN"/>
              </w:rPr>
              <w:t>：</w:t>
            </w:r>
          </w:p>
          <w:p>
            <w:pPr>
              <w:numPr>
                <w:ilvl w:val="0"/>
                <w:numId w:val="0"/>
              </w:numPr>
              <w:spacing w:line="360" w:lineRule="auto"/>
              <w:jc w:val="both"/>
              <w:rPr>
                <w:rFonts w:hint="eastAsia" w:ascii="宋体" w:hAnsi="宋体" w:eastAsia="宋体"/>
                <w:b w:val="0"/>
                <w:bCs w:val="0"/>
                <w:sz w:val="21"/>
                <w:szCs w:val="21"/>
                <w:vertAlign w:val="baseline"/>
                <w:lang w:val="en-US" w:eastAsia="zh-CN"/>
              </w:rPr>
            </w:pPr>
            <w:r>
              <w:rPr>
                <w:rFonts w:hint="default" w:ascii="Times New Roman Regular" w:hAnsi="Times New Roman Regular" w:eastAsia="宋体" w:cs="Times New Roman Regular"/>
                <w:b w:val="0"/>
                <w:bCs w:val="0"/>
                <w:sz w:val="21"/>
                <w:szCs w:val="21"/>
                <w:vertAlign w:val="baseline"/>
                <w:lang w:val="en-US" w:eastAsia="zh-CN"/>
              </w:rPr>
              <w:t xml:space="preserve">Travelling to different cities </w:t>
            </w:r>
          </w:p>
        </w:tc>
        <w:tc>
          <w:tcPr>
            <w:tcW w:w="2562" w:type="dxa"/>
          </w:tcPr>
          <w:p>
            <w:pPr>
              <w:numPr>
                <w:ilvl w:val="0"/>
                <w:numId w:val="0"/>
              </w:numPr>
              <w:spacing w:line="360" w:lineRule="auto"/>
              <w:jc w:val="both"/>
              <w:rPr>
                <w:rFonts w:hint="eastAsia"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语篇3阅读：</w:t>
            </w:r>
          </w:p>
          <w:p>
            <w:pPr>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default" w:ascii="Times New Roman Regular" w:hAnsi="Times New Roman Regular" w:eastAsia="宋体" w:cs="Times New Roman Regular"/>
                <w:b w:val="0"/>
                <w:bCs w:val="0"/>
                <w:sz w:val="21"/>
                <w:szCs w:val="21"/>
                <w:vertAlign w:val="baseline"/>
                <w:lang w:val="en-US" w:eastAsia="zh-CN"/>
              </w:rPr>
              <w:t>Great cities in Asia</w:t>
            </w:r>
          </w:p>
        </w:tc>
        <w:tc>
          <w:tcPr>
            <w:tcW w:w="1982" w:type="dxa"/>
          </w:tcPr>
          <w:p>
            <w:pPr>
              <w:numPr>
                <w:ilvl w:val="0"/>
                <w:numId w:val="0"/>
              </w:numPr>
              <w:spacing w:line="360" w:lineRule="auto"/>
              <w:jc w:val="both"/>
              <w:rPr>
                <w:rFonts w:hint="eastAsia"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语篇4写作：</w:t>
            </w:r>
          </w:p>
          <w:p>
            <w:pPr>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default" w:ascii="Times New Roman Regular" w:hAnsi="Times New Roman Regular" w:eastAsia="宋体" w:cs="Times New Roman Regular"/>
                <w:b w:val="0"/>
                <w:bCs w:val="0"/>
                <w:sz w:val="21"/>
                <w:szCs w:val="21"/>
                <w:vertAlign w:val="baseline"/>
                <w:lang w:val="en-US" w:eastAsia="zh-CN"/>
              </w:rPr>
              <w:t>Quiz Cards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tcPr>
          <w:p>
            <w:pPr>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语篇内容</w:t>
            </w:r>
          </w:p>
        </w:tc>
        <w:tc>
          <w:tcPr>
            <w:tcW w:w="2950" w:type="dxa"/>
          </w:tcPr>
          <w:p>
            <w:pPr>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lang w:val="en-US" w:eastAsia="zh-CN"/>
              </w:rPr>
              <w:t>亚洲重要城市的方位关系和交通</w:t>
            </w:r>
          </w:p>
        </w:tc>
        <w:tc>
          <w:tcPr>
            <w:tcW w:w="2562" w:type="dxa"/>
          </w:tcPr>
          <w:p>
            <w:pPr>
              <w:numPr>
                <w:ilvl w:val="0"/>
                <w:numId w:val="0"/>
              </w:numPr>
              <w:spacing w:line="360" w:lineRule="auto"/>
              <w:jc w:val="both"/>
              <w:rPr>
                <w:rFonts w:hint="eastAsia" w:ascii="宋体" w:hAnsi="宋体" w:eastAsia="宋体"/>
                <w:b w:val="0"/>
                <w:bCs w:val="0"/>
                <w:sz w:val="21"/>
                <w:szCs w:val="21"/>
                <w:vertAlign w:val="baseline"/>
                <w:lang w:val="en-US" w:eastAsia="zh-CN"/>
              </w:rPr>
            </w:pPr>
            <w:r>
              <w:rPr>
                <w:rFonts w:hint="eastAsia" w:ascii="Times New Roman" w:hAnsi="Times New Roman" w:eastAsia="宋体" w:cs="Times New Roman"/>
                <w:kern w:val="0"/>
                <w:sz w:val="21"/>
                <w:szCs w:val="21"/>
              </w:rPr>
              <w:t>亚洲重要城市的风貌、人口及饮食的介绍</w:t>
            </w:r>
          </w:p>
        </w:tc>
        <w:tc>
          <w:tcPr>
            <w:tcW w:w="1982" w:type="dxa"/>
          </w:tcPr>
          <w:p>
            <w:pPr>
              <w:numPr>
                <w:ilvl w:val="0"/>
                <w:numId w:val="0"/>
              </w:numPr>
              <w:spacing w:line="360" w:lineRule="auto"/>
              <w:jc w:val="both"/>
              <w:rPr>
                <w:rFonts w:hint="eastAsia" w:ascii="宋体" w:hAnsi="宋体" w:eastAsia="宋体"/>
                <w:b w:val="0"/>
                <w:bCs w:val="0"/>
                <w:sz w:val="21"/>
                <w:szCs w:val="21"/>
                <w:vertAlign w:val="baseline"/>
                <w:lang w:val="en-US" w:eastAsia="zh-CN"/>
              </w:rPr>
            </w:pPr>
            <w:r>
              <w:rPr>
                <w:rFonts w:hint="eastAsia" w:ascii="Times New Roman" w:hAnsi="Times New Roman" w:eastAsia="宋体" w:cs="Times New Roman"/>
                <w:kern w:val="0"/>
                <w:sz w:val="21"/>
                <w:szCs w:val="21"/>
              </w:rPr>
              <w:t>亚洲重要城市基本信息的</w:t>
            </w:r>
            <w:r>
              <w:rPr>
                <w:rFonts w:hint="eastAsia" w:ascii="Times New Roman" w:hAnsi="Times New Roman" w:eastAsia="宋体" w:cs="Times New Roman"/>
                <w:kern w:val="0"/>
                <w:sz w:val="21"/>
                <w:szCs w:val="21"/>
                <w:lang w:val="en-US" w:eastAsia="zh-CN"/>
              </w:rPr>
              <w:t>问答</w:t>
            </w:r>
          </w:p>
        </w:tc>
      </w:tr>
    </w:tbl>
    <w:p>
      <w:pPr>
        <w:numPr>
          <w:ilvl w:val="0"/>
          <w:numId w:val="0"/>
        </w:numPr>
        <w:spacing w:line="360" w:lineRule="auto"/>
        <w:ind w:firstLine="241" w:firstLineChars="100"/>
        <w:jc w:val="center"/>
        <w:rPr>
          <w:rFonts w:hint="eastAsia" w:ascii="宋体" w:hAnsi="宋体" w:eastAsia="宋体"/>
          <w:b/>
          <w:bCs/>
          <w:sz w:val="24"/>
          <w:szCs w:val="24"/>
          <w:lang w:val="en-US" w:eastAsia="zh-CN"/>
        </w:rPr>
      </w:pPr>
      <w:r>
        <w:rPr>
          <w:rFonts w:hint="eastAsia" w:ascii="宋体" w:hAnsi="宋体" w:eastAsia="宋体"/>
          <w:b/>
          <w:bCs/>
          <w:sz w:val="24"/>
          <w:szCs w:val="24"/>
          <w:lang w:val="en-US" w:eastAsia="zh-CN"/>
        </w:rPr>
        <w:t>图1</w:t>
      </w:r>
      <w:r>
        <w:rPr>
          <w:rFonts w:hint="default" w:ascii="宋体" w:hAnsi="宋体" w:eastAsia="宋体"/>
          <w:b/>
          <w:bCs/>
          <w:sz w:val="24"/>
          <w:szCs w:val="24"/>
          <w:lang w:val="en-US" w:eastAsia="zh-CN"/>
        </w:rPr>
        <w:t xml:space="preserve"> </w:t>
      </w:r>
      <w:r>
        <w:rPr>
          <w:rFonts w:hint="eastAsia" w:ascii="宋体" w:hAnsi="宋体" w:eastAsia="宋体"/>
          <w:b/>
          <w:bCs/>
          <w:sz w:val="24"/>
          <w:szCs w:val="24"/>
          <w:lang w:val="en-US" w:eastAsia="zh-CN"/>
        </w:rPr>
        <w:t>单元主题与语篇主题意义</w:t>
      </w:r>
    </w:p>
    <w:p>
      <w:pPr>
        <w:numPr>
          <w:ilvl w:val="0"/>
          <w:numId w:val="0"/>
        </w:numPr>
        <w:spacing w:line="360" w:lineRule="auto"/>
        <w:ind w:firstLine="240" w:firstLineChars="100"/>
        <w:jc w:val="both"/>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本单元的话题“亚洲主要城市”属于“人与社会”范畴下“历史、社会与文化”主题群。听说与阅读语篇相对独立又互相关联。综合各板块语篇可知，单元语篇谈论的是亚洲重要城市，单元的主题围绕中外名胜古迹的相关知识和游览体验。</w:t>
      </w:r>
    </w:p>
    <w:p>
      <w:pPr>
        <w:numPr>
          <w:ilvl w:val="0"/>
          <w:numId w:val="0"/>
        </w:numPr>
        <w:spacing w:line="360" w:lineRule="auto"/>
        <w:ind w:firstLine="241" w:firstLineChars="100"/>
        <w:jc w:val="both"/>
        <w:rPr>
          <w:rFonts w:hint="eastAsia" w:ascii="宋体" w:hAnsi="宋体" w:eastAsia="宋体"/>
          <w:b/>
          <w:bCs/>
          <w:sz w:val="24"/>
          <w:szCs w:val="24"/>
          <w:lang w:val="en-US" w:eastAsia="zh-CN"/>
        </w:rPr>
      </w:pPr>
    </w:p>
    <w:p>
      <w:pPr>
        <w:numPr>
          <w:ilvl w:val="0"/>
          <w:numId w:val="0"/>
        </w:numPr>
        <w:spacing w:line="360" w:lineRule="auto"/>
        <w:jc w:val="both"/>
        <w:rPr>
          <w:rFonts w:hint="default" w:ascii="宋体" w:hAnsi="宋体" w:eastAsia="宋体"/>
          <w:b/>
          <w:bCs/>
          <w:sz w:val="24"/>
          <w:szCs w:val="24"/>
          <w:lang w:val="en-US" w:eastAsia="zh-CN"/>
        </w:rPr>
      </w:pPr>
      <w:r>
        <w:rPr>
          <w:rFonts w:hint="eastAsia" w:ascii="宋体" w:hAnsi="宋体" w:eastAsia="宋体"/>
          <w:b/>
          <w:bCs/>
          <w:sz w:val="24"/>
          <w:szCs w:val="24"/>
          <w:lang w:val="en-US" w:eastAsia="zh-CN"/>
        </w:rPr>
        <w:t>（二）基于主题分析，开发拓展阅读语篇</w:t>
      </w:r>
    </w:p>
    <w:p>
      <w:pPr>
        <w:numPr>
          <w:ilvl w:val="0"/>
          <w:numId w:val="0"/>
        </w:numPr>
        <w:spacing w:line="360" w:lineRule="auto"/>
        <w:ind w:firstLine="482" w:firstLineChars="200"/>
        <w:jc w:val="both"/>
        <w:rPr>
          <w:rFonts w:hint="default" w:ascii="宋体" w:hAnsi="宋体" w:eastAsia="宋体"/>
          <w:b/>
          <w:bCs/>
          <w:sz w:val="24"/>
          <w:szCs w:val="24"/>
          <w:lang w:val="en-US" w:eastAsia="zh-CN"/>
        </w:rPr>
      </w:pPr>
      <w:r>
        <w:rPr>
          <w:rFonts w:hint="eastAsia" w:ascii="宋体" w:hAnsi="宋体" w:eastAsia="宋体"/>
          <w:b/>
          <w:bCs/>
          <w:sz w:val="24"/>
          <w:szCs w:val="24"/>
          <w:lang w:val="en-US" w:eastAsia="zh-CN"/>
        </w:rPr>
        <w:t>1. 合理定位阅读拓展角度，重组教学内容</w:t>
      </w:r>
    </w:p>
    <w:p>
      <w:pPr>
        <w:numPr>
          <w:ilvl w:val="0"/>
          <w:numId w:val="0"/>
        </w:numPr>
        <w:spacing w:line="360" w:lineRule="auto"/>
        <w:ind w:firstLine="420" w:firstLineChars="0"/>
        <w:jc w:val="both"/>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单元的教学过程不仅应是教师引导学生进行主题意义探究的过程，而且也是教师帮助学生围绕主题不断建构与主题相关的知识，深化和拓展认知的过程</w:t>
      </w:r>
      <w:r>
        <w:rPr>
          <w:rFonts w:hint="default" w:ascii="宋体" w:hAnsi="宋体" w:eastAsia="宋体"/>
          <w:b w:val="0"/>
          <w:bCs w:val="0"/>
          <w:sz w:val="24"/>
          <w:szCs w:val="24"/>
          <w:vertAlign w:val="superscript"/>
          <w:lang w:val="en-US" w:eastAsia="zh-CN"/>
        </w:rPr>
        <w:t>[5]</w:t>
      </w:r>
      <w:r>
        <w:rPr>
          <w:rFonts w:hint="eastAsia" w:ascii="宋体" w:hAnsi="宋体" w:eastAsia="宋体"/>
          <w:b w:val="0"/>
          <w:bCs w:val="0"/>
          <w:sz w:val="24"/>
          <w:szCs w:val="24"/>
          <w:lang w:val="en-US" w:eastAsia="zh-CN"/>
        </w:rPr>
        <w:t>。因此，教师在提炼主题意义后，需要合理定位单元的阅读拓展角度，确定拓展语篇的方向，形成有内在逻辑关联的大单元阅读群。</w:t>
      </w:r>
    </w:p>
    <w:p>
      <w:pPr>
        <w:numPr>
          <w:ilvl w:val="0"/>
          <w:numId w:val="0"/>
        </w:numPr>
        <w:spacing w:line="360" w:lineRule="auto"/>
        <w:ind w:firstLine="420" w:firstLineChars="0"/>
        <w:jc w:val="both"/>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譬如，基于对Uni</w:t>
      </w:r>
      <w:r>
        <w:rPr>
          <w:rFonts w:hint="default" w:ascii="宋体" w:hAnsi="宋体" w:eastAsia="宋体"/>
          <w:b w:val="0"/>
          <w:bCs w:val="0"/>
          <w:sz w:val="24"/>
          <w:szCs w:val="24"/>
          <w:lang w:val="en-US" w:eastAsia="zh-CN"/>
        </w:rPr>
        <w:t>t 1</w:t>
      </w:r>
      <w:r>
        <w:rPr>
          <w:rFonts w:hint="eastAsia" w:ascii="宋体" w:hAnsi="宋体" w:eastAsia="宋体"/>
          <w:b w:val="0"/>
          <w:bCs w:val="0"/>
          <w:sz w:val="24"/>
          <w:szCs w:val="24"/>
          <w:lang w:val="en-US" w:eastAsia="zh-CN"/>
        </w:rPr>
        <w:t>单元各板块内容和主题解读，教师梳理出教材中各板块的小话题（亚洲重要城市的方位关系和交通；亚洲重要城市的人口、风貌、饮食），总结为“旅行交通”“城市的相关知识”两个层面。其中，“旅行交通”是属于“游览体验”中的分支，所以老师还可以补充相关附属话题如“旅行所见所闻”。“城市基本介绍”除了包括介绍亚洲城市，还可以带领学生放眼中外的重要城市；介绍城市的相关知识除了从人口、风貌、饮食方面着手，还可以涉及城市的历史背景、服装、文化、气候、特产之类。其中游览体验会增进游客对城市的了解；对城市的了解也会吸引游客前去游览，两个层面也是存在内在逻辑关系的。基于此，老师梳理出如图2所示的单元语篇角度图。</w:t>
      </w:r>
    </w:p>
    <w:p>
      <w:pPr>
        <w:numPr>
          <w:ilvl w:val="0"/>
          <w:numId w:val="0"/>
        </w:numPr>
        <w:spacing w:line="360" w:lineRule="auto"/>
        <w:ind w:firstLine="420" w:firstLineChars="0"/>
        <w:jc w:val="both"/>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r>
        <w:rPr>
          <w:rFonts w:hint="eastAsia" w:ascii="宋体" w:hAnsi="宋体" w:eastAsia="宋体"/>
          <w:b/>
          <w:bCs/>
          <w:sz w:val="24"/>
          <w:szCs w:val="24"/>
          <w:lang w:val="en-US" w:eastAsia="zh-CN"/>
        </w:rPr>
        <w:t xml:space="preserve">    </w:t>
      </w:r>
      <w:r>
        <w:rPr>
          <w:sz w:val="24"/>
        </w:rPr>
        <mc:AlternateContent>
          <mc:Choice Requires="wps">
            <w:drawing>
              <wp:anchor distT="0" distB="0" distL="114300" distR="114300" simplePos="0" relativeHeight="251661312" behindDoc="0" locked="0" layoutInCell="1" allowOverlap="1">
                <wp:simplePos x="0" y="0"/>
                <wp:positionH relativeFrom="column">
                  <wp:posOffset>2529840</wp:posOffset>
                </wp:positionH>
                <wp:positionV relativeFrom="paragraph">
                  <wp:posOffset>115570</wp:posOffset>
                </wp:positionV>
                <wp:extent cx="344805" cy="0"/>
                <wp:effectExtent l="0" t="50800" r="10795" b="50800"/>
                <wp:wrapNone/>
                <wp:docPr id="31" name="直接箭头连接符 31"/>
                <wp:cNvGraphicFramePr/>
                <a:graphic xmlns:a="http://schemas.openxmlformats.org/drawingml/2006/main">
                  <a:graphicData uri="http://schemas.microsoft.com/office/word/2010/wordprocessingShape">
                    <wps:wsp>
                      <wps:cNvCnPr/>
                      <wps:spPr>
                        <a:xfrm>
                          <a:off x="0" y="0"/>
                          <a:ext cx="344805" cy="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99.2pt;margin-top:9.1pt;height:0pt;width:27.15pt;z-index:251661312;mso-width-relative:page;mso-height-relative:page;" filled="f" stroked="t" coordsize="21600,21600" o:gfxdata="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&#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isyj61gAAAAkBAAAPAAAAAAAAAAEAIAAAACIAAABk&#10;cnMvZG93bnJldi54bWxQSwECFAAUAAAACACHTuJApc7QvggCAADgAwAADgAAAAAAAAABACAAAAAl&#10;AQAAZHJzL2Uyb0RvYy54bWxQSwUGAAAAAAYABgBZAQAAnwUAAAAA&#10;">
                <v:fill on="f" focussize="0,0"/>
                <v:stroke weight="1pt" color="#4472C4 [3204]"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665408" behindDoc="0" locked="0" layoutInCell="1" allowOverlap="1">
                <wp:simplePos x="0" y="0"/>
                <wp:positionH relativeFrom="column">
                  <wp:posOffset>2466340</wp:posOffset>
                </wp:positionH>
                <wp:positionV relativeFrom="paragraph">
                  <wp:posOffset>229235</wp:posOffset>
                </wp:positionV>
                <wp:extent cx="342900" cy="462915"/>
                <wp:effectExtent l="5080" t="3810" r="7620" b="15875"/>
                <wp:wrapNone/>
                <wp:docPr id="1" name="直接箭头连接符 1"/>
                <wp:cNvGraphicFramePr/>
                <a:graphic xmlns:a="http://schemas.openxmlformats.org/drawingml/2006/main">
                  <a:graphicData uri="http://schemas.microsoft.com/office/word/2010/wordprocessingShape">
                    <wps:wsp>
                      <wps:cNvCnPr/>
                      <wps:spPr>
                        <a:xfrm>
                          <a:off x="0" y="0"/>
                          <a:ext cx="342900" cy="462915"/>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94.2pt;margin-top:18.05pt;height:36.45pt;width:27pt;z-index:251665408;mso-width-relative:page;mso-height-relative:page;" filled="f" stroked="t" coordsize="21600,21600" o:gfxdata="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a3WcENcAAAAKAQAADwAAAAAAAAABACAAAAAi&#10;AAAAZHJzL2Rvd25yZXYueG1sUEsBAhQAFAAAAAgAh07iQDi/BsMLAgAA4wMAAA4AAAAAAAAAAQAg&#10;AAAAJgEAAGRycy9lMm9Eb2MueG1sUEsFBgAAAAAGAAYAWQEAAKMFAAAAAA==&#10;">
                <v:fill on="f" focussize="0,0"/>
                <v:stroke weight="1pt" color="#4472C4 [3204]"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659264" behindDoc="0" locked="0" layoutInCell="1" allowOverlap="1">
                <wp:simplePos x="0" y="0"/>
                <wp:positionH relativeFrom="column">
                  <wp:posOffset>1256665</wp:posOffset>
                </wp:positionH>
                <wp:positionV relativeFrom="paragraph">
                  <wp:posOffset>186055</wp:posOffset>
                </wp:positionV>
                <wp:extent cx="549275" cy="263525"/>
                <wp:effectExtent l="2540" t="8255" r="6985" b="7620"/>
                <wp:wrapNone/>
                <wp:docPr id="29" name="直接箭头连接符 29"/>
                <wp:cNvGraphicFramePr/>
                <a:graphic xmlns:a="http://schemas.openxmlformats.org/drawingml/2006/main">
                  <a:graphicData uri="http://schemas.microsoft.com/office/word/2010/wordprocessingShape">
                    <wps:wsp>
                      <wps:cNvCnPr/>
                      <wps:spPr>
                        <a:xfrm flipV="1">
                          <a:off x="2466340" y="5104765"/>
                          <a:ext cx="549275" cy="263525"/>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98.95pt;margin-top:14.65pt;height:20.75pt;width:43.25pt;z-index:251659264;mso-width-relative:page;mso-height-relative:page;" filled="f" stroked="t" coordsize="21600,21600" o:gfxdata="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Sz&#10;CIHYAAAACQEAAA8AAAAAAAAAAQAgAAAAIgAAAGRycy9kb3ducmV2LnhtbFBLAQIUABQAAAAIAIdO&#10;4kA2Vz1lIwIAAPsDAAAOAAAAAAAAAAEAIAAAACcBAABkcnMvZTJvRG9jLnhtbFBLBQYAAAAABgAG&#10;AFkBAAC8BQAAAAA=&#10;">
                <v:fill on="f" focussize="0,0"/>
                <v:stroke weight="1pt" color="#4472C4 [3204]" miterlimit="8" joinstyle="miter" endarrow="open"/>
                <v:imagedata o:title=""/>
                <o:lock v:ext="edit" aspectratio="f"/>
              </v:shape>
            </w:pict>
          </mc:Fallback>
        </mc:AlternateContent>
      </w:r>
      <w:r>
        <w:rPr>
          <w:rFonts w:hint="eastAsia" w:ascii="宋体" w:hAnsi="宋体" w:eastAsia="宋体"/>
          <w:b w:val="0"/>
          <w:bCs w:val="0"/>
          <w:sz w:val="24"/>
          <w:szCs w:val="24"/>
          <w:lang w:val="en-US" w:eastAsia="zh-CN"/>
        </w:rPr>
        <w:t xml:space="preserve">        游览体验      旅行交通</w:t>
      </w:r>
    </w:p>
    <w:p>
      <w:pPr>
        <w:numPr>
          <w:ilvl w:val="0"/>
          <w:numId w:val="0"/>
        </w:numPr>
        <w:spacing w:line="360" w:lineRule="auto"/>
        <w:ind w:firstLine="420" w:firstLineChars="0"/>
        <w:jc w:val="both"/>
        <w:rPr>
          <w:rFonts w:hint="default" w:ascii="宋体" w:hAnsi="宋体" w:eastAsia="宋体"/>
          <w:b w:val="0"/>
          <w:bCs w:val="0"/>
          <w:sz w:val="24"/>
          <w:szCs w:val="24"/>
          <w:lang w:val="en-US" w:eastAsia="zh-CN"/>
        </w:rPr>
      </w:pPr>
      <w:r>
        <w:rPr>
          <w:sz w:val="24"/>
        </w:rPr>
        <mc:AlternateContent>
          <mc:Choice Requires="wps">
            <w:drawing>
              <wp:anchor distT="0" distB="0" distL="114300" distR="114300" simplePos="0" relativeHeight="251660288" behindDoc="0" locked="0" layoutInCell="1" allowOverlap="1">
                <wp:simplePos x="0" y="0"/>
                <wp:positionH relativeFrom="column">
                  <wp:posOffset>1229995</wp:posOffset>
                </wp:positionH>
                <wp:positionV relativeFrom="paragraph">
                  <wp:posOffset>271780</wp:posOffset>
                </wp:positionV>
                <wp:extent cx="476885" cy="424180"/>
                <wp:effectExtent l="4445" t="4445" r="1270" b="3175"/>
                <wp:wrapNone/>
                <wp:docPr id="30" name="直接箭头连接符 30"/>
                <wp:cNvGraphicFramePr/>
                <a:graphic xmlns:a="http://schemas.openxmlformats.org/drawingml/2006/main">
                  <a:graphicData uri="http://schemas.microsoft.com/office/word/2010/wordprocessingShape">
                    <wps:wsp>
                      <wps:cNvCnPr/>
                      <wps:spPr>
                        <a:xfrm>
                          <a:off x="0" y="0"/>
                          <a:ext cx="476885" cy="42418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96.85pt;margin-top:21.4pt;height:33.4pt;width:37.55pt;z-index:251660288;mso-width-relative:page;mso-height-relative:page;" filled="f" stroked="t" coordsize="21600,21600" o:gfxdata="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rAndg1wAAAAoBAAAPAAAAAAAAAAEAIAAA&#10;ACIAAABkcnMvZG93bnJldi54bWxQSwECFAAUAAAACACHTuJAp3xAfw0CAADlAwAADgAAAAAAAAAB&#10;ACAAAAAmAQAAZHJzL2Uyb0RvYy54bWxQSwUGAAAAAAYABgBZAQAApQUAAAAA&#10;">
                <v:fill on="f" focussize="0,0"/>
                <v:stroke weight="1pt" color="#4472C4 [3204]"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664384" behindDoc="0" locked="0" layoutInCell="1" allowOverlap="1">
                <wp:simplePos x="0" y="0"/>
                <wp:positionH relativeFrom="column">
                  <wp:posOffset>2106930</wp:posOffset>
                </wp:positionH>
                <wp:positionV relativeFrom="paragraph">
                  <wp:posOffset>20320</wp:posOffset>
                </wp:positionV>
                <wp:extent cx="0" cy="534670"/>
                <wp:effectExtent l="50800" t="0" r="50800" b="24130"/>
                <wp:wrapNone/>
                <wp:docPr id="36" name="直接箭头连接符 36"/>
                <wp:cNvGraphicFramePr/>
                <a:graphic xmlns:a="http://schemas.openxmlformats.org/drawingml/2006/main">
                  <a:graphicData uri="http://schemas.microsoft.com/office/word/2010/wordprocessingShape">
                    <wps:wsp>
                      <wps:cNvCnPr/>
                      <wps:spPr>
                        <a:xfrm>
                          <a:off x="3249930" y="6283960"/>
                          <a:ext cx="0" cy="534670"/>
                        </a:xfrm>
                        <a:prstGeom prst="straightConnector1">
                          <a:avLst/>
                        </a:prstGeom>
                        <a:ln>
                          <a:headEnd type="arrow"/>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65.9pt;margin-top:1.6pt;height:42.1pt;width:0pt;z-index:251664384;mso-width-relative:page;mso-height-relative:page;" filled="f" stroked="t" coordsize="21600,21600" o:gfxdata="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y5+/D9cAAAAI&#10;AQAADwAAAAAAAAABACAAAAAiAAAAZHJzL2Rvd25yZXYueG1sUEsBAhQAFAAAAAgAh07iQFQBzrkd&#10;AgAABQQAAA4AAAAAAAAAAQAgAAAAJgEAAGRycy9lMm9Eb2MueG1sUEsFBgAAAAAGAAYAWQEAALUF&#10;AAAAAA==&#10;">
                <v:fill on="f" focussize="0,0"/>
                <v:stroke weight="1pt" color="#4472C4 [3204]" miterlimit="8" joinstyle="miter" startarrow="open" endarrow="open"/>
                <v:imagedata o:title=""/>
                <o:lock v:ext="edit" aspectratio="f"/>
              </v:shape>
            </w:pict>
          </mc:Fallback>
        </mc:AlternateContent>
      </w:r>
      <w:r>
        <w:rPr>
          <w:rFonts w:hint="eastAsia" w:ascii="宋体" w:hAnsi="宋体" w:eastAsia="宋体"/>
          <w:b w:val="0"/>
          <w:bCs w:val="0"/>
          <w:sz w:val="24"/>
          <w:szCs w:val="24"/>
          <w:lang w:val="en-US" w:eastAsia="zh-CN"/>
        </w:rPr>
        <w:t xml:space="preserve">亚洲重要城市                       </w:t>
      </w:r>
    </w:p>
    <w:p>
      <w:pPr>
        <w:numPr>
          <w:ilvl w:val="0"/>
          <w:numId w:val="0"/>
        </w:numPr>
        <w:spacing w:line="360" w:lineRule="auto"/>
        <w:ind w:firstLine="240" w:firstLineChars="100"/>
        <w:jc w:val="both"/>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中外的重要城市                      旅行所见所闻</w:t>
      </w:r>
    </w:p>
    <w:p>
      <w:pPr>
        <w:numPr>
          <w:ilvl w:val="0"/>
          <w:numId w:val="0"/>
        </w:numPr>
        <w:spacing w:line="360" w:lineRule="auto"/>
        <w:ind w:firstLine="2880" w:firstLineChars="1200"/>
        <w:jc w:val="both"/>
        <w:rPr>
          <w:rFonts w:hint="default" w:ascii="宋体" w:hAnsi="宋体" w:eastAsia="宋体"/>
          <w:b w:val="0"/>
          <w:bCs w:val="0"/>
          <w:sz w:val="24"/>
          <w:szCs w:val="24"/>
          <w:lang w:val="en-US" w:eastAsia="zh-CN"/>
        </w:rPr>
      </w:pPr>
      <w:r>
        <w:rPr>
          <w:sz w:val="24"/>
        </w:rPr>
        <mc:AlternateContent>
          <mc:Choice Requires="wps">
            <w:drawing>
              <wp:anchor distT="0" distB="0" distL="114300" distR="114300" simplePos="0" relativeHeight="251663360" behindDoc="0" locked="0" layoutInCell="1" allowOverlap="1">
                <wp:simplePos x="0" y="0"/>
                <wp:positionH relativeFrom="column">
                  <wp:posOffset>2489200</wp:posOffset>
                </wp:positionH>
                <wp:positionV relativeFrom="paragraph">
                  <wp:posOffset>267970</wp:posOffset>
                </wp:positionV>
                <wp:extent cx="386715" cy="212090"/>
                <wp:effectExtent l="3175" t="5715" r="16510" b="10795"/>
                <wp:wrapNone/>
                <wp:docPr id="34" name="直接箭头连接符 34"/>
                <wp:cNvGraphicFramePr/>
                <a:graphic xmlns:a="http://schemas.openxmlformats.org/drawingml/2006/main">
                  <a:graphicData uri="http://schemas.microsoft.com/office/word/2010/wordprocessingShape">
                    <wps:wsp>
                      <wps:cNvCnPr/>
                      <wps:spPr>
                        <a:xfrm>
                          <a:off x="0" y="0"/>
                          <a:ext cx="386715" cy="21209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96pt;margin-top:21.1pt;height:16.7pt;width:30.45pt;z-index:251663360;mso-width-relative:page;mso-height-relative:page;" filled="f" stroked="t" coordsize="21600,21600" o:gfxdata="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4VePV2AAAAAkBAAAPAAAAAAAAAAEA&#10;IAAAACIAAABkcnMvZG93bnJldi54bWxQSwECFAAUAAAACACHTuJApGVaqQ8CAADlAwAADgAAAAAA&#10;AAABACAAAAAnAQAAZHJzL2Uyb0RvYy54bWxQSwUGAAAAAAYABgBZAQAAqAUAAAAA&#10;">
                <v:fill on="f" focussize="0,0"/>
                <v:stroke weight="1pt" color="#4472C4 [3204]"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662336" behindDoc="0" locked="0" layoutInCell="1" allowOverlap="1">
                <wp:simplePos x="0" y="0"/>
                <wp:positionH relativeFrom="column">
                  <wp:posOffset>2927350</wp:posOffset>
                </wp:positionH>
                <wp:positionV relativeFrom="paragraph">
                  <wp:posOffset>149225</wp:posOffset>
                </wp:positionV>
                <wp:extent cx="405130" cy="0"/>
                <wp:effectExtent l="0" t="50800" r="1270" b="50800"/>
                <wp:wrapNone/>
                <wp:docPr id="33" name="直接箭头连接符 33"/>
                <wp:cNvGraphicFramePr/>
                <a:graphic xmlns:a="http://schemas.openxmlformats.org/drawingml/2006/main">
                  <a:graphicData uri="http://schemas.microsoft.com/office/word/2010/wordprocessingShape">
                    <wps:wsp>
                      <wps:cNvCnPr/>
                      <wps:spPr>
                        <a:xfrm>
                          <a:off x="0" y="0"/>
                          <a:ext cx="405130" cy="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30.5pt;margin-top:11.75pt;height:0pt;width:31.9pt;z-index:251662336;mso-width-relative:page;mso-height-relative:page;" filled="f" stroked="t" coordsize="21600,21600" o:gfxdata="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&#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5eZYvWAAAACQEAAA8AAAAAAAAAAQAgAAAAIgAAAGRy&#10;cy9kb3ducmV2LnhtbFBLAQIUABQAAAAIAIdO4kDFSqG9BwIAAOADAAAOAAAAAAAAAAEAIAAAACUB&#10;AABkcnMvZTJvRG9jLnhtbFBLBQYAAAAABgAGAFkBAACeBQAAAAA=&#10;">
                <v:fill on="f" focussize="0,0"/>
                <v:stroke weight="1pt" color="#4472C4 [3204]" miterlimit="8" joinstyle="miter" endarrow="open"/>
                <v:imagedata o:title=""/>
                <o:lock v:ext="edit" aspectratio="f"/>
              </v:shape>
            </w:pict>
          </mc:Fallback>
        </mc:AlternateContent>
      </w:r>
      <w:r>
        <w:rPr>
          <w:rFonts w:hint="eastAsia" w:ascii="宋体" w:hAnsi="宋体" w:eastAsia="宋体"/>
          <w:b w:val="0"/>
          <w:bCs w:val="0"/>
          <w:sz w:val="24"/>
          <w:szCs w:val="24"/>
          <w:lang w:val="en-US" w:eastAsia="zh-CN"/>
        </w:rPr>
        <w:t>城市的相关知识       人口、风貌、饮食</w:t>
      </w:r>
    </w:p>
    <w:p>
      <w:pPr>
        <w:numPr>
          <w:ilvl w:val="0"/>
          <w:numId w:val="0"/>
        </w:numPr>
        <w:spacing w:line="360" w:lineRule="auto"/>
        <w:ind w:firstLine="2880" w:firstLineChars="1200"/>
        <w:jc w:val="both"/>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历史背景、服装、文化、气候、特产</w:t>
      </w:r>
    </w:p>
    <w:p>
      <w:pPr>
        <w:numPr>
          <w:ilvl w:val="0"/>
          <w:numId w:val="0"/>
        </w:numPr>
        <w:spacing w:line="360" w:lineRule="auto"/>
        <w:ind w:firstLine="420" w:firstLineChars="0"/>
        <w:jc w:val="center"/>
        <w:rPr>
          <w:rFonts w:hint="eastAsia" w:ascii="宋体" w:hAnsi="宋体" w:eastAsia="宋体"/>
          <w:b w:val="0"/>
          <w:bCs w:val="0"/>
          <w:sz w:val="24"/>
          <w:szCs w:val="24"/>
          <w:lang w:val="en-US" w:eastAsia="zh-CN"/>
        </w:rPr>
      </w:pPr>
      <w:r>
        <w:rPr>
          <w:rFonts w:hint="eastAsia" w:ascii="宋体" w:hAnsi="宋体" w:eastAsia="宋体"/>
          <w:b/>
          <w:bCs/>
          <w:sz w:val="24"/>
          <w:szCs w:val="24"/>
          <w:lang w:val="en-US" w:eastAsia="zh-CN"/>
        </w:rPr>
        <w:t>图 2 单元语篇角度图</w:t>
      </w:r>
    </w:p>
    <w:p>
      <w:pPr>
        <w:numPr>
          <w:ilvl w:val="0"/>
          <w:numId w:val="0"/>
        </w:numPr>
        <w:spacing w:line="360" w:lineRule="auto"/>
        <w:ind w:firstLine="420" w:firstLineChars="0"/>
        <w:jc w:val="both"/>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当阅读语篇拓展角度以思维导图的方式可视化之后，老师能够更加明确本单元主题意义建构的基本路径，也能帮助学生形成单元语篇整体脉络。</w:t>
      </w:r>
    </w:p>
    <w:p>
      <w:pPr>
        <w:numPr>
          <w:ilvl w:val="0"/>
          <w:numId w:val="0"/>
        </w:numPr>
        <w:spacing w:line="360" w:lineRule="auto"/>
        <w:ind w:firstLine="420" w:firstLineChars="0"/>
        <w:jc w:val="both"/>
        <w:rPr>
          <w:rFonts w:hint="eastAsia" w:ascii="宋体" w:hAnsi="宋体" w:eastAsia="宋体"/>
          <w:b w:val="0"/>
          <w:bCs w:val="0"/>
          <w:sz w:val="24"/>
          <w:szCs w:val="24"/>
          <w:lang w:val="en-US" w:eastAsia="zh-CN"/>
        </w:rPr>
      </w:pPr>
    </w:p>
    <w:p>
      <w:pPr>
        <w:numPr>
          <w:ilvl w:val="0"/>
          <w:numId w:val="2"/>
        </w:numPr>
        <w:spacing w:line="360" w:lineRule="auto"/>
        <w:ind w:firstLine="241" w:firstLineChars="100"/>
        <w:jc w:val="both"/>
        <w:rPr>
          <w:rFonts w:hint="default" w:ascii="宋体" w:hAnsi="宋体" w:eastAsia="宋体"/>
          <w:b/>
          <w:bCs/>
          <w:sz w:val="24"/>
          <w:szCs w:val="24"/>
          <w:lang w:val="en-US" w:eastAsia="zh-CN"/>
        </w:rPr>
      </w:pPr>
      <w:r>
        <w:rPr>
          <w:rFonts w:hint="eastAsia" w:ascii="宋体" w:hAnsi="宋体" w:eastAsia="宋体"/>
          <w:b/>
          <w:bCs/>
          <w:sz w:val="24"/>
          <w:szCs w:val="24"/>
          <w:lang w:val="en-US" w:eastAsia="zh-CN"/>
        </w:rPr>
        <w:t>选取多样化语篇，补充单元教学内容</w:t>
      </w:r>
    </w:p>
    <w:p>
      <w:pPr>
        <w:numPr>
          <w:ilvl w:val="0"/>
          <w:numId w:val="0"/>
        </w:numPr>
        <w:spacing w:line="360" w:lineRule="auto"/>
        <w:ind w:firstLine="480"/>
        <w:jc w:val="both"/>
        <w:rPr>
          <w:rFonts w:hint="default" w:ascii="宋体" w:hAnsi="宋体" w:eastAsia="宋体"/>
          <w:sz w:val="24"/>
          <w:szCs w:val="24"/>
          <w:u w:val="none"/>
          <w:lang w:val="en-US" w:eastAsia="zh-CN"/>
        </w:rPr>
      </w:pPr>
      <w:r>
        <w:rPr>
          <w:rFonts w:hint="eastAsia" w:ascii="宋体" w:hAnsi="宋体" w:eastAsia="宋体"/>
          <w:sz w:val="24"/>
          <w:szCs w:val="24"/>
          <w:lang w:val="en-US" w:eastAsia="zh-CN"/>
        </w:rPr>
        <w:t>教师应丰富阅读资源的呈现类型，语篇类型的多样性对学生的英语学习具有重要意义。新课标语篇类型中的二级内容要求提到了日常简单对话、独白，记叙文，说明文，应用文，新媒体语篇，其它语篇类型如歌曲、剧本、图表、图片、视频等。因此教师除了考虑语篇拓展角度的适切度之外，还需要考量语篇类型的丰富度。此外</w:t>
      </w:r>
      <w:r>
        <w:rPr>
          <w:rFonts w:hint="eastAsia" w:ascii="宋体" w:hAnsi="宋体" w:eastAsia="宋体"/>
          <w:sz w:val="24"/>
          <w:szCs w:val="24"/>
          <w:u w:val="none"/>
          <w:lang w:val="en-US" w:eastAsia="zh-CN"/>
        </w:rPr>
        <w:t>，</w:t>
      </w:r>
      <w:r>
        <w:rPr>
          <w:rFonts w:hint="eastAsia" w:ascii="宋体" w:hAnsi="宋体" w:eastAsia="宋体"/>
          <w:sz w:val="24"/>
          <w:szCs w:val="24"/>
          <w:u w:val="none"/>
        </w:rPr>
        <w:t>文本的</w:t>
      </w:r>
      <w:r>
        <w:rPr>
          <w:rFonts w:hint="eastAsia" w:ascii="宋体" w:hAnsi="宋体" w:eastAsia="宋体"/>
          <w:sz w:val="24"/>
          <w:szCs w:val="24"/>
          <w:u w:val="none"/>
          <w:lang w:val="en-US" w:eastAsia="zh-CN"/>
        </w:rPr>
        <w:t>跨学科性、</w:t>
      </w:r>
      <w:r>
        <w:rPr>
          <w:rFonts w:hint="eastAsia" w:ascii="宋体" w:hAnsi="宋体" w:eastAsia="宋体"/>
          <w:sz w:val="24"/>
          <w:szCs w:val="24"/>
          <w:u w:val="none"/>
        </w:rPr>
        <w:t>价值观、趣味性、以及时效性</w:t>
      </w:r>
      <w:r>
        <w:rPr>
          <w:rFonts w:hint="eastAsia" w:ascii="宋体" w:hAnsi="宋体" w:eastAsia="宋体"/>
          <w:sz w:val="24"/>
          <w:szCs w:val="24"/>
          <w:u w:val="none"/>
          <w:lang w:val="en-US" w:eastAsia="zh-CN"/>
        </w:rPr>
        <w:t>也都可以成为老师选择拓展语篇的考量范围。</w:t>
      </w:r>
    </w:p>
    <w:tbl>
      <w:tblPr>
        <w:tblStyle w:val="4"/>
        <w:tblpPr w:leftFromText="180" w:rightFromText="180" w:vertAnchor="text" w:horzAnchor="page" w:tblpX="1679" w:tblpY="302"/>
        <w:tblOverlap w:val="never"/>
        <w:tblW w:w="90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8"/>
        <w:gridCol w:w="2034"/>
        <w:gridCol w:w="2568"/>
        <w:gridCol w:w="2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8" w:type="dxa"/>
          </w:tcPr>
          <w:p>
            <w:pPr>
              <w:pStyle w:val="6"/>
              <w:spacing w:line="360" w:lineRule="auto"/>
              <w:ind w:firstLine="0" w:firstLineChars="0"/>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主题范畴和子主题内容</w:t>
            </w:r>
          </w:p>
        </w:tc>
        <w:tc>
          <w:tcPr>
            <w:tcW w:w="2034" w:type="dxa"/>
          </w:tcPr>
          <w:p>
            <w:pPr>
              <w:pStyle w:val="6"/>
              <w:spacing w:line="360" w:lineRule="auto"/>
              <w:ind w:firstLine="0" w:firstLineChars="0"/>
              <w:rPr>
                <w:rFonts w:hint="eastAsia" w:ascii="Times New Roman" w:hAnsi="Times New Roman" w:eastAsia="宋体" w:cs="Times New Roman"/>
                <w:kern w:val="0"/>
                <w:sz w:val="21"/>
                <w:szCs w:val="21"/>
                <w:lang w:val="en-US" w:eastAsia="zh-CN"/>
              </w:rPr>
            </w:pPr>
          </w:p>
          <w:p>
            <w:pPr>
              <w:pStyle w:val="6"/>
              <w:spacing w:line="360" w:lineRule="auto"/>
              <w:ind w:firstLine="0" w:firstLineChars="0"/>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拓展语篇角度</w:t>
            </w:r>
          </w:p>
        </w:tc>
        <w:tc>
          <w:tcPr>
            <w:tcW w:w="2568" w:type="dxa"/>
          </w:tcPr>
          <w:p>
            <w:pPr>
              <w:pStyle w:val="6"/>
              <w:spacing w:line="360" w:lineRule="auto"/>
              <w:ind w:firstLine="0" w:firstLineChars="0"/>
              <w:rPr>
                <w:rFonts w:hint="eastAsia" w:ascii="Times New Roman" w:hAnsi="Times New Roman" w:eastAsia="宋体" w:cs="Times New Roman"/>
                <w:kern w:val="0"/>
                <w:sz w:val="21"/>
                <w:szCs w:val="21"/>
              </w:rPr>
            </w:pPr>
          </w:p>
          <w:p>
            <w:pPr>
              <w:pStyle w:val="6"/>
              <w:spacing w:line="360" w:lineRule="auto"/>
              <w:ind w:firstLine="0" w:firstLineChars="0"/>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rPr>
              <w:t>拓展</w:t>
            </w:r>
            <w:r>
              <w:rPr>
                <w:rFonts w:hint="eastAsia" w:ascii="Times New Roman" w:hAnsi="Times New Roman" w:eastAsia="宋体" w:cs="Times New Roman"/>
                <w:kern w:val="0"/>
                <w:sz w:val="21"/>
                <w:szCs w:val="21"/>
                <w:lang w:val="en-US" w:eastAsia="zh-CN"/>
              </w:rPr>
              <w:t>语篇话题</w:t>
            </w:r>
          </w:p>
        </w:tc>
        <w:tc>
          <w:tcPr>
            <w:tcW w:w="2818" w:type="dxa"/>
          </w:tcPr>
          <w:p>
            <w:pPr>
              <w:pStyle w:val="6"/>
              <w:spacing w:line="360" w:lineRule="auto"/>
              <w:ind w:firstLine="0" w:firstLineChars="0"/>
              <w:rPr>
                <w:rFonts w:hint="eastAsia" w:ascii="Times New Roman" w:hAnsi="Times New Roman" w:eastAsia="宋体" w:cs="Times New Roman"/>
                <w:kern w:val="0"/>
                <w:sz w:val="21"/>
                <w:szCs w:val="21"/>
                <w:lang w:val="en-US" w:eastAsia="zh-CN"/>
              </w:rPr>
            </w:pPr>
          </w:p>
          <w:p>
            <w:pPr>
              <w:pStyle w:val="6"/>
              <w:spacing w:line="360" w:lineRule="auto"/>
              <w:ind w:firstLine="0" w:firstLineChars="0"/>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拓展语篇类型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8" w:type="dxa"/>
            <w:vMerge w:val="restart"/>
          </w:tcPr>
          <w:p>
            <w:pPr>
              <w:pStyle w:val="6"/>
              <w:spacing w:line="360" w:lineRule="auto"/>
              <w:ind w:firstLine="0" w:firstLineChars="0"/>
              <w:rPr>
                <w:rFonts w:hint="eastAsia" w:ascii="Times New Roman" w:hAnsi="Times New Roman" w:eastAsia="宋体" w:cs="Times New Roman"/>
                <w:kern w:val="0"/>
                <w:sz w:val="21"/>
                <w:szCs w:val="21"/>
              </w:rPr>
            </w:pPr>
          </w:p>
          <w:p>
            <w:pPr>
              <w:pStyle w:val="6"/>
              <w:spacing w:line="360" w:lineRule="auto"/>
              <w:ind w:firstLine="0" w:firstLineChars="0"/>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【人与社会】</w:t>
            </w:r>
          </w:p>
          <w:p>
            <w:pPr>
              <w:pStyle w:val="6"/>
              <w:spacing w:line="360" w:lineRule="auto"/>
              <w:ind w:firstLine="0" w:firstLineChars="0"/>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历史、社会与文化</w:t>
            </w:r>
          </w:p>
          <w:p>
            <w:pPr>
              <w:pStyle w:val="6"/>
              <w:spacing w:line="360" w:lineRule="auto"/>
              <w:ind w:firstLine="0" w:firstLineChars="0"/>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 中外名胜古迹的相关知识和游览体验</w:t>
            </w:r>
          </w:p>
        </w:tc>
        <w:tc>
          <w:tcPr>
            <w:tcW w:w="2034" w:type="dxa"/>
          </w:tcPr>
          <w:p>
            <w:pPr>
              <w:pStyle w:val="6"/>
              <w:spacing w:line="360" w:lineRule="auto"/>
              <w:ind w:firstLine="0" w:firstLineChars="0"/>
              <w:rPr>
                <w:rFonts w:hint="default" w:ascii="Times New Roman" w:hAnsi="Times New Roman" w:eastAsia="宋体" w:cs="Times New Roman"/>
                <w:kern w:val="0"/>
                <w:sz w:val="21"/>
                <w:szCs w:val="21"/>
                <w:lang w:val="en-US" w:eastAsia="zh-CN"/>
              </w:rPr>
            </w:pPr>
            <w:r>
              <w:rPr>
                <w:rFonts w:hint="eastAsia" w:ascii="宋体" w:hAnsi="宋体" w:eastAsia="宋体"/>
                <w:b w:val="0"/>
                <w:bCs w:val="0"/>
                <w:sz w:val="21"/>
                <w:szCs w:val="21"/>
                <w:lang w:val="en-US" w:eastAsia="zh-CN"/>
              </w:rPr>
              <w:t>中外的重要城市</w:t>
            </w:r>
          </w:p>
        </w:tc>
        <w:tc>
          <w:tcPr>
            <w:tcW w:w="2568" w:type="dxa"/>
          </w:tcPr>
          <w:p>
            <w:pPr>
              <w:pStyle w:val="6"/>
              <w:spacing w:line="360" w:lineRule="auto"/>
              <w:ind w:firstLine="0" w:firstLineChars="0"/>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值得去看一看的中外城市</w:t>
            </w:r>
          </w:p>
        </w:tc>
        <w:tc>
          <w:tcPr>
            <w:tcW w:w="2818" w:type="dxa"/>
          </w:tcPr>
          <w:p>
            <w:pPr>
              <w:pStyle w:val="6"/>
              <w:spacing w:line="360" w:lineRule="auto"/>
              <w:ind w:firstLine="0" w:firstLineChars="0"/>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网页（图片+介绍类文字）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648" w:type="dxa"/>
            <w:vMerge w:val="continue"/>
          </w:tcPr>
          <w:p>
            <w:pPr>
              <w:pStyle w:val="6"/>
              <w:spacing w:line="360" w:lineRule="auto"/>
              <w:ind w:firstLine="0" w:firstLineChars="0"/>
              <w:rPr>
                <w:rFonts w:ascii="Times New Roman" w:hAnsi="Times New Roman" w:eastAsia="宋体" w:cs="Times New Roman"/>
                <w:kern w:val="0"/>
                <w:sz w:val="21"/>
                <w:szCs w:val="21"/>
              </w:rPr>
            </w:pPr>
          </w:p>
        </w:tc>
        <w:tc>
          <w:tcPr>
            <w:tcW w:w="2034" w:type="dxa"/>
          </w:tcPr>
          <w:p>
            <w:pPr>
              <w:pStyle w:val="6"/>
              <w:spacing w:line="360" w:lineRule="auto"/>
              <w:ind w:firstLine="0" w:firstLineChars="0"/>
              <w:rPr>
                <w:rFonts w:hint="default" w:ascii="宋体" w:hAnsi="宋体" w:eastAsia="宋体"/>
                <w:b w:val="0"/>
                <w:bCs w:val="0"/>
                <w:sz w:val="21"/>
                <w:szCs w:val="21"/>
                <w:lang w:val="en-US" w:eastAsia="zh-CN"/>
              </w:rPr>
            </w:pPr>
            <w:r>
              <w:rPr>
                <w:rFonts w:hint="eastAsia" w:ascii="Times New Roman" w:hAnsi="Times New Roman" w:eastAsia="宋体" w:cs="Times New Roman"/>
                <w:kern w:val="0"/>
                <w:sz w:val="21"/>
                <w:szCs w:val="21"/>
                <w:lang w:val="en-US" w:eastAsia="zh-CN"/>
              </w:rPr>
              <w:t>旅行所见所闻</w:t>
            </w:r>
          </w:p>
        </w:tc>
        <w:tc>
          <w:tcPr>
            <w:tcW w:w="2568" w:type="dxa"/>
          </w:tcPr>
          <w:p>
            <w:pPr>
              <w:pStyle w:val="6"/>
              <w:spacing w:line="360" w:lineRule="auto"/>
              <w:ind w:firstLine="0" w:firstLineChars="0"/>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去新西兰访学的经历</w:t>
            </w:r>
          </w:p>
        </w:tc>
        <w:tc>
          <w:tcPr>
            <w:tcW w:w="2818" w:type="dxa"/>
          </w:tcPr>
          <w:p>
            <w:pPr>
              <w:pStyle w:val="6"/>
              <w:spacing w:line="360" w:lineRule="auto"/>
              <w:ind w:firstLine="0" w:firstLineChars="0"/>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记叙文（叙事性日记）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648" w:type="dxa"/>
            <w:vMerge w:val="continue"/>
          </w:tcPr>
          <w:p>
            <w:pPr>
              <w:pStyle w:val="6"/>
              <w:spacing w:line="360" w:lineRule="auto"/>
              <w:ind w:firstLine="0" w:firstLineChars="0"/>
              <w:rPr>
                <w:sz w:val="21"/>
                <w:szCs w:val="21"/>
              </w:rPr>
            </w:pPr>
          </w:p>
        </w:tc>
        <w:tc>
          <w:tcPr>
            <w:tcW w:w="2034" w:type="dxa"/>
          </w:tcPr>
          <w:p>
            <w:pPr>
              <w:pStyle w:val="6"/>
              <w:spacing w:line="360" w:lineRule="auto"/>
              <w:ind w:firstLine="0" w:firstLineChars="0"/>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lang w:val="en-US" w:eastAsia="zh-CN"/>
              </w:rPr>
              <w:t>亚洲的重要城市</w:t>
            </w:r>
          </w:p>
        </w:tc>
        <w:tc>
          <w:tcPr>
            <w:tcW w:w="2568" w:type="dxa"/>
          </w:tcPr>
          <w:p>
            <w:pPr>
              <w:pStyle w:val="6"/>
              <w:spacing w:line="360" w:lineRule="auto"/>
              <w:ind w:firstLine="0" w:firstLineChars="0"/>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曼谷城市介绍</w:t>
            </w:r>
          </w:p>
        </w:tc>
        <w:tc>
          <w:tcPr>
            <w:tcW w:w="2818" w:type="dxa"/>
          </w:tcPr>
          <w:p>
            <w:pPr>
              <w:pStyle w:val="6"/>
              <w:spacing w:line="360" w:lineRule="auto"/>
              <w:ind w:firstLine="0" w:firstLineChars="0"/>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应用文（旅游城市宣传手册）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648" w:type="dxa"/>
            <w:vMerge w:val="continue"/>
          </w:tcPr>
          <w:p>
            <w:pPr>
              <w:pStyle w:val="6"/>
              <w:spacing w:line="360" w:lineRule="auto"/>
              <w:ind w:firstLine="0" w:firstLineChars="0"/>
              <w:rPr>
                <w:rFonts w:hint="eastAsia" w:ascii="Times New Roman" w:hAnsi="Times New Roman" w:eastAsia="宋体" w:cs="Times New Roman"/>
                <w:kern w:val="0"/>
                <w:sz w:val="21"/>
                <w:szCs w:val="21"/>
              </w:rPr>
            </w:pPr>
          </w:p>
        </w:tc>
        <w:tc>
          <w:tcPr>
            <w:tcW w:w="2034" w:type="dxa"/>
          </w:tcPr>
          <w:p>
            <w:pPr>
              <w:pStyle w:val="6"/>
              <w:spacing w:line="360" w:lineRule="auto"/>
              <w:ind w:firstLine="0" w:firstLineChars="0"/>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城市相关知识（人口、饮食、历史背景、服装、文化）</w:t>
            </w:r>
          </w:p>
        </w:tc>
        <w:tc>
          <w:tcPr>
            <w:tcW w:w="2568" w:type="dxa"/>
          </w:tcPr>
          <w:p>
            <w:pPr>
              <w:pStyle w:val="6"/>
              <w:spacing w:line="360" w:lineRule="auto"/>
              <w:ind w:firstLine="0" w:firstLineChars="0"/>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长安的历史和风土文化</w:t>
            </w:r>
          </w:p>
        </w:tc>
        <w:tc>
          <w:tcPr>
            <w:tcW w:w="2818" w:type="dxa"/>
          </w:tcPr>
          <w:p>
            <w:pPr>
              <w:pStyle w:val="6"/>
              <w:spacing w:line="360" w:lineRule="auto"/>
              <w:ind w:firstLine="0" w:firstLineChars="0"/>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说明文（介绍类短文）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648" w:type="dxa"/>
            <w:vMerge w:val="continue"/>
          </w:tcPr>
          <w:p>
            <w:pPr>
              <w:pStyle w:val="6"/>
              <w:spacing w:line="360" w:lineRule="auto"/>
              <w:ind w:firstLine="0" w:firstLineChars="0"/>
              <w:rPr>
                <w:rFonts w:hint="eastAsia" w:ascii="Times New Roman" w:hAnsi="Times New Roman" w:eastAsia="宋体" w:cs="Times New Roman"/>
                <w:kern w:val="0"/>
                <w:sz w:val="21"/>
                <w:szCs w:val="21"/>
              </w:rPr>
            </w:pPr>
          </w:p>
        </w:tc>
        <w:tc>
          <w:tcPr>
            <w:tcW w:w="2034" w:type="dxa"/>
          </w:tcPr>
          <w:p>
            <w:pPr>
              <w:pStyle w:val="6"/>
              <w:spacing w:line="360" w:lineRule="auto"/>
              <w:ind w:firstLine="0" w:firstLineChars="0"/>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城市的相关知识</w:t>
            </w:r>
          </w:p>
        </w:tc>
        <w:tc>
          <w:tcPr>
            <w:tcW w:w="2568" w:type="dxa"/>
          </w:tcPr>
          <w:p>
            <w:pPr>
              <w:pStyle w:val="6"/>
              <w:spacing w:line="360" w:lineRule="auto"/>
              <w:ind w:firstLine="0" w:firstLineChars="0"/>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《用英语说中国（名城）》</w:t>
            </w:r>
          </w:p>
        </w:tc>
        <w:tc>
          <w:tcPr>
            <w:tcW w:w="2818" w:type="dxa"/>
          </w:tcPr>
          <w:p>
            <w:pPr>
              <w:pStyle w:val="6"/>
              <w:spacing w:line="360" w:lineRule="auto"/>
              <w:ind w:firstLine="0" w:firstLineChars="0"/>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说明文（系列丛书）</w:t>
            </w:r>
          </w:p>
        </w:tc>
      </w:tr>
    </w:tbl>
    <w:p>
      <w:pPr>
        <w:numPr>
          <w:ilvl w:val="0"/>
          <w:numId w:val="0"/>
        </w:numPr>
        <w:spacing w:line="360" w:lineRule="auto"/>
        <w:jc w:val="center"/>
        <w:rPr>
          <w:rFonts w:hint="eastAsia" w:ascii="宋体" w:hAnsi="宋体" w:eastAsia="宋体"/>
          <w:b/>
          <w:bCs/>
          <w:sz w:val="24"/>
          <w:szCs w:val="24"/>
          <w:u w:val="none"/>
          <w:lang w:val="en-US" w:eastAsia="zh-CN"/>
        </w:rPr>
      </w:pPr>
      <w:r>
        <w:rPr>
          <w:rFonts w:hint="eastAsia" w:ascii="宋体" w:hAnsi="宋体" w:eastAsia="宋体"/>
          <w:b/>
          <w:bCs/>
          <w:sz w:val="24"/>
          <w:szCs w:val="24"/>
          <w:u w:val="none"/>
          <w:lang w:val="en-US" w:eastAsia="zh-CN"/>
        </w:rPr>
        <w:t>图3  单元拓展语篇类型</w:t>
      </w:r>
    </w:p>
    <w:p>
      <w:pPr>
        <w:numPr>
          <w:ilvl w:val="0"/>
          <w:numId w:val="0"/>
        </w:numPr>
        <w:spacing w:line="360" w:lineRule="auto"/>
        <w:ind w:firstLine="420" w:firstLineChars="0"/>
        <w:jc w:val="both"/>
        <w:rPr>
          <w:rFonts w:hint="default" w:ascii="宋体" w:hAnsi="宋体" w:eastAsia="宋体"/>
          <w:sz w:val="24"/>
          <w:szCs w:val="24"/>
          <w:u w:val="none"/>
          <w:lang w:val="en-US" w:eastAsia="zh-CN"/>
        </w:rPr>
      </w:pPr>
      <w:r>
        <w:rPr>
          <w:rFonts w:hint="eastAsia" w:ascii="宋体" w:hAnsi="宋体" w:eastAsia="宋体"/>
          <w:sz w:val="24"/>
          <w:szCs w:val="24"/>
          <w:u w:val="none"/>
          <w:lang w:val="en-US" w:eastAsia="zh-CN"/>
        </w:rPr>
        <w:t>通过以上图表3可以看出，本单元选择的拓展阅读语篇在话题上是能够对牛津教材的留白做很好的补充，拓宽学生的视野。此外，在语篇类型的选择上也包含了记叙文、应用文、新媒体语篇和说明文，尤其是城市宣传手册和网页类型的引入，能够激发学生的阅读兴趣，贴合学生的生活实践。此外，老师选择了城市长安，这其实是历史中唐朝的首都，涉及到城市的历史背景也很好的融合了跨学科的概念。《用英语说中国（名城）》是系列丛书，从不同方面介绍了中国的著名城市，语篇内容的深度和词汇的难度都更上一个台阶，是本单元的培优阅读材料，为能力较强的学生提供阅读资源促进学生自主学习。</w:t>
      </w:r>
    </w:p>
    <w:p>
      <w:pPr>
        <w:numPr>
          <w:ilvl w:val="0"/>
          <w:numId w:val="0"/>
        </w:numPr>
        <w:spacing w:line="360" w:lineRule="auto"/>
        <w:jc w:val="both"/>
        <w:rPr>
          <w:rFonts w:hint="default" w:ascii="宋体" w:hAnsi="宋体" w:eastAsia="宋体"/>
          <w:sz w:val="24"/>
          <w:szCs w:val="24"/>
          <w:u w:val="none"/>
          <w:lang w:val="en-US" w:eastAsia="zh-CN"/>
        </w:rPr>
      </w:pPr>
    </w:p>
    <w:p>
      <w:pPr>
        <w:numPr>
          <w:ilvl w:val="0"/>
          <w:numId w:val="3"/>
        </w:numPr>
        <w:spacing w:line="360" w:lineRule="auto"/>
        <w:ind w:left="360" w:leftChars="0" w:firstLine="0" w:firstLineChars="0"/>
        <w:jc w:val="both"/>
        <w:rPr>
          <w:rFonts w:hint="default" w:ascii="宋体" w:hAnsi="宋体" w:eastAsia="宋体"/>
          <w:b/>
          <w:bCs/>
          <w:sz w:val="24"/>
          <w:szCs w:val="24"/>
          <w:lang w:val="en-US" w:eastAsia="zh-CN"/>
        </w:rPr>
      </w:pPr>
      <w:r>
        <w:rPr>
          <w:rFonts w:hint="eastAsia" w:ascii="宋体" w:hAnsi="宋体" w:eastAsia="宋体"/>
          <w:b/>
          <w:bCs/>
          <w:sz w:val="24"/>
          <w:szCs w:val="24"/>
          <w:lang w:val="en-US" w:eastAsia="zh-CN"/>
        </w:rPr>
        <w:t>适当改编语篇，符合学生认知发展水平</w:t>
      </w:r>
    </w:p>
    <w:p>
      <w:pPr>
        <w:numPr>
          <w:ilvl w:val="0"/>
          <w:numId w:val="0"/>
        </w:numPr>
        <w:spacing w:line="360" w:lineRule="auto"/>
        <w:ind w:firstLine="420" w:firstLineChars="0"/>
        <w:jc w:val="both"/>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学生的认知发展具有阶段性和顺序性，不同年龄段的学生存在感知、注意、记忆、思维等方面的差异。因此，选择阅读资源时需要考虑学生的认知水平，因为学生的认知水平决定了他们对信息的理解能力和吸收能力</w:t>
      </w:r>
      <w:r>
        <w:rPr>
          <w:rFonts w:hint="default" w:ascii="宋体" w:hAnsi="宋体" w:eastAsia="宋体"/>
          <w:b w:val="0"/>
          <w:bCs w:val="0"/>
          <w:sz w:val="24"/>
          <w:szCs w:val="24"/>
          <w:vertAlign w:val="superscript"/>
          <w:lang w:val="en-US" w:eastAsia="zh-CN"/>
        </w:rPr>
        <w:t>[6]</w:t>
      </w:r>
      <w:r>
        <w:rPr>
          <w:rFonts w:hint="eastAsia" w:ascii="宋体" w:hAnsi="宋体" w:eastAsia="宋体"/>
          <w:b w:val="0"/>
          <w:bCs w:val="0"/>
          <w:sz w:val="24"/>
          <w:szCs w:val="24"/>
          <w:lang w:val="en-US" w:eastAsia="zh-CN"/>
        </w:rPr>
        <w:t>。但是教师在教学实践的过程中往往发现很难选择到完全适切的语篇。所以，适当的改编工作就显得非常的有必要。英语阅读材料的改编可以关注其语篇结构和语篇内容。譬如以</w:t>
      </w:r>
      <w:r>
        <w:rPr>
          <w:rFonts w:hint="default" w:ascii="Times New Roman Regular" w:hAnsi="Times New Roman Regular" w:eastAsia="宋体" w:cs="Times New Roman Regular"/>
          <w:b w:val="0"/>
          <w:bCs w:val="0"/>
          <w:sz w:val="24"/>
          <w:szCs w:val="24"/>
          <w:lang w:val="en-US" w:eastAsia="zh-CN"/>
        </w:rPr>
        <w:t>6A Unit 1</w:t>
      </w:r>
      <w:r>
        <w:rPr>
          <w:rFonts w:hint="eastAsia" w:ascii="宋体" w:hAnsi="宋体" w:eastAsia="宋体"/>
          <w:b w:val="0"/>
          <w:bCs w:val="0"/>
          <w:sz w:val="24"/>
          <w:szCs w:val="24"/>
          <w:lang w:val="en-US" w:eastAsia="zh-CN"/>
        </w:rPr>
        <w:t>为例，老师确定拓展角度包含城市的相关知识，要从不用的角度介绍城市，可在实际寻找语篇时发现很难有合适的分角度介绍城市的语篇。所以，老师在结构上可以进行调整，选择一篇城市介绍的语篇，然后老师整合调整，将语篇分为不同的角度如食物、服装、历史、文化等，且可以拟定小标题如</w:t>
      </w:r>
      <w:r>
        <w:rPr>
          <w:rFonts w:hint="default" w:ascii="Times New Roman Regular" w:hAnsi="Times New Roman Regular" w:eastAsia="宋体" w:cs="Times New Roman Regular"/>
          <w:b w:val="0"/>
          <w:bCs w:val="0"/>
          <w:sz w:val="24"/>
          <w:szCs w:val="24"/>
          <w:lang w:val="en-US" w:eastAsia="zh-CN"/>
        </w:rPr>
        <w:t xml:space="preserve">Local food, </w:t>
      </w:r>
      <w:r>
        <w:rPr>
          <w:rFonts w:hint="eastAsia" w:ascii="Times New Roman Regular" w:hAnsi="Times New Roman Regular" w:eastAsia="宋体" w:cs="Times New Roman Regular"/>
          <w:b w:val="0"/>
          <w:bCs w:val="0"/>
          <w:sz w:val="24"/>
          <w:szCs w:val="24"/>
          <w:lang w:val="en-US" w:eastAsia="zh-CN"/>
        </w:rPr>
        <w:t>Traditional</w:t>
      </w:r>
      <w:r>
        <w:rPr>
          <w:rFonts w:hint="default" w:ascii="Times New Roman Regular" w:hAnsi="Times New Roman Regular" w:eastAsia="宋体" w:cs="Times New Roman Regular"/>
          <w:b w:val="0"/>
          <w:bCs w:val="0"/>
          <w:sz w:val="24"/>
          <w:szCs w:val="24"/>
          <w:lang w:val="en-US" w:eastAsia="zh-CN"/>
        </w:rPr>
        <w:t xml:space="preserve"> clothes, History and culture</w:t>
      </w:r>
      <w:r>
        <w:rPr>
          <w:rFonts w:hint="eastAsia" w:ascii="宋体" w:hAnsi="宋体" w:eastAsia="宋体"/>
          <w:b w:val="0"/>
          <w:bCs w:val="0"/>
          <w:sz w:val="24"/>
          <w:szCs w:val="24"/>
          <w:lang w:val="en-US" w:eastAsia="zh-CN"/>
        </w:rPr>
        <w:t>等进一步帮助学生理解城市介绍的不同角度。再来看语篇内容，包括生词、语法现象和篇幅等，一般情况下，可以采用合并、删除、替换和扩充等方法对语篇难度进行调整，以更加适合任教学段学生的认知水平。</w:t>
      </w:r>
    </w:p>
    <w:p>
      <w:pPr>
        <w:numPr>
          <w:ilvl w:val="0"/>
          <w:numId w:val="0"/>
        </w:numPr>
        <w:spacing w:line="360" w:lineRule="auto"/>
        <w:ind w:firstLine="420" w:firstLineChars="0"/>
        <w:jc w:val="both"/>
        <w:rPr>
          <w:rFonts w:hint="default" w:ascii="宋体" w:hAnsi="宋体" w:eastAsia="宋体"/>
          <w:b w:val="0"/>
          <w:bCs w:val="0"/>
          <w:sz w:val="24"/>
          <w:szCs w:val="24"/>
          <w:lang w:val="en-US" w:eastAsia="zh-CN"/>
        </w:rPr>
      </w:pPr>
    </w:p>
    <w:p>
      <w:pPr>
        <w:numPr>
          <w:ilvl w:val="0"/>
          <w:numId w:val="4"/>
        </w:numPr>
        <w:spacing w:line="360" w:lineRule="auto"/>
        <w:jc w:val="both"/>
        <w:rPr>
          <w:rFonts w:hint="eastAsia" w:ascii="宋体" w:hAnsi="宋体" w:eastAsia="宋体"/>
          <w:b/>
          <w:bCs/>
          <w:sz w:val="24"/>
          <w:szCs w:val="24"/>
          <w:lang w:val="en-US" w:eastAsia="zh-CN"/>
        </w:rPr>
      </w:pPr>
      <w:r>
        <w:rPr>
          <w:rFonts w:hint="eastAsia" w:ascii="宋体" w:hAnsi="宋体" w:eastAsia="宋体"/>
          <w:b/>
          <w:bCs/>
          <w:sz w:val="24"/>
          <w:szCs w:val="24"/>
          <w:lang w:val="en-US" w:eastAsia="zh-CN"/>
        </w:rPr>
        <w:t>基于单元主题意义，确定阅读教学目标</w:t>
      </w:r>
    </w:p>
    <w:p>
      <w:pPr>
        <w:numPr>
          <w:ilvl w:val="0"/>
          <w:numId w:val="0"/>
        </w:numPr>
        <w:spacing w:line="360" w:lineRule="auto"/>
        <w:jc w:val="both"/>
        <w:rPr>
          <w:rFonts w:hint="eastAsia" w:ascii="宋体" w:hAnsi="宋体" w:eastAsia="宋体"/>
          <w:sz w:val="24"/>
          <w:szCs w:val="24"/>
          <w:lang w:val="en-US" w:eastAsia="zh-CN"/>
        </w:rPr>
      </w:pPr>
      <w:r>
        <w:rPr>
          <w:rFonts w:hint="eastAsia" w:ascii="宋体" w:hAnsi="宋体" w:eastAsia="宋体"/>
          <w:b/>
          <w:bCs/>
          <w:sz w:val="24"/>
          <w:szCs w:val="24"/>
          <w:lang w:val="en-US" w:eastAsia="zh-CN"/>
        </w:rPr>
        <w:t xml:space="preserve">    </w:t>
      </w:r>
      <w:r>
        <w:rPr>
          <w:rFonts w:hint="eastAsia" w:ascii="宋体" w:hAnsi="宋体" w:eastAsia="宋体"/>
          <w:sz w:val="24"/>
          <w:szCs w:val="24"/>
          <w:lang w:val="en-US" w:eastAsia="zh-CN"/>
        </w:rPr>
        <w:t xml:space="preserve"> 在选定语篇之后，教师需要继续深入研读语篇，把握语篇的主题和主要内容，篇章结构和语言特点，文化内涵和育人价值，基于单元主题意义细化相对应的教学目标。老师需要理清单元各语篇教学目标的逻辑关系，把预期的核心素养综合表现融入其中，体现教学目标的递进性，做到可操作，可观测，可评价。以6A Un</w:t>
      </w:r>
      <w:r>
        <w:rPr>
          <w:rFonts w:hint="default" w:ascii="宋体" w:hAnsi="宋体" w:eastAsia="宋体"/>
          <w:sz w:val="24"/>
          <w:szCs w:val="24"/>
          <w:lang w:val="en-US" w:eastAsia="zh-CN"/>
        </w:rPr>
        <w:t>it 1 Great cities in Asia</w:t>
      </w:r>
      <w:r>
        <w:rPr>
          <w:rFonts w:hint="eastAsia" w:ascii="宋体" w:hAnsi="宋体" w:eastAsia="宋体"/>
          <w:sz w:val="24"/>
          <w:szCs w:val="24"/>
          <w:lang w:val="en-US" w:eastAsia="zh-CN"/>
        </w:rPr>
        <w:t>为例，教师制定了如图4所示的基于单元主题意义的阅读教学目标。</w:t>
      </w:r>
    </w:p>
    <w:p>
      <w:pPr>
        <w:numPr>
          <w:ilvl w:val="0"/>
          <w:numId w:val="0"/>
        </w:numPr>
        <w:spacing w:line="360" w:lineRule="auto"/>
        <w:jc w:val="both"/>
        <w:rPr>
          <w:rFonts w:hint="default" w:ascii="宋体" w:hAnsi="宋体" w:eastAsia="宋体"/>
          <w:sz w:val="24"/>
          <w:szCs w:val="24"/>
          <w:lang w:val="en-US" w:eastAsia="zh-CN"/>
        </w:rPr>
      </w:pPr>
      <w:r>
        <w:rPr>
          <w:rFonts w:hint="eastAsia" w:ascii="宋体" w:hAnsi="宋体" w:eastAsia="宋体"/>
          <w:sz w:val="24"/>
          <w:szCs w:val="24"/>
          <w:lang w:val="en-US" w:eastAsia="zh-CN"/>
        </w:rPr>
        <w:t xml:space="preserve">                </w:t>
      </w:r>
      <w:r>
        <w:rPr>
          <w:rFonts w:hint="eastAsia" w:ascii="宋体" w:hAnsi="宋体" w:eastAsia="宋体"/>
          <w:b/>
          <w:bCs/>
          <w:sz w:val="24"/>
          <w:szCs w:val="24"/>
          <w:lang w:val="en-US" w:eastAsia="zh-CN"/>
        </w:rPr>
        <w:t xml:space="preserve">  </w:t>
      </w:r>
    </w:p>
    <w:tbl>
      <w:tblPr>
        <w:tblStyle w:val="4"/>
        <w:tblW w:w="0" w:type="auto"/>
        <w:tblInd w:w="-1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0"/>
        <w:gridCol w:w="2581"/>
        <w:gridCol w:w="2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0" w:type="dxa"/>
          </w:tcPr>
          <w:p>
            <w:pPr>
              <w:numPr>
                <w:ilvl w:val="0"/>
                <w:numId w:val="0"/>
              </w:numPr>
              <w:spacing w:line="360" w:lineRule="auto"/>
              <w:jc w:val="both"/>
              <w:rPr>
                <w:rFonts w:hint="default" w:ascii="宋体" w:hAnsi="宋体" w:eastAsia="宋体"/>
                <w:sz w:val="24"/>
                <w:szCs w:val="24"/>
                <w:vertAlign w:val="baseline"/>
                <w:lang w:val="en-US" w:eastAsia="zh-CN"/>
              </w:rPr>
            </w:pPr>
            <w:r>
              <w:rPr>
                <w:rFonts w:hint="eastAsia" w:ascii="宋体" w:hAnsi="宋体" w:eastAsia="宋体"/>
                <w:sz w:val="24"/>
                <w:szCs w:val="24"/>
                <w:vertAlign w:val="baseline"/>
                <w:lang w:val="en-US" w:eastAsia="zh-CN"/>
              </w:rPr>
              <w:t>单元主题意义</w:t>
            </w:r>
          </w:p>
        </w:tc>
        <w:tc>
          <w:tcPr>
            <w:tcW w:w="2581" w:type="dxa"/>
          </w:tcPr>
          <w:p>
            <w:pPr>
              <w:numPr>
                <w:ilvl w:val="0"/>
                <w:numId w:val="0"/>
              </w:numPr>
              <w:spacing w:line="360" w:lineRule="auto"/>
              <w:jc w:val="both"/>
              <w:rPr>
                <w:rFonts w:hint="default" w:ascii="宋体" w:hAnsi="宋体" w:eastAsia="宋体"/>
                <w:sz w:val="24"/>
                <w:szCs w:val="24"/>
                <w:vertAlign w:val="baseline"/>
                <w:lang w:val="en-US" w:eastAsia="zh-CN"/>
              </w:rPr>
            </w:pPr>
            <w:r>
              <w:rPr>
                <w:rFonts w:hint="eastAsia" w:ascii="宋体" w:hAnsi="宋体" w:eastAsia="宋体"/>
                <w:sz w:val="24"/>
                <w:szCs w:val="24"/>
                <w:vertAlign w:val="baseline"/>
                <w:lang w:val="en-US" w:eastAsia="zh-CN"/>
              </w:rPr>
              <w:t>语篇</w:t>
            </w:r>
          </w:p>
        </w:tc>
        <w:tc>
          <w:tcPr>
            <w:tcW w:w="2839" w:type="dxa"/>
          </w:tcPr>
          <w:p>
            <w:pPr>
              <w:numPr>
                <w:ilvl w:val="0"/>
                <w:numId w:val="0"/>
              </w:numPr>
              <w:spacing w:line="360" w:lineRule="auto"/>
              <w:jc w:val="both"/>
              <w:rPr>
                <w:rFonts w:hint="default" w:ascii="宋体" w:hAnsi="宋体" w:eastAsia="宋体"/>
                <w:sz w:val="24"/>
                <w:szCs w:val="24"/>
                <w:vertAlign w:val="baseline"/>
                <w:lang w:val="en-US" w:eastAsia="zh-CN"/>
              </w:rPr>
            </w:pPr>
            <w:r>
              <w:rPr>
                <w:rFonts w:hint="eastAsia" w:ascii="宋体" w:hAnsi="宋体" w:eastAsia="宋体"/>
                <w:sz w:val="24"/>
                <w:szCs w:val="24"/>
                <w:vertAlign w:val="baseline"/>
                <w:lang w:val="en-US" w:eastAsia="zh-CN"/>
              </w:rPr>
              <w:t>阅读教学目标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0" w:type="dxa"/>
            <w:vMerge w:val="restart"/>
          </w:tcPr>
          <w:p>
            <w:pPr>
              <w:numPr>
                <w:ilvl w:val="0"/>
                <w:numId w:val="0"/>
              </w:numPr>
              <w:spacing w:line="360" w:lineRule="auto"/>
              <w:jc w:val="both"/>
              <w:rPr>
                <w:rFonts w:hint="eastAsia" w:ascii="宋体" w:hAnsi="宋体" w:eastAsia="宋体"/>
                <w:b w:val="0"/>
                <w:bCs w:val="0"/>
                <w:sz w:val="21"/>
                <w:szCs w:val="21"/>
                <w:vertAlign w:val="baseline"/>
                <w:lang w:val="en-US" w:eastAsia="zh-CN"/>
              </w:rPr>
            </w:pPr>
          </w:p>
          <w:p>
            <w:pPr>
              <w:numPr>
                <w:ilvl w:val="0"/>
                <w:numId w:val="0"/>
              </w:numPr>
              <w:spacing w:line="360" w:lineRule="auto"/>
              <w:jc w:val="both"/>
              <w:rPr>
                <w:rFonts w:hint="eastAsia" w:ascii="宋体" w:hAnsi="宋体" w:eastAsia="宋体"/>
                <w:b w:val="0"/>
                <w:bCs w:val="0"/>
                <w:sz w:val="21"/>
                <w:szCs w:val="21"/>
                <w:vertAlign w:val="baseline"/>
                <w:lang w:val="en-US" w:eastAsia="zh-CN"/>
              </w:rPr>
            </w:pPr>
          </w:p>
          <w:p>
            <w:pPr>
              <w:numPr>
                <w:ilvl w:val="0"/>
                <w:numId w:val="0"/>
              </w:numPr>
              <w:spacing w:line="360" w:lineRule="auto"/>
              <w:jc w:val="both"/>
              <w:rPr>
                <w:rFonts w:hint="eastAsia"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游览体验</w:t>
            </w:r>
          </w:p>
          <w:p>
            <w:pPr>
              <w:numPr>
                <w:ilvl w:val="0"/>
                <w:numId w:val="0"/>
              </w:numPr>
              <w:spacing w:line="360" w:lineRule="auto"/>
              <w:jc w:val="both"/>
              <w:rPr>
                <w:rFonts w:hint="default" w:ascii="宋体" w:hAnsi="宋体" w:eastAsia="宋体"/>
                <w:sz w:val="21"/>
                <w:szCs w:val="21"/>
                <w:vertAlign w:val="baseline"/>
                <w:lang w:val="en-US" w:eastAsia="zh-CN"/>
              </w:rPr>
            </w:pPr>
          </w:p>
        </w:tc>
        <w:tc>
          <w:tcPr>
            <w:tcW w:w="2581" w:type="dxa"/>
          </w:tcPr>
          <w:p>
            <w:pPr>
              <w:numPr>
                <w:ilvl w:val="0"/>
                <w:numId w:val="0"/>
              </w:numPr>
              <w:spacing w:line="360" w:lineRule="auto"/>
              <w:jc w:val="both"/>
              <w:rPr>
                <w:rFonts w:hint="default" w:ascii="宋体" w:hAnsi="宋体" w:eastAsia="宋体"/>
                <w:sz w:val="21"/>
                <w:szCs w:val="21"/>
                <w:vertAlign w:val="baseline"/>
                <w:lang w:val="en-US" w:eastAsia="zh-CN"/>
              </w:rPr>
            </w:pPr>
            <w:r>
              <w:rPr>
                <w:rFonts w:hint="default" w:ascii="Times New Roman Regular" w:hAnsi="Times New Roman Regular" w:eastAsia="宋体" w:cs="Times New Roman Regular"/>
                <w:sz w:val="21"/>
                <w:szCs w:val="21"/>
                <w:vertAlign w:val="baseline"/>
                <w:lang w:val="en-US" w:eastAsia="zh-CN"/>
              </w:rPr>
              <w:t>Listening and speaking: Travelling to different cities</w:t>
            </w:r>
            <w:r>
              <w:rPr>
                <w:rFonts w:hint="default" w:ascii="宋体" w:hAnsi="宋体" w:eastAsia="宋体"/>
                <w:sz w:val="21"/>
                <w:szCs w:val="21"/>
                <w:vertAlign w:val="baseline"/>
                <w:lang w:val="en-US" w:eastAsia="zh-CN"/>
              </w:rPr>
              <w:t xml:space="preserve"> </w:t>
            </w:r>
            <w:r>
              <w:rPr>
                <w:rFonts w:hint="eastAsia" w:ascii="宋体" w:hAnsi="宋体" w:eastAsia="宋体"/>
                <w:sz w:val="21"/>
                <w:szCs w:val="21"/>
                <w:vertAlign w:val="baseline"/>
                <w:lang w:val="en-US" w:eastAsia="zh-CN"/>
              </w:rPr>
              <w:t xml:space="preserve">  </w:t>
            </w:r>
            <w:r>
              <w:rPr>
                <w:rFonts w:hint="default" w:ascii="宋体" w:hAnsi="宋体" w:eastAsia="宋体"/>
                <w:sz w:val="21"/>
                <w:szCs w:val="21"/>
                <w:vertAlign w:val="baseline"/>
                <w:lang w:val="en-US" w:eastAsia="zh-CN"/>
              </w:rPr>
              <w:t>(</w:t>
            </w:r>
            <w:r>
              <w:rPr>
                <w:rFonts w:hint="eastAsia" w:ascii="宋体" w:hAnsi="宋体" w:eastAsia="宋体"/>
                <w:sz w:val="21"/>
                <w:szCs w:val="21"/>
                <w:vertAlign w:val="baseline"/>
                <w:lang w:val="en-US" w:eastAsia="zh-CN"/>
              </w:rPr>
              <w:t>牛津教材）</w:t>
            </w:r>
          </w:p>
        </w:tc>
        <w:tc>
          <w:tcPr>
            <w:tcW w:w="2839" w:type="dxa"/>
          </w:tcPr>
          <w:p>
            <w:pPr>
              <w:numPr>
                <w:ilvl w:val="0"/>
                <w:numId w:val="0"/>
              </w:numPr>
              <w:spacing w:line="360" w:lineRule="auto"/>
              <w:jc w:val="both"/>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了解亚洲重要城市的方位关系，以及出行的距离、交通方式和时长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0" w:type="dxa"/>
            <w:vMerge w:val="continue"/>
          </w:tcPr>
          <w:p>
            <w:pPr>
              <w:spacing w:line="360" w:lineRule="auto"/>
              <w:ind w:left="0" w:leftChars="0" w:firstLine="0" w:firstLineChars="0"/>
              <w:jc w:val="both"/>
              <w:rPr>
                <w:rFonts w:hint="default" w:ascii="宋体" w:hAnsi="宋体" w:eastAsia="宋体"/>
                <w:sz w:val="21"/>
                <w:szCs w:val="21"/>
                <w:vertAlign w:val="baseline"/>
                <w:lang w:val="en-US" w:eastAsia="zh-CN"/>
              </w:rPr>
            </w:pPr>
          </w:p>
        </w:tc>
        <w:tc>
          <w:tcPr>
            <w:tcW w:w="2581" w:type="dxa"/>
          </w:tcPr>
          <w:p>
            <w:pPr>
              <w:numPr>
                <w:ilvl w:val="0"/>
                <w:numId w:val="0"/>
              </w:numPr>
              <w:spacing w:line="360" w:lineRule="auto"/>
              <w:jc w:val="both"/>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值得去看一看的中外城市（拓展语篇）</w:t>
            </w:r>
          </w:p>
        </w:tc>
        <w:tc>
          <w:tcPr>
            <w:tcW w:w="2839" w:type="dxa"/>
          </w:tcPr>
          <w:p>
            <w:pPr>
              <w:numPr>
                <w:ilvl w:val="0"/>
                <w:numId w:val="0"/>
              </w:numPr>
              <w:spacing w:line="360" w:lineRule="auto"/>
              <w:jc w:val="both"/>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了解中外旅游热门城市的位置、特色、旅行交通等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0" w:type="dxa"/>
            <w:vMerge w:val="continue"/>
          </w:tcPr>
          <w:p>
            <w:pPr>
              <w:numPr>
                <w:ilvl w:val="0"/>
                <w:numId w:val="5"/>
              </w:numPr>
              <w:spacing w:line="360" w:lineRule="auto"/>
              <w:jc w:val="both"/>
              <w:rPr>
                <w:rFonts w:hint="default" w:ascii="宋体" w:hAnsi="宋体" w:eastAsia="宋体"/>
                <w:sz w:val="21"/>
                <w:szCs w:val="21"/>
                <w:vertAlign w:val="baseline"/>
                <w:lang w:val="en-US" w:eastAsia="zh-CN"/>
              </w:rPr>
            </w:pPr>
          </w:p>
        </w:tc>
        <w:tc>
          <w:tcPr>
            <w:tcW w:w="2581" w:type="dxa"/>
          </w:tcPr>
          <w:p>
            <w:pPr>
              <w:numPr>
                <w:ilvl w:val="0"/>
                <w:numId w:val="0"/>
              </w:numPr>
              <w:spacing w:line="360" w:lineRule="auto"/>
              <w:jc w:val="both"/>
              <w:rPr>
                <w:rFonts w:hint="eastAsia"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去新西兰的访学经历</w:t>
            </w:r>
          </w:p>
          <w:p>
            <w:pPr>
              <w:numPr>
                <w:ilvl w:val="0"/>
                <w:numId w:val="0"/>
              </w:numPr>
              <w:spacing w:line="360" w:lineRule="auto"/>
              <w:jc w:val="both"/>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（拓展语篇）</w:t>
            </w:r>
          </w:p>
        </w:tc>
        <w:tc>
          <w:tcPr>
            <w:tcW w:w="2839" w:type="dxa"/>
          </w:tcPr>
          <w:p>
            <w:pPr>
              <w:numPr>
                <w:ilvl w:val="0"/>
                <w:numId w:val="0"/>
              </w:numPr>
              <w:spacing w:line="360" w:lineRule="auto"/>
              <w:jc w:val="both"/>
              <w:rPr>
                <w:rFonts w:hint="default" w:ascii="宋体" w:hAnsi="宋体" w:eastAsia="宋体"/>
                <w:sz w:val="24"/>
                <w:szCs w:val="24"/>
                <w:vertAlign w:val="baseline"/>
                <w:lang w:val="en-US" w:eastAsia="zh-CN"/>
              </w:rPr>
            </w:pPr>
            <w:r>
              <w:rPr>
                <w:rFonts w:hint="eastAsia" w:ascii="宋体" w:hAnsi="宋体" w:eastAsia="宋体"/>
                <w:sz w:val="21"/>
                <w:szCs w:val="21"/>
                <w:vertAlign w:val="baseline"/>
                <w:lang w:val="en-US" w:eastAsia="zh-CN"/>
              </w:rPr>
              <w:t>介绍自己某一次的出行体验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220" w:type="dxa"/>
            <w:vMerge w:val="restart"/>
          </w:tcPr>
          <w:p>
            <w:pPr>
              <w:numPr>
                <w:ilvl w:val="0"/>
                <w:numId w:val="0"/>
              </w:numPr>
              <w:spacing w:line="360" w:lineRule="auto"/>
              <w:ind w:leftChars="0"/>
              <w:jc w:val="both"/>
              <w:rPr>
                <w:rFonts w:hint="eastAsia" w:ascii="宋体" w:hAnsi="宋体" w:eastAsia="宋体"/>
                <w:b w:val="0"/>
                <w:bCs w:val="0"/>
                <w:sz w:val="21"/>
                <w:szCs w:val="21"/>
                <w:vertAlign w:val="baseline"/>
                <w:lang w:val="en-US" w:eastAsia="zh-CN"/>
              </w:rPr>
            </w:pPr>
          </w:p>
          <w:p>
            <w:pPr>
              <w:numPr>
                <w:ilvl w:val="0"/>
                <w:numId w:val="0"/>
              </w:numPr>
              <w:spacing w:line="360" w:lineRule="auto"/>
              <w:ind w:leftChars="0"/>
              <w:jc w:val="both"/>
              <w:rPr>
                <w:rFonts w:hint="eastAsia" w:ascii="宋体" w:hAnsi="宋体" w:eastAsia="宋体"/>
                <w:b w:val="0"/>
                <w:bCs w:val="0"/>
                <w:sz w:val="21"/>
                <w:szCs w:val="21"/>
                <w:vertAlign w:val="baseline"/>
                <w:lang w:val="en-US" w:eastAsia="zh-CN"/>
              </w:rPr>
            </w:pPr>
          </w:p>
          <w:p>
            <w:pPr>
              <w:numPr>
                <w:ilvl w:val="0"/>
                <w:numId w:val="0"/>
              </w:numPr>
              <w:spacing w:line="360" w:lineRule="auto"/>
              <w:ind w:leftChars="0"/>
              <w:jc w:val="both"/>
              <w:rPr>
                <w:rFonts w:hint="default" w:ascii="宋体" w:hAnsi="宋体" w:eastAsia="宋体"/>
                <w:sz w:val="21"/>
                <w:szCs w:val="21"/>
                <w:vertAlign w:val="baseline"/>
                <w:lang w:val="en-US" w:eastAsia="zh-CN"/>
              </w:rPr>
            </w:pPr>
            <w:r>
              <w:rPr>
                <w:rFonts w:hint="eastAsia" w:ascii="宋体" w:hAnsi="宋体" w:eastAsia="宋体"/>
                <w:b w:val="0"/>
                <w:bCs w:val="0"/>
                <w:sz w:val="21"/>
                <w:szCs w:val="21"/>
                <w:vertAlign w:val="baseline"/>
                <w:lang w:val="en-US" w:eastAsia="zh-CN"/>
              </w:rPr>
              <w:t>中外名胜古迹的相关知识</w:t>
            </w:r>
          </w:p>
        </w:tc>
        <w:tc>
          <w:tcPr>
            <w:tcW w:w="2581" w:type="dxa"/>
          </w:tcPr>
          <w:p>
            <w:pPr>
              <w:numPr>
                <w:ilvl w:val="0"/>
                <w:numId w:val="0"/>
              </w:numPr>
              <w:spacing w:line="360" w:lineRule="auto"/>
              <w:jc w:val="both"/>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 xml:space="preserve">Great </w:t>
            </w:r>
            <w:r>
              <w:rPr>
                <w:rFonts w:hint="default" w:ascii="宋体" w:hAnsi="宋体" w:eastAsia="宋体"/>
                <w:sz w:val="21"/>
                <w:szCs w:val="21"/>
                <w:vertAlign w:val="baseline"/>
                <w:lang w:val="en-US" w:eastAsia="zh-CN"/>
              </w:rPr>
              <w:t>cities in Asia</w:t>
            </w:r>
          </w:p>
          <w:p>
            <w:pPr>
              <w:numPr>
                <w:ilvl w:val="0"/>
                <w:numId w:val="0"/>
              </w:numPr>
              <w:spacing w:line="360" w:lineRule="auto"/>
              <w:jc w:val="both"/>
              <w:rPr>
                <w:rFonts w:hint="default" w:ascii="宋体" w:hAnsi="宋体" w:eastAsia="宋体"/>
                <w:sz w:val="21"/>
                <w:szCs w:val="21"/>
                <w:vertAlign w:val="baseline"/>
                <w:lang w:val="en-US" w:eastAsia="zh-CN"/>
              </w:rPr>
            </w:pPr>
            <w:r>
              <w:rPr>
                <w:rFonts w:hint="default" w:ascii="宋体" w:hAnsi="宋体" w:eastAsia="宋体"/>
                <w:sz w:val="21"/>
                <w:szCs w:val="21"/>
                <w:vertAlign w:val="baseline"/>
                <w:lang w:val="en-US" w:eastAsia="zh-CN"/>
              </w:rPr>
              <w:t>(</w:t>
            </w:r>
            <w:r>
              <w:rPr>
                <w:rFonts w:hint="eastAsia" w:ascii="宋体" w:hAnsi="宋体" w:eastAsia="宋体"/>
                <w:sz w:val="21"/>
                <w:szCs w:val="21"/>
                <w:vertAlign w:val="baseline"/>
                <w:lang w:val="en-US" w:eastAsia="zh-CN"/>
              </w:rPr>
              <w:t>牛津教材）</w:t>
            </w:r>
          </w:p>
        </w:tc>
        <w:tc>
          <w:tcPr>
            <w:tcW w:w="2839" w:type="dxa"/>
            <w:vMerge w:val="restart"/>
          </w:tcPr>
          <w:p>
            <w:pPr>
              <w:numPr>
                <w:ilvl w:val="0"/>
                <w:numId w:val="0"/>
              </w:numPr>
              <w:spacing w:line="360" w:lineRule="auto"/>
              <w:jc w:val="both"/>
              <w:rPr>
                <w:rFonts w:hint="default" w:ascii="宋体" w:hAnsi="宋体" w:eastAsia="宋体"/>
                <w:sz w:val="24"/>
                <w:szCs w:val="24"/>
                <w:vertAlign w:val="baseline"/>
                <w:lang w:val="en-US" w:eastAsia="zh-CN"/>
              </w:rPr>
            </w:pPr>
            <w:r>
              <w:rPr>
                <w:rFonts w:hint="eastAsia" w:ascii="宋体" w:hAnsi="宋体" w:eastAsia="宋体"/>
                <w:sz w:val="22"/>
                <w:szCs w:val="22"/>
                <w:vertAlign w:val="baseline"/>
                <w:lang w:val="en-US" w:eastAsia="zh-CN"/>
              </w:rPr>
              <w:t>了解并罗列城市介绍包含的角度和内容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220" w:type="dxa"/>
            <w:vMerge w:val="continue"/>
          </w:tcPr>
          <w:p>
            <w:pPr>
              <w:spacing w:line="360" w:lineRule="auto"/>
              <w:jc w:val="both"/>
            </w:pPr>
          </w:p>
        </w:tc>
        <w:tc>
          <w:tcPr>
            <w:tcW w:w="2581" w:type="dxa"/>
          </w:tcPr>
          <w:p>
            <w:pPr>
              <w:numPr>
                <w:ilvl w:val="0"/>
                <w:numId w:val="0"/>
              </w:numPr>
              <w:spacing w:line="360" w:lineRule="auto"/>
              <w:jc w:val="both"/>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曼谷城市介绍（拓展语篇）</w:t>
            </w:r>
          </w:p>
        </w:tc>
        <w:tc>
          <w:tcPr>
            <w:tcW w:w="2839" w:type="dxa"/>
            <w:vMerge w:val="continue"/>
          </w:tcPr>
          <w:p>
            <w:pPr>
              <w:numPr>
                <w:ilvl w:val="0"/>
                <w:numId w:val="0"/>
              </w:numPr>
              <w:spacing w:line="360" w:lineRule="auto"/>
              <w:jc w:val="both"/>
              <w:rPr>
                <w:rFonts w:hint="default" w:ascii="宋体" w:hAnsi="宋体" w:eastAsia="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220" w:type="dxa"/>
            <w:vMerge w:val="continue"/>
          </w:tcPr>
          <w:p>
            <w:pPr>
              <w:spacing w:line="360" w:lineRule="auto"/>
              <w:jc w:val="both"/>
              <w:rPr>
                <w:rFonts w:hint="default" w:ascii="宋体" w:hAnsi="宋体" w:eastAsia="宋体"/>
                <w:sz w:val="21"/>
                <w:szCs w:val="21"/>
                <w:vertAlign w:val="baseline"/>
                <w:lang w:val="en-US" w:eastAsia="zh-CN"/>
              </w:rPr>
            </w:pPr>
          </w:p>
        </w:tc>
        <w:tc>
          <w:tcPr>
            <w:tcW w:w="2581" w:type="dxa"/>
          </w:tcPr>
          <w:p>
            <w:pPr>
              <w:numPr>
                <w:ilvl w:val="0"/>
                <w:numId w:val="0"/>
              </w:numPr>
              <w:spacing w:line="360" w:lineRule="auto"/>
              <w:jc w:val="both"/>
              <w:rPr>
                <w:rFonts w:hint="default" w:ascii="宋体" w:hAnsi="宋体" w:eastAsia="宋体"/>
                <w:sz w:val="21"/>
                <w:szCs w:val="21"/>
                <w:vertAlign w:val="baseline"/>
                <w:lang w:val="en-US" w:eastAsia="zh-CN"/>
              </w:rPr>
            </w:pPr>
            <w:r>
              <w:rPr>
                <w:rFonts w:hint="eastAsia" w:ascii="宋体" w:hAnsi="宋体" w:eastAsia="宋体"/>
                <w:sz w:val="21"/>
                <w:szCs w:val="21"/>
                <w:vertAlign w:val="baseline"/>
                <w:lang w:val="en-US" w:eastAsia="zh-CN"/>
              </w:rPr>
              <w:t>长安的历史和风土文化（拓展语篇）</w:t>
            </w:r>
          </w:p>
        </w:tc>
        <w:tc>
          <w:tcPr>
            <w:tcW w:w="2839" w:type="dxa"/>
          </w:tcPr>
          <w:p>
            <w:pPr>
              <w:numPr>
                <w:ilvl w:val="0"/>
                <w:numId w:val="0"/>
              </w:numPr>
              <w:spacing w:line="360" w:lineRule="auto"/>
              <w:jc w:val="both"/>
              <w:rPr>
                <w:rFonts w:hint="default" w:ascii="宋体" w:hAnsi="宋体" w:eastAsia="宋体"/>
                <w:sz w:val="21"/>
                <w:szCs w:val="21"/>
                <w:vertAlign w:val="baseline"/>
                <w:lang w:val="en-US" w:eastAsia="zh-CN"/>
              </w:rPr>
            </w:pPr>
            <w:r>
              <w:rPr>
                <w:rFonts w:hint="eastAsia" w:ascii="宋体" w:hAnsi="宋体" w:eastAsia="宋体"/>
                <w:sz w:val="22"/>
                <w:szCs w:val="22"/>
                <w:vertAlign w:val="baseline"/>
                <w:lang w:val="en-US" w:eastAsia="zh-CN"/>
              </w:rPr>
              <w:t>归纳如何从不同角度介绍城市，运用所学知识介绍中外著名城市</w:t>
            </w:r>
          </w:p>
        </w:tc>
      </w:tr>
    </w:tbl>
    <w:p>
      <w:pPr>
        <w:numPr>
          <w:ilvl w:val="0"/>
          <w:numId w:val="0"/>
        </w:numPr>
        <w:spacing w:line="360" w:lineRule="auto"/>
        <w:jc w:val="center"/>
        <w:rPr>
          <w:rFonts w:hint="default" w:ascii="宋体" w:hAnsi="宋体" w:eastAsia="宋体"/>
          <w:sz w:val="24"/>
          <w:szCs w:val="24"/>
          <w:lang w:val="en-US" w:eastAsia="zh-CN"/>
        </w:rPr>
      </w:pPr>
      <w:r>
        <w:rPr>
          <w:rFonts w:hint="eastAsia" w:ascii="宋体" w:hAnsi="宋体" w:eastAsia="宋体"/>
          <w:b/>
          <w:bCs/>
          <w:sz w:val="24"/>
          <w:szCs w:val="24"/>
          <w:lang w:val="en-US" w:eastAsia="zh-CN"/>
        </w:rPr>
        <w:t>图4 单元教学目标和阅读教学目标</w:t>
      </w:r>
    </w:p>
    <w:p>
      <w:pPr>
        <w:numPr>
          <w:ilvl w:val="0"/>
          <w:numId w:val="0"/>
        </w:numPr>
        <w:spacing w:line="360" w:lineRule="auto"/>
        <w:jc w:val="both"/>
        <w:rPr>
          <w:rFonts w:hint="default" w:ascii="宋体" w:hAnsi="宋体" w:eastAsia="宋体"/>
          <w:b/>
          <w:bCs/>
          <w:sz w:val="24"/>
          <w:szCs w:val="24"/>
          <w:lang w:val="en-US" w:eastAsia="zh-CN"/>
        </w:rPr>
      </w:pPr>
    </w:p>
    <w:p>
      <w:pPr>
        <w:numPr>
          <w:ilvl w:val="0"/>
          <w:numId w:val="4"/>
        </w:numPr>
        <w:spacing w:line="360" w:lineRule="auto"/>
        <w:ind w:left="0" w:leftChars="0" w:firstLine="0" w:firstLineChars="0"/>
        <w:jc w:val="both"/>
        <w:rPr>
          <w:rFonts w:hint="eastAsia" w:ascii="宋体" w:hAnsi="宋体" w:eastAsia="宋体"/>
          <w:b/>
          <w:bCs/>
          <w:sz w:val="24"/>
          <w:szCs w:val="24"/>
          <w:lang w:val="en-US" w:eastAsia="zh-CN"/>
        </w:rPr>
      </w:pPr>
      <w:r>
        <w:rPr>
          <w:rFonts w:hint="eastAsia" w:ascii="宋体" w:hAnsi="宋体" w:eastAsia="宋体"/>
          <w:b/>
          <w:bCs/>
          <w:sz w:val="24"/>
          <w:szCs w:val="24"/>
          <w:lang w:val="en-US" w:eastAsia="zh-CN"/>
        </w:rPr>
        <w:t>基于英语学习活动观，设计指向深度阅读的探究活动</w:t>
      </w:r>
    </w:p>
    <w:p>
      <w:pPr>
        <w:numPr>
          <w:ilvl w:val="0"/>
          <w:numId w:val="0"/>
        </w:numPr>
        <w:spacing w:line="360" w:lineRule="auto"/>
        <w:ind w:leftChars="0"/>
        <w:jc w:val="both"/>
        <w:rPr>
          <w:rFonts w:hint="eastAsia" w:ascii="宋体" w:hAnsi="宋体" w:eastAsia="宋体"/>
          <w:b w:val="0"/>
          <w:bCs w:val="0"/>
          <w:sz w:val="24"/>
          <w:szCs w:val="24"/>
          <w:lang w:val="en-US" w:eastAsia="zh-CN"/>
        </w:rPr>
      </w:pPr>
      <w:r>
        <w:rPr>
          <w:rFonts w:hint="eastAsia" w:ascii="宋体" w:hAnsi="宋体" w:eastAsia="宋体"/>
          <w:b/>
          <w:bCs/>
          <w:sz w:val="24"/>
          <w:szCs w:val="24"/>
          <w:lang w:val="en-US" w:eastAsia="zh-CN"/>
        </w:rPr>
        <w:t xml:space="preserve">     </w:t>
      </w:r>
      <w:r>
        <w:rPr>
          <w:rFonts w:hint="eastAsia" w:ascii="宋体" w:hAnsi="宋体" w:eastAsia="宋体"/>
          <w:b w:val="0"/>
          <w:bCs w:val="0"/>
          <w:sz w:val="24"/>
          <w:szCs w:val="24"/>
          <w:lang w:val="en-US" w:eastAsia="zh-CN"/>
        </w:rPr>
        <w:t>深度阅读之“深”，在于其背后的整合逻辑，强调学习者经历知识习得、运用到反思的整体学习历程，对阅读篇目有深层次的感知和理解。在明确阅读教学目标后，教师需要基于学思结合、用创为本的英语学习活动观，设计指向深度阅读的学习理解类活动，应用实践类活动和迁移创新类活动，在活动中，帮助学生梳理整个单元的知识架构，促进学生语言、文化、思维的融合发展，提升学生自主探究的学习能力。</w:t>
      </w:r>
    </w:p>
    <w:p>
      <w:pPr>
        <w:pStyle w:val="6"/>
        <w:spacing w:line="360" w:lineRule="auto"/>
        <w:rPr>
          <w:rFonts w:hint="default" w:ascii="Times New Roman" w:hAnsi="Times New Roman" w:eastAsia="宋体" w:cs="Times New Roman"/>
          <w:sz w:val="24"/>
          <w:szCs w:val="24"/>
          <w:lang w:val="en-US" w:eastAsia="zh-CN"/>
        </w:rPr>
      </w:pPr>
      <w:r>
        <w:rPr>
          <w:rFonts w:hint="eastAsia" w:ascii="宋体" w:hAnsi="宋体" w:eastAsia="宋体"/>
          <w:sz w:val="24"/>
          <w:szCs w:val="24"/>
          <w:lang w:val="en-US" w:eastAsia="zh-CN"/>
        </w:rPr>
        <w:t>教师在基于单元主题意义设计深度阅读活动时，需要层层递进、环环相扣。</w:t>
      </w:r>
      <w:r>
        <w:rPr>
          <w:rFonts w:hint="eastAsia" w:ascii="宋体" w:hAnsi="宋体" w:eastAsia="宋体"/>
          <w:sz w:val="24"/>
          <w:szCs w:val="24"/>
        </w:rPr>
        <w:t>譬如</w:t>
      </w:r>
      <w:r>
        <w:rPr>
          <w:rFonts w:ascii="Times New Roman" w:hAnsi="Times New Roman" w:eastAsia="宋体" w:cs="Times New Roman"/>
          <w:sz w:val="24"/>
          <w:szCs w:val="24"/>
        </w:rPr>
        <w:t>6B第一单元 Great cities in Asia</w:t>
      </w:r>
      <w:r>
        <w:rPr>
          <w:rFonts w:hint="eastAsia" w:ascii="Times New Roman" w:hAnsi="Times New Roman" w:eastAsia="宋体" w:cs="Times New Roman"/>
          <w:sz w:val="24"/>
          <w:szCs w:val="24"/>
        </w:rPr>
        <w:t>，本单元的reading部分聚焦培养学生从不同角度介绍城市的能力，在教材语篇新授课中引导学生一起梳理了亚洲几个重要城市的基本信息，从位置、人口、活动、当地美食介绍城市；在单元</w:t>
      </w:r>
      <w:r>
        <w:rPr>
          <w:rFonts w:hint="eastAsia" w:ascii="Times New Roman" w:hAnsi="Times New Roman" w:eastAsia="宋体" w:cs="Times New Roman"/>
          <w:sz w:val="24"/>
          <w:szCs w:val="24"/>
          <w:lang w:val="en-US" w:eastAsia="zh-CN"/>
        </w:rPr>
        <w:t>拓展</w:t>
      </w:r>
      <w:r>
        <w:rPr>
          <w:rFonts w:hint="eastAsia" w:ascii="Times New Roman" w:hAnsi="Times New Roman" w:eastAsia="宋体" w:cs="Times New Roman"/>
          <w:sz w:val="24"/>
          <w:szCs w:val="24"/>
        </w:rPr>
        <w:t>阅读语篇中</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老师首先跟学生展示曼谷的城市旅游宣传手册，进一步引导学生了解并罗列城市介绍包含的角度和内容；然后，老师</w:t>
      </w:r>
      <w:r>
        <w:rPr>
          <w:rFonts w:hint="eastAsia" w:ascii="Times New Roman" w:hAnsi="Times New Roman" w:eastAsia="宋体" w:cs="Times New Roman"/>
          <w:sz w:val="24"/>
          <w:szCs w:val="24"/>
        </w:rPr>
        <w:t>带领学生走进历史中的长安，要求学生根据阅读语篇，</w:t>
      </w:r>
      <w:r>
        <w:rPr>
          <w:rFonts w:hint="eastAsia" w:ascii="Times New Roman" w:hAnsi="Times New Roman" w:eastAsia="宋体" w:cs="Times New Roman"/>
          <w:sz w:val="24"/>
          <w:szCs w:val="24"/>
          <w:lang w:val="en-US" w:eastAsia="zh-CN"/>
        </w:rPr>
        <w:t>尝试</w:t>
      </w:r>
      <w:r>
        <w:rPr>
          <w:rFonts w:hint="eastAsia" w:ascii="Times New Roman" w:hAnsi="Times New Roman" w:eastAsia="宋体" w:cs="Times New Roman"/>
          <w:sz w:val="24"/>
          <w:szCs w:val="24"/>
        </w:rPr>
        <w:t>自己从不同角度概括长安，把所学阅读能力</w:t>
      </w:r>
      <w:r>
        <w:rPr>
          <w:rFonts w:hint="eastAsia" w:ascii="Times New Roman" w:hAnsi="Times New Roman" w:eastAsia="宋体" w:cs="Times New Roman"/>
          <w:sz w:val="24"/>
          <w:szCs w:val="24"/>
          <w:lang w:val="en-US" w:eastAsia="zh-CN"/>
        </w:rPr>
        <w:t>进行运用实践</w:t>
      </w:r>
      <w:r>
        <w:rPr>
          <w:rFonts w:hint="eastAsia" w:ascii="Times New Roman" w:hAnsi="Times New Roman" w:eastAsia="宋体" w:cs="Times New Roman"/>
          <w:sz w:val="24"/>
          <w:szCs w:val="24"/>
        </w:rPr>
        <w:t>。</w:t>
      </w:r>
      <w:r>
        <w:rPr>
          <w:rFonts w:hint="eastAsia" w:ascii="宋体" w:hAnsi="宋体" w:eastAsia="宋体"/>
          <w:sz w:val="24"/>
          <w:szCs w:val="24"/>
        </w:rPr>
        <w:t>阅读语篇的有效利用除了能够提升学生的思维能力，其中的好词好句也能够增加学生地道的语言输入。</w:t>
      </w:r>
      <w:r>
        <w:rPr>
          <w:rFonts w:hint="eastAsia" w:ascii="宋体" w:hAnsi="宋体" w:eastAsia="宋体"/>
          <w:sz w:val="24"/>
          <w:szCs w:val="24"/>
          <w:lang w:val="en-US" w:eastAsia="zh-CN"/>
        </w:rPr>
        <w:t>老师引导</w:t>
      </w:r>
      <w:r>
        <w:rPr>
          <w:rFonts w:hint="eastAsia" w:ascii="Times New Roman" w:hAnsi="Times New Roman" w:eastAsia="宋体" w:cs="Times New Roman"/>
          <w:sz w:val="24"/>
          <w:szCs w:val="24"/>
        </w:rPr>
        <w:t>学生</w:t>
      </w:r>
      <w:r>
        <w:rPr>
          <w:rFonts w:hint="eastAsia" w:ascii="Times New Roman" w:hAnsi="Times New Roman" w:eastAsia="宋体" w:cs="Times New Roman"/>
          <w:sz w:val="24"/>
          <w:szCs w:val="24"/>
          <w:lang w:val="en-US" w:eastAsia="zh-CN"/>
        </w:rPr>
        <w:t>摘录学习语篇中的好词好句，帮助学生</w:t>
      </w:r>
      <w:r>
        <w:rPr>
          <w:rFonts w:hint="eastAsia" w:ascii="Times New Roman" w:hAnsi="Times New Roman" w:eastAsia="宋体" w:cs="Times New Roman"/>
          <w:sz w:val="24"/>
          <w:szCs w:val="24"/>
        </w:rPr>
        <w:t>建立单元话题下的语料库。学生通过模仿朗读，进一步加深对语篇的理解，强化语言的有效输入，为写作进行铺垫。阅读与写作是“一体化”的，因此，以读促写是写作教学的一种有效</w:t>
      </w:r>
      <w:r>
        <w:rPr>
          <w:rFonts w:hint="eastAsia" w:ascii="Times New Roman" w:hAnsi="Times New Roman" w:eastAsia="宋体" w:cs="Times New Roman"/>
          <w:sz w:val="24"/>
          <w:szCs w:val="24"/>
          <w:lang w:val="en-US" w:eastAsia="zh-CN"/>
        </w:rPr>
        <w:t>的迁移实践活动</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lang w:val="en-US" w:eastAsia="zh-CN"/>
        </w:rPr>
        <w:t>本单元，老师要求学生选取中外一个著名城市，并为其设计宣传手册，这样的迁移创新活动，结合了本单元的阅读语篇的结构特征，也在内容方面让学生有话可说。</w:t>
      </w:r>
    </w:p>
    <w:p>
      <w:pPr>
        <w:pStyle w:val="6"/>
        <w:spacing w:line="360" w:lineRule="auto"/>
        <w:ind w:left="0" w:leftChars="0" w:firstLine="420" w:firstLineChars="0"/>
        <w:rPr>
          <w:rFonts w:hint="eastAsia" w:ascii="宋体" w:hAnsi="宋体" w:eastAsia="宋体"/>
          <w:sz w:val="24"/>
          <w:szCs w:val="24"/>
        </w:rPr>
      </w:pPr>
      <w:r>
        <w:rPr>
          <w:rFonts w:hint="eastAsia" w:ascii="宋体" w:hAnsi="宋体" w:eastAsia="宋体"/>
          <w:sz w:val="24"/>
          <w:szCs w:val="24"/>
          <w:lang w:val="en-US" w:eastAsia="zh-CN"/>
        </w:rPr>
        <w:t>其次，</w:t>
      </w:r>
      <w:r>
        <w:rPr>
          <w:rFonts w:ascii="宋体" w:hAnsi="宋体" w:eastAsia="宋体"/>
          <w:sz w:val="24"/>
          <w:szCs w:val="24"/>
        </w:rPr>
        <w:t>基于一个语篇</w:t>
      </w:r>
      <w:r>
        <w:rPr>
          <w:rFonts w:hint="eastAsia" w:ascii="宋体" w:hAnsi="宋体" w:eastAsia="宋体"/>
          <w:sz w:val="24"/>
          <w:szCs w:val="24"/>
          <w:lang w:val="en-US" w:eastAsia="zh-CN"/>
        </w:rPr>
        <w:t>可以</w:t>
      </w:r>
      <w:r>
        <w:rPr>
          <w:rFonts w:ascii="宋体" w:hAnsi="宋体" w:eastAsia="宋体"/>
          <w:sz w:val="24"/>
          <w:szCs w:val="24"/>
        </w:rPr>
        <w:t>进行多任务的深度阅读活动</w:t>
      </w:r>
      <w:r>
        <w:rPr>
          <w:rFonts w:hint="eastAsia" w:ascii="宋体" w:hAnsi="宋体" w:eastAsia="宋体"/>
          <w:sz w:val="24"/>
          <w:szCs w:val="24"/>
          <w:lang w:eastAsia="zh-CN"/>
        </w:rPr>
        <w:t>，</w:t>
      </w:r>
      <w:r>
        <w:rPr>
          <w:rFonts w:hint="eastAsia" w:ascii="宋体" w:hAnsi="宋体" w:eastAsia="宋体"/>
          <w:sz w:val="24"/>
          <w:szCs w:val="24"/>
          <w:lang w:val="en-US" w:eastAsia="zh-CN"/>
        </w:rPr>
        <w:t>包括推测词义、基本信息的获取、个人见解的表达、借助表格、思维导图等工具梳理语篇的主要信息、理解大意等。多任务的深度阅读活动有利于满足差异化阅读需求，不同的阅读任务</w:t>
      </w:r>
      <w:r>
        <w:rPr>
          <w:rFonts w:ascii="宋体" w:hAnsi="宋体" w:eastAsia="宋体"/>
          <w:sz w:val="24"/>
          <w:szCs w:val="24"/>
        </w:rPr>
        <w:t>设置，给分层留了很大的空间</w:t>
      </w:r>
      <w:r>
        <w:rPr>
          <w:rFonts w:hint="eastAsia" w:ascii="宋体" w:hAnsi="宋体" w:eastAsia="宋体"/>
          <w:sz w:val="24"/>
          <w:szCs w:val="24"/>
        </w:rPr>
        <w:t>，</w:t>
      </w:r>
      <w:r>
        <w:rPr>
          <w:rFonts w:ascii="宋体" w:hAnsi="宋体" w:eastAsia="宋体"/>
          <w:sz w:val="24"/>
          <w:szCs w:val="24"/>
        </w:rPr>
        <w:t>也鼓励相对“后进”的学生去尝试往进阶一层的难度去挑战自我</w:t>
      </w:r>
      <w:r>
        <w:rPr>
          <w:rFonts w:hint="eastAsia" w:ascii="宋体" w:hAnsi="宋体" w:eastAsia="宋体"/>
          <w:sz w:val="24"/>
          <w:szCs w:val="24"/>
        </w:rPr>
        <w:t>，</w:t>
      </w:r>
      <w:r>
        <w:rPr>
          <w:rFonts w:ascii="宋体" w:hAnsi="宋体" w:eastAsia="宋体"/>
          <w:sz w:val="24"/>
          <w:szCs w:val="24"/>
        </w:rPr>
        <w:t>点燃阅读兴趣</w:t>
      </w:r>
      <w:r>
        <w:rPr>
          <w:rFonts w:hint="eastAsia" w:ascii="宋体" w:hAnsi="宋体" w:eastAsia="宋体"/>
          <w:sz w:val="24"/>
          <w:szCs w:val="24"/>
        </w:rPr>
        <w:t>。</w:t>
      </w:r>
    </w:p>
    <w:p>
      <w:pPr>
        <w:pStyle w:val="6"/>
        <w:spacing w:line="360" w:lineRule="auto"/>
        <w:ind w:left="0" w:leftChars="0" w:firstLine="420" w:firstLineChars="0"/>
        <w:rPr>
          <w:rFonts w:hint="eastAsia" w:ascii="宋体" w:hAnsi="宋体" w:eastAsia="宋体"/>
          <w:sz w:val="24"/>
          <w:szCs w:val="24"/>
        </w:rPr>
      </w:pPr>
      <w:r>
        <w:rPr>
          <w:rFonts w:hint="eastAsia" w:ascii="宋体" w:hAnsi="宋体" w:eastAsia="宋体"/>
          <w:sz w:val="24"/>
          <w:szCs w:val="24"/>
        </w:rPr>
        <w:t>教师通过</w:t>
      </w:r>
      <w:r>
        <w:rPr>
          <w:rFonts w:hint="eastAsia" w:ascii="宋体" w:hAnsi="宋体" w:eastAsia="宋体"/>
          <w:sz w:val="24"/>
          <w:szCs w:val="24"/>
          <w:lang w:val="en-US" w:eastAsia="zh-CN"/>
        </w:rPr>
        <w:t>递进式和多任务的深度</w:t>
      </w:r>
      <w:r>
        <w:rPr>
          <w:rFonts w:hint="eastAsia" w:ascii="宋体" w:hAnsi="宋体" w:eastAsia="宋体"/>
          <w:sz w:val="24"/>
          <w:szCs w:val="24"/>
        </w:rPr>
        <w:t>阅读教学</w:t>
      </w:r>
      <w:r>
        <w:rPr>
          <w:rFonts w:hint="eastAsia" w:ascii="宋体" w:hAnsi="宋体" w:eastAsia="宋体"/>
          <w:sz w:val="24"/>
          <w:szCs w:val="24"/>
          <w:lang w:val="en-US" w:eastAsia="zh-CN"/>
        </w:rPr>
        <w:t>活动</w:t>
      </w:r>
      <w:r>
        <w:rPr>
          <w:rFonts w:hint="eastAsia" w:ascii="宋体" w:hAnsi="宋体" w:eastAsia="宋体"/>
          <w:sz w:val="24"/>
          <w:szCs w:val="24"/>
        </w:rPr>
        <w:t>，引</w:t>
      </w:r>
      <w:r>
        <w:rPr>
          <w:rFonts w:ascii="宋体" w:hAnsi="宋体" w:eastAsia="宋体"/>
          <w:sz w:val="24"/>
          <w:szCs w:val="24"/>
        </w:rPr>
        <w:t>导</w:t>
      </w:r>
      <w:r>
        <w:rPr>
          <w:rFonts w:hint="eastAsia" w:ascii="宋体" w:hAnsi="宋体" w:eastAsia="宋体"/>
          <w:sz w:val="24"/>
          <w:szCs w:val="24"/>
        </w:rPr>
        <w:t>学生在大单元视域下</w:t>
      </w:r>
      <w:r>
        <w:rPr>
          <w:rFonts w:ascii="宋体" w:hAnsi="宋体" w:eastAsia="宋体"/>
          <w:sz w:val="24"/>
          <w:szCs w:val="24"/>
        </w:rPr>
        <w:t>思考</w:t>
      </w:r>
      <w:r>
        <w:rPr>
          <w:rFonts w:hint="eastAsia" w:ascii="宋体" w:hAnsi="宋体" w:eastAsia="宋体"/>
          <w:sz w:val="24"/>
          <w:szCs w:val="24"/>
        </w:rPr>
        <w:t>语篇主题意义、语篇结构和作者情感和态度等，为学生阅读能力、思维品质和学习能力的发展奠定基础。</w:t>
      </w:r>
    </w:p>
    <w:p>
      <w:pPr>
        <w:pStyle w:val="6"/>
        <w:spacing w:line="360" w:lineRule="auto"/>
        <w:ind w:left="0" w:leftChars="0" w:firstLine="420" w:firstLineChars="0"/>
        <w:rPr>
          <w:rFonts w:hint="default" w:ascii="宋体" w:hAnsi="宋体" w:eastAsia="宋体"/>
          <w:sz w:val="24"/>
          <w:szCs w:val="24"/>
          <w:lang w:val="en-US" w:eastAsia="zh-CN"/>
        </w:rPr>
      </w:pPr>
    </w:p>
    <w:p>
      <w:pPr>
        <w:numPr>
          <w:ilvl w:val="0"/>
          <w:numId w:val="4"/>
        </w:numPr>
        <w:spacing w:line="360" w:lineRule="auto"/>
        <w:ind w:left="0" w:leftChars="0" w:firstLine="0" w:firstLineChars="0"/>
        <w:rPr>
          <w:rFonts w:hint="eastAsia" w:ascii="宋体" w:hAnsi="宋体" w:eastAsia="宋体"/>
          <w:b/>
          <w:bCs/>
          <w:sz w:val="24"/>
          <w:szCs w:val="24"/>
          <w:lang w:val="en-US" w:eastAsia="zh-CN"/>
        </w:rPr>
      </w:pPr>
      <w:r>
        <w:rPr>
          <w:rFonts w:hint="eastAsia" w:ascii="宋体" w:hAnsi="宋体" w:eastAsia="宋体"/>
          <w:b/>
          <w:bCs/>
          <w:sz w:val="24"/>
          <w:szCs w:val="24"/>
          <w:lang w:val="en-US" w:eastAsia="zh-CN"/>
        </w:rPr>
        <w:t>贯穿过程性评价，提升学生对主题意义的建构程度</w:t>
      </w:r>
    </w:p>
    <w:p>
      <w:pPr>
        <w:widowControl w:val="0"/>
        <w:numPr>
          <w:ilvl w:val="0"/>
          <w:numId w:val="0"/>
        </w:numPr>
        <w:spacing w:line="360" w:lineRule="auto"/>
        <w:ind w:firstLine="420" w:firstLineChars="0"/>
        <w:jc w:val="both"/>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在实施教学的过程中，教师要收集学生学习是否真正发生的证据，包括理解了什么、能表达什么、会做什么、以及是否形成了正确的价值观等，并给予过程性的评价，从而提升学生对单元主题意义的建构程度。过程性评价的目标应从对浅层文本理解的关注转向对深度阅读方式的关注，从对简单的信息获取转向对学生能力的关注；过程性评价应重视学生的评价主体意识，将学生评价和老师评价进行有机整合。评价的方式一般有课堂上的口语类评价（如口头回答、口头汇报等）、纸笔类评价（如随堂练习、书面作业）、操作表演类评价（如实验、角色扮演等），以及期中、期末考试的总结性评价</w:t>
      </w:r>
      <w:r>
        <w:rPr>
          <w:rFonts w:hint="default" w:ascii="宋体" w:hAnsi="宋体" w:eastAsia="宋体"/>
          <w:b w:val="0"/>
          <w:bCs w:val="0"/>
          <w:sz w:val="24"/>
          <w:szCs w:val="24"/>
          <w:vertAlign w:val="superscript"/>
          <w:lang w:val="en-US" w:eastAsia="zh-CN"/>
        </w:rPr>
        <w:t>[7]</w:t>
      </w:r>
      <w:r>
        <w:rPr>
          <w:rFonts w:hint="eastAsia" w:ascii="宋体" w:hAnsi="宋体" w:eastAsia="宋体"/>
          <w:b w:val="0"/>
          <w:bCs w:val="0"/>
          <w:sz w:val="24"/>
          <w:szCs w:val="24"/>
          <w:lang w:val="en-US" w:eastAsia="zh-CN"/>
        </w:rPr>
        <w:t>。在阅读教学过程中，教师可以不断收集学生主题意义建构的学习证据，譬如课堂中的简单问答、小组讨论、课后的写作任务、小组任务单等。通过及时获取学生的学习信息，教师可以了解学生的学习方式和专注度，及时发现学生在对本单元主题意义建构过程中的障碍，并采用老师反馈和同伴互助的方式帮助学生扫除障碍且搭建更为完善的结构化知识体系。譬如，</w:t>
      </w:r>
      <w:r>
        <w:rPr>
          <w:rFonts w:hint="default" w:ascii="Times New Roman Regular" w:hAnsi="Times New Roman Regular" w:eastAsia="宋体" w:cs="Times New Roman Regular"/>
          <w:b w:val="0"/>
          <w:bCs w:val="0"/>
          <w:sz w:val="24"/>
          <w:szCs w:val="24"/>
          <w:lang w:val="en-US" w:eastAsia="zh-CN"/>
        </w:rPr>
        <w:t>6A Unit 1 Great cities in Asia</w:t>
      </w:r>
      <w:r>
        <w:rPr>
          <w:rFonts w:hint="eastAsia" w:ascii="Times New Roman Regular" w:hAnsi="Times New Roman Regular" w:eastAsia="宋体" w:cs="Times New Roman Regular"/>
          <w:b w:val="0"/>
          <w:bCs w:val="0"/>
          <w:sz w:val="24"/>
          <w:szCs w:val="24"/>
          <w:lang w:val="en-US" w:eastAsia="zh-CN"/>
        </w:rPr>
        <w:t>老师在单元所有阅读篇目分析结束后，要求学生</w:t>
      </w:r>
      <w:r>
        <w:rPr>
          <w:rFonts w:hint="eastAsia" w:ascii="宋体" w:hAnsi="宋体" w:eastAsia="宋体"/>
          <w:b w:val="0"/>
          <w:bCs w:val="0"/>
          <w:sz w:val="24"/>
          <w:szCs w:val="24"/>
          <w:lang w:val="en-US" w:eastAsia="zh-CN"/>
        </w:rPr>
        <w:t>制作介绍某个城市的旅游宣传手册，并从内容、逻辑、语言、形式四个维度明确评价标准，采用同伴评价和老师评价的方式，如图5评价表所示。</w:t>
      </w:r>
    </w:p>
    <w:p>
      <w:pPr>
        <w:widowControl w:val="0"/>
        <w:numPr>
          <w:ilvl w:val="0"/>
          <w:numId w:val="0"/>
        </w:numPr>
        <w:spacing w:line="360" w:lineRule="auto"/>
        <w:jc w:val="both"/>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通过作品来评价学生对本单元主题意义的建构程度，通过同伴评价和老师评价进一步提升学生对主题意义的理解和探究。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4245"/>
        <w:gridCol w:w="1771"/>
        <w:gridCol w:w="1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3" w:type="dxa"/>
          </w:tcPr>
          <w:p>
            <w:pPr>
              <w:widowControl w:val="0"/>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评价项目</w:t>
            </w:r>
          </w:p>
        </w:tc>
        <w:tc>
          <w:tcPr>
            <w:tcW w:w="4245" w:type="dxa"/>
          </w:tcPr>
          <w:p>
            <w:pPr>
              <w:widowControl w:val="0"/>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评价标准描述</w:t>
            </w:r>
          </w:p>
        </w:tc>
        <w:tc>
          <w:tcPr>
            <w:tcW w:w="1771" w:type="dxa"/>
          </w:tcPr>
          <w:p>
            <w:pPr>
              <w:widowControl w:val="0"/>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同伴评价</w:t>
            </w:r>
          </w:p>
        </w:tc>
        <w:tc>
          <w:tcPr>
            <w:tcW w:w="1685" w:type="dxa"/>
          </w:tcPr>
          <w:p>
            <w:pPr>
              <w:widowControl w:val="0"/>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老师评价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3" w:type="dxa"/>
          </w:tcPr>
          <w:p>
            <w:pPr>
              <w:widowControl w:val="0"/>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内容</w:t>
            </w:r>
          </w:p>
        </w:tc>
        <w:tc>
          <w:tcPr>
            <w:tcW w:w="4245" w:type="dxa"/>
          </w:tcPr>
          <w:p>
            <w:pPr>
              <w:widowControl w:val="0"/>
              <w:numPr>
                <w:ilvl w:val="0"/>
                <w:numId w:val="6"/>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围绕中外某个重要城市展开（5分）</w:t>
            </w:r>
          </w:p>
          <w:p>
            <w:pPr>
              <w:widowControl w:val="0"/>
              <w:numPr>
                <w:ilvl w:val="0"/>
                <w:numId w:val="6"/>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从不同角度介绍著名城市（5分）</w:t>
            </w:r>
          </w:p>
          <w:p>
            <w:pPr>
              <w:widowControl w:val="0"/>
              <w:numPr>
                <w:ilvl w:val="0"/>
                <w:numId w:val="6"/>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体现出城市特色与风貌（5分）</w:t>
            </w:r>
          </w:p>
        </w:tc>
        <w:tc>
          <w:tcPr>
            <w:tcW w:w="1771" w:type="dxa"/>
          </w:tcPr>
          <w:p>
            <w:pPr>
              <w:widowControl w:val="0"/>
              <w:numPr>
                <w:ilvl w:val="0"/>
                <w:numId w:val="0"/>
              </w:numPr>
              <w:spacing w:line="360" w:lineRule="auto"/>
              <w:jc w:val="both"/>
              <w:rPr>
                <w:rFonts w:hint="eastAsia" w:ascii="宋体" w:hAnsi="宋体" w:eastAsia="宋体"/>
                <w:b w:val="0"/>
                <w:bCs w:val="0"/>
                <w:sz w:val="21"/>
                <w:szCs w:val="21"/>
                <w:vertAlign w:val="baseline"/>
                <w:lang w:val="en-US" w:eastAsia="zh-CN"/>
              </w:rPr>
            </w:pPr>
          </w:p>
        </w:tc>
        <w:tc>
          <w:tcPr>
            <w:tcW w:w="1685" w:type="dxa"/>
          </w:tcPr>
          <w:p>
            <w:pPr>
              <w:widowControl w:val="0"/>
              <w:numPr>
                <w:ilvl w:val="0"/>
                <w:numId w:val="0"/>
              </w:numPr>
              <w:spacing w:line="360" w:lineRule="auto"/>
              <w:jc w:val="both"/>
              <w:rPr>
                <w:rFonts w:hint="eastAsia" w:ascii="宋体" w:hAnsi="宋体" w:eastAsia="宋体"/>
                <w:b w:val="0"/>
                <w:bCs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3" w:type="dxa"/>
          </w:tcPr>
          <w:p>
            <w:pPr>
              <w:widowControl w:val="0"/>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逻辑</w:t>
            </w:r>
          </w:p>
        </w:tc>
        <w:tc>
          <w:tcPr>
            <w:tcW w:w="4245" w:type="dxa"/>
          </w:tcPr>
          <w:p>
            <w:pPr>
              <w:widowControl w:val="0"/>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不同角度都围绕城市的特色，介绍城市的积极形象（10分）</w:t>
            </w:r>
          </w:p>
        </w:tc>
        <w:tc>
          <w:tcPr>
            <w:tcW w:w="1771" w:type="dxa"/>
          </w:tcPr>
          <w:p>
            <w:pPr>
              <w:widowControl w:val="0"/>
              <w:numPr>
                <w:ilvl w:val="0"/>
                <w:numId w:val="0"/>
              </w:numPr>
              <w:spacing w:line="360" w:lineRule="auto"/>
              <w:jc w:val="both"/>
              <w:rPr>
                <w:rFonts w:hint="eastAsia" w:ascii="宋体" w:hAnsi="宋体" w:eastAsia="宋体"/>
                <w:b w:val="0"/>
                <w:bCs w:val="0"/>
                <w:sz w:val="21"/>
                <w:szCs w:val="21"/>
                <w:vertAlign w:val="baseline"/>
                <w:lang w:val="en-US" w:eastAsia="zh-CN"/>
              </w:rPr>
            </w:pPr>
          </w:p>
        </w:tc>
        <w:tc>
          <w:tcPr>
            <w:tcW w:w="1685" w:type="dxa"/>
          </w:tcPr>
          <w:p>
            <w:pPr>
              <w:widowControl w:val="0"/>
              <w:numPr>
                <w:ilvl w:val="0"/>
                <w:numId w:val="0"/>
              </w:numPr>
              <w:spacing w:line="360" w:lineRule="auto"/>
              <w:jc w:val="both"/>
              <w:rPr>
                <w:rFonts w:hint="eastAsia" w:ascii="宋体" w:hAnsi="宋体" w:eastAsia="宋体"/>
                <w:b w:val="0"/>
                <w:bCs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3" w:type="dxa"/>
          </w:tcPr>
          <w:p>
            <w:pPr>
              <w:widowControl w:val="0"/>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语言</w:t>
            </w:r>
          </w:p>
        </w:tc>
        <w:tc>
          <w:tcPr>
            <w:tcW w:w="4245" w:type="dxa"/>
          </w:tcPr>
          <w:p>
            <w:pPr>
              <w:widowControl w:val="0"/>
              <w:numPr>
                <w:ilvl w:val="0"/>
                <w:numId w:val="7"/>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语言准确（5分）</w:t>
            </w:r>
          </w:p>
          <w:p>
            <w:pPr>
              <w:widowControl w:val="0"/>
              <w:numPr>
                <w:ilvl w:val="0"/>
                <w:numId w:val="7"/>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词汇丰富（5分）</w:t>
            </w:r>
          </w:p>
          <w:p>
            <w:pPr>
              <w:widowControl w:val="0"/>
              <w:numPr>
                <w:ilvl w:val="0"/>
                <w:numId w:val="7"/>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句式多样（5分）</w:t>
            </w:r>
          </w:p>
        </w:tc>
        <w:tc>
          <w:tcPr>
            <w:tcW w:w="1771" w:type="dxa"/>
          </w:tcPr>
          <w:p>
            <w:pPr>
              <w:widowControl w:val="0"/>
              <w:numPr>
                <w:ilvl w:val="0"/>
                <w:numId w:val="0"/>
              </w:numPr>
              <w:spacing w:line="360" w:lineRule="auto"/>
              <w:jc w:val="both"/>
              <w:rPr>
                <w:rFonts w:hint="eastAsia" w:ascii="宋体" w:hAnsi="宋体" w:eastAsia="宋体"/>
                <w:b w:val="0"/>
                <w:bCs w:val="0"/>
                <w:sz w:val="21"/>
                <w:szCs w:val="21"/>
                <w:vertAlign w:val="baseline"/>
                <w:lang w:val="en-US" w:eastAsia="zh-CN"/>
              </w:rPr>
            </w:pPr>
          </w:p>
        </w:tc>
        <w:tc>
          <w:tcPr>
            <w:tcW w:w="1685" w:type="dxa"/>
          </w:tcPr>
          <w:p>
            <w:pPr>
              <w:widowControl w:val="0"/>
              <w:numPr>
                <w:ilvl w:val="0"/>
                <w:numId w:val="0"/>
              </w:numPr>
              <w:spacing w:line="360" w:lineRule="auto"/>
              <w:jc w:val="both"/>
              <w:rPr>
                <w:rFonts w:hint="eastAsia" w:ascii="宋体" w:hAnsi="宋体" w:eastAsia="宋体"/>
                <w:b w:val="0"/>
                <w:bCs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3" w:type="dxa"/>
          </w:tcPr>
          <w:p>
            <w:pPr>
              <w:widowControl w:val="0"/>
              <w:numPr>
                <w:ilvl w:val="0"/>
                <w:numId w:val="0"/>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形式</w:t>
            </w:r>
          </w:p>
        </w:tc>
        <w:tc>
          <w:tcPr>
            <w:tcW w:w="4245" w:type="dxa"/>
          </w:tcPr>
          <w:p>
            <w:pPr>
              <w:widowControl w:val="0"/>
              <w:numPr>
                <w:ilvl w:val="0"/>
                <w:numId w:val="8"/>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符合宣传手册的基本特征（5分）</w:t>
            </w:r>
          </w:p>
          <w:p>
            <w:pPr>
              <w:widowControl w:val="0"/>
              <w:numPr>
                <w:ilvl w:val="0"/>
                <w:numId w:val="8"/>
              </w:numPr>
              <w:spacing w:line="360" w:lineRule="auto"/>
              <w:jc w:val="both"/>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设计美观大方（5分）</w:t>
            </w:r>
          </w:p>
        </w:tc>
        <w:tc>
          <w:tcPr>
            <w:tcW w:w="1771" w:type="dxa"/>
          </w:tcPr>
          <w:p>
            <w:pPr>
              <w:widowControl w:val="0"/>
              <w:numPr>
                <w:ilvl w:val="0"/>
                <w:numId w:val="0"/>
              </w:numPr>
              <w:spacing w:line="360" w:lineRule="auto"/>
              <w:jc w:val="both"/>
              <w:rPr>
                <w:rFonts w:hint="eastAsia" w:ascii="宋体" w:hAnsi="宋体" w:eastAsia="宋体"/>
                <w:b w:val="0"/>
                <w:bCs w:val="0"/>
                <w:sz w:val="21"/>
                <w:szCs w:val="21"/>
                <w:vertAlign w:val="baseline"/>
                <w:lang w:val="en-US" w:eastAsia="zh-CN"/>
              </w:rPr>
            </w:pPr>
          </w:p>
        </w:tc>
        <w:tc>
          <w:tcPr>
            <w:tcW w:w="1685" w:type="dxa"/>
          </w:tcPr>
          <w:p>
            <w:pPr>
              <w:widowControl w:val="0"/>
              <w:numPr>
                <w:ilvl w:val="0"/>
                <w:numId w:val="0"/>
              </w:numPr>
              <w:spacing w:line="360" w:lineRule="auto"/>
              <w:jc w:val="both"/>
              <w:rPr>
                <w:rFonts w:hint="eastAsia" w:ascii="宋体" w:hAnsi="宋体" w:eastAsia="宋体"/>
                <w:b w:val="0"/>
                <w:bCs w:val="0"/>
                <w:sz w:val="21"/>
                <w:szCs w:val="21"/>
                <w:vertAlign w:val="baseline"/>
                <w:lang w:val="en-US" w:eastAsia="zh-CN"/>
              </w:rPr>
            </w:pPr>
          </w:p>
        </w:tc>
      </w:tr>
    </w:tbl>
    <w:p>
      <w:pPr>
        <w:widowControl w:val="0"/>
        <w:numPr>
          <w:ilvl w:val="0"/>
          <w:numId w:val="0"/>
        </w:numPr>
        <w:spacing w:line="360" w:lineRule="auto"/>
        <w:ind w:firstLine="420" w:firstLineChars="0"/>
        <w:jc w:val="center"/>
        <w:rPr>
          <w:rFonts w:hint="default" w:ascii="宋体" w:hAnsi="宋体" w:eastAsia="宋体"/>
          <w:b/>
          <w:bCs/>
          <w:sz w:val="24"/>
          <w:szCs w:val="24"/>
          <w:lang w:val="en-US" w:eastAsia="zh-CN"/>
        </w:rPr>
      </w:pPr>
      <w:r>
        <w:rPr>
          <w:rFonts w:hint="eastAsia" w:ascii="宋体" w:hAnsi="宋体" w:eastAsia="宋体"/>
          <w:b/>
          <w:bCs/>
          <w:sz w:val="24"/>
          <w:szCs w:val="24"/>
          <w:lang w:val="en-US" w:eastAsia="zh-CN"/>
        </w:rPr>
        <w:t>图5   城市旅游宣传手册评价表</w:t>
      </w:r>
    </w:p>
    <w:p>
      <w:pPr>
        <w:spacing w:line="360" w:lineRule="auto"/>
        <w:rPr>
          <w:rFonts w:ascii="宋体" w:hAnsi="宋体" w:eastAsia="宋体"/>
          <w:b/>
          <w:bCs/>
          <w:sz w:val="24"/>
          <w:szCs w:val="24"/>
        </w:rPr>
      </w:pPr>
      <w:r>
        <w:rPr>
          <w:rFonts w:hint="eastAsia" w:ascii="宋体" w:hAnsi="宋体" w:eastAsia="宋体"/>
          <w:b/>
          <w:bCs/>
          <w:sz w:val="24"/>
          <w:szCs w:val="24"/>
          <w:lang w:val="en-US" w:eastAsia="zh-CN"/>
        </w:rPr>
        <w:t>三</w:t>
      </w:r>
      <w:r>
        <w:rPr>
          <w:rFonts w:hint="eastAsia" w:ascii="宋体" w:hAnsi="宋体" w:eastAsia="宋体"/>
          <w:b/>
          <w:bCs/>
          <w:sz w:val="24"/>
          <w:szCs w:val="24"/>
        </w:rPr>
        <w:t>、总结与思考</w:t>
      </w:r>
    </w:p>
    <w:p>
      <w:pPr>
        <w:spacing w:line="360" w:lineRule="auto"/>
        <w:rPr>
          <w:rFonts w:hint="eastAsia" w:ascii="宋体" w:hAnsi="宋体" w:eastAsia="宋体"/>
          <w:sz w:val="24"/>
          <w:szCs w:val="24"/>
          <w:lang w:val="en-US" w:eastAsia="zh-CN"/>
        </w:rPr>
      </w:pPr>
      <w:r>
        <w:rPr>
          <w:rFonts w:ascii="宋体" w:hAnsi="宋体" w:eastAsia="宋体"/>
          <w:sz w:val="24"/>
          <w:szCs w:val="24"/>
        </w:rPr>
        <w:tab/>
      </w:r>
      <w:r>
        <w:rPr>
          <w:rFonts w:hint="eastAsia" w:ascii="宋体" w:hAnsi="宋体" w:eastAsia="宋体"/>
          <w:sz w:val="24"/>
          <w:szCs w:val="24"/>
        </w:rPr>
        <w:t>基于单元主题意义的英语深度阅读教学要求老师站在单元整体教学的高度审视阅读</w:t>
      </w:r>
      <w:r>
        <w:rPr>
          <w:rFonts w:hint="eastAsia" w:ascii="宋体" w:hAnsi="宋体" w:eastAsia="宋体"/>
          <w:sz w:val="24"/>
          <w:szCs w:val="24"/>
          <w:lang w:val="en-US" w:eastAsia="zh-CN"/>
        </w:rPr>
        <w:t>语篇</w:t>
      </w:r>
      <w:r>
        <w:rPr>
          <w:rFonts w:hint="eastAsia" w:ascii="宋体" w:hAnsi="宋体" w:eastAsia="宋体"/>
          <w:sz w:val="24"/>
          <w:szCs w:val="24"/>
        </w:rPr>
        <w:t>，以语篇为载体，以目标设计为导向，以</w:t>
      </w:r>
      <w:r>
        <w:rPr>
          <w:rFonts w:hint="eastAsia" w:ascii="宋体" w:hAnsi="宋体" w:eastAsia="宋体"/>
          <w:sz w:val="24"/>
          <w:szCs w:val="24"/>
          <w:lang w:val="en-US" w:eastAsia="zh-CN"/>
        </w:rPr>
        <w:t>深度阅读</w:t>
      </w:r>
      <w:r>
        <w:rPr>
          <w:rFonts w:hint="eastAsia" w:ascii="宋体" w:hAnsi="宋体" w:eastAsia="宋体"/>
          <w:sz w:val="24"/>
          <w:szCs w:val="24"/>
        </w:rPr>
        <w:t>活动为路径，以有效评价为保障，促进学生深入探究单元主题意义，理解主题意义下的语篇，</w:t>
      </w:r>
      <w:r>
        <w:rPr>
          <w:rFonts w:hint="eastAsia" w:ascii="宋体" w:hAnsi="宋体" w:eastAsia="宋体"/>
          <w:sz w:val="24"/>
          <w:szCs w:val="24"/>
          <w:lang w:val="en-US" w:eastAsia="zh-CN"/>
        </w:rPr>
        <w:t>帮助学生形成单元视角下语言、文化和思维有机整合的知识体系。学生在深度参与到单元主题的深度阅读体验中，能够建构结构化的知识，深化对主题的认知，提高语言能力，发展思维品质，也能够增加对主题阅读的兴趣。</w:t>
      </w:r>
    </w:p>
    <w:p>
      <w:pPr>
        <w:spacing w:line="360" w:lineRule="auto"/>
        <w:rPr>
          <w:rFonts w:hint="eastAsia" w:ascii="宋体" w:hAnsi="宋体" w:eastAsia="宋体"/>
          <w:sz w:val="24"/>
          <w:szCs w:val="24"/>
          <w:lang w:val="en-US" w:eastAsia="zh-CN"/>
        </w:rPr>
      </w:pPr>
    </w:p>
    <w:p>
      <w:pPr>
        <w:spacing w:line="360" w:lineRule="auto"/>
        <w:rPr>
          <w:rFonts w:hint="eastAsia" w:ascii="宋体" w:hAnsi="宋体" w:eastAsia="宋体"/>
          <w:b/>
          <w:bCs/>
          <w:sz w:val="22"/>
          <w:szCs w:val="22"/>
          <w:lang w:val="en-US" w:eastAsia="zh-CN"/>
        </w:rPr>
      </w:pPr>
      <w:r>
        <w:rPr>
          <w:rFonts w:hint="eastAsia" w:ascii="宋体" w:hAnsi="宋体" w:eastAsia="宋体"/>
          <w:b/>
          <w:bCs/>
          <w:sz w:val="22"/>
          <w:szCs w:val="22"/>
          <w:lang w:val="en-US" w:eastAsia="zh-CN"/>
        </w:rPr>
        <w:t>参考文献：</w:t>
      </w:r>
    </w:p>
    <w:p>
      <w:pPr>
        <w:numPr>
          <w:ilvl w:val="0"/>
          <w:numId w:val="9"/>
        </w:numPr>
        <w:spacing w:line="360" w:lineRule="auto"/>
        <w:rPr>
          <w:rFonts w:ascii="Times New Roman" w:hAnsi="Times New Roman" w:eastAsia="宋体" w:cs="Times New Roman"/>
          <w:b w:val="0"/>
          <w:bCs w:val="0"/>
          <w:sz w:val="21"/>
          <w:szCs w:val="21"/>
        </w:rPr>
      </w:pPr>
      <w:r>
        <w:rPr>
          <w:rFonts w:hint="eastAsia" w:ascii="Times New Roman" w:hAnsi="Times New Roman" w:eastAsia="宋体" w:cs="Times New Roman"/>
          <w:sz w:val="21"/>
          <w:szCs w:val="21"/>
          <w:lang w:val="en-US" w:eastAsia="zh-CN"/>
        </w:rPr>
        <w:t>中华人民共和国教育部</w:t>
      </w:r>
      <w:r>
        <w:rPr>
          <w:rFonts w:hint="default"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lang w:val="en-US" w:eastAsia="zh-CN"/>
        </w:rPr>
        <w:t>义</w:t>
      </w:r>
      <w:r>
        <w:rPr>
          <w:rFonts w:hint="eastAsia" w:ascii="Times New Roman" w:hAnsi="Times New Roman" w:eastAsia="宋体" w:cs="Times New Roman"/>
          <w:sz w:val="21"/>
          <w:szCs w:val="21"/>
        </w:rPr>
        <w:t>务教育英语课程标准（2</w:t>
      </w:r>
      <w:r>
        <w:rPr>
          <w:rFonts w:ascii="Times New Roman" w:hAnsi="Times New Roman" w:eastAsia="宋体" w:cs="Times New Roman"/>
          <w:sz w:val="21"/>
          <w:szCs w:val="21"/>
        </w:rPr>
        <w:t>022</w:t>
      </w:r>
      <w:r>
        <w:rPr>
          <w:rFonts w:hint="eastAsia" w:ascii="Times New Roman" w:hAnsi="Times New Roman" w:eastAsia="宋体" w:cs="Times New Roman"/>
          <w:sz w:val="21"/>
          <w:szCs w:val="21"/>
        </w:rPr>
        <w:t>年版）</w:t>
      </w:r>
      <w:r>
        <w:rPr>
          <w:rFonts w:hint="default" w:ascii="Times New Roman" w:hAnsi="Times New Roman" w:eastAsia="宋体" w:cs="Times New Roman"/>
          <w:sz w:val="21"/>
          <w:szCs w:val="21"/>
          <w:lang w:val="en-US"/>
        </w:rPr>
        <w:t>[S]</w:t>
      </w:r>
      <w:r>
        <w:rPr>
          <w:rFonts w:hint="eastAsia" w:ascii="Times New Roman" w:hAnsi="Times New Roman" w:eastAsia="宋体" w:cs="Times New Roman"/>
          <w:sz w:val="21"/>
          <w:szCs w:val="21"/>
        </w:rPr>
        <w:t>，</w:t>
      </w:r>
      <w:r>
        <w:rPr>
          <w:rFonts w:hint="eastAsia" w:ascii="Times New Roman" w:hAnsi="Times New Roman" w:eastAsia="宋体" w:cs="Times New Roman"/>
          <w:sz w:val="21"/>
          <w:szCs w:val="21"/>
          <w:lang w:val="en-US" w:eastAsia="zh-CN"/>
        </w:rPr>
        <w:t>北京：</w:t>
      </w:r>
      <w:r>
        <w:rPr>
          <w:rFonts w:hint="eastAsia" w:ascii="Times New Roman" w:hAnsi="Times New Roman" w:eastAsia="宋体" w:cs="Times New Roman"/>
          <w:sz w:val="21"/>
          <w:szCs w:val="21"/>
        </w:rPr>
        <w:t>北京师范大学出版社，2</w:t>
      </w:r>
      <w:r>
        <w:rPr>
          <w:rFonts w:ascii="Times New Roman" w:hAnsi="Times New Roman" w:eastAsia="宋体" w:cs="Times New Roman"/>
          <w:sz w:val="21"/>
          <w:szCs w:val="21"/>
        </w:rPr>
        <w:t>022</w:t>
      </w:r>
      <w:r>
        <w:rPr>
          <w:rFonts w:hint="eastAsia" w:ascii="Times New Roman" w:hAnsi="Times New Roman" w:eastAsia="宋体" w:cs="Times New Roman"/>
          <w:sz w:val="21"/>
          <w:szCs w:val="21"/>
        </w:rPr>
        <w:t>年</w:t>
      </w:r>
      <w:r>
        <w:rPr>
          <w:rFonts w:hint="default" w:ascii="Times New Roman" w:hAnsi="Times New Roman" w:eastAsia="宋体" w:cs="Times New Roman"/>
          <w:sz w:val="21"/>
          <w:szCs w:val="21"/>
          <w:lang w:val="en-US"/>
        </w:rPr>
        <w:t>.</w:t>
      </w:r>
    </w:p>
    <w:p>
      <w:pPr>
        <w:numPr>
          <w:ilvl w:val="0"/>
          <w:numId w:val="9"/>
        </w:numPr>
        <w:spacing w:line="360" w:lineRule="auto"/>
        <w:rPr>
          <w:rFonts w:ascii="Times New Roman" w:hAnsi="Times New Roman" w:eastAsia="宋体" w:cs="Times New Roman"/>
          <w:b w:val="0"/>
          <w:bCs w:val="0"/>
          <w:sz w:val="21"/>
          <w:szCs w:val="21"/>
        </w:rPr>
      </w:pPr>
      <w:r>
        <w:rPr>
          <w:rFonts w:hint="eastAsia" w:ascii="Times New Roman" w:hAnsi="Times New Roman" w:eastAsia="宋体" w:cs="Times New Roman"/>
          <w:b w:val="0"/>
          <w:bCs w:val="0"/>
          <w:sz w:val="21"/>
          <w:szCs w:val="21"/>
          <w:lang w:val="en-US" w:eastAsia="zh-CN"/>
        </w:rPr>
        <w:t>祁琪，徐国辉，郭颖</w:t>
      </w:r>
      <w:r>
        <w:rPr>
          <w:rFonts w:hint="default" w:ascii="Times New Roman" w:hAnsi="Times New Roman" w:eastAsia="宋体" w:cs="Times New Roman"/>
          <w:b w:val="0"/>
          <w:bCs w:val="0"/>
          <w:sz w:val="21"/>
          <w:szCs w:val="21"/>
          <w:lang w:val="en-US" w:eastAsia="zh-CN"/>
        </w:rPr>
        <w:t xml:space="preserve">. </w:t>
      </w:r>
      <w:r>
        <w:rPr>
          <w:rFonts w:hint="eastAsia" w:ascii="Times New Roman" w:hAnsi="Times New Roman" w:eastAsia="宋体" w:cs="Times New Roman"/>
          <w:b w:val="0"/>
          <w:bCs w:val="0"/>
          <w:sz w:val="21"/>
          <w:szCs w:val="21"/>
          <w:lang w:val="en-US" w:eastAsia="zh-CN"/>
        </w:rPr>
        <w:t>聚焦主题意义的初中英语深度阅读教学策略例析</w:t>
      </w:r>
      <w:r>
        <w:rPr>
          <w:rFonts w:hint="default" w:ascii="Times New Roman" w:hAnsi="Times New Roman" w:eastAsia="宋体" w:cs="Times New Roman"/>
          <w:b w:val="0"/>
          <w:bCs w:val="0"/>
          <w:sz w:val="21"/>
          <w:szCs w:val="21"/>
          <w:lang w:val="en-US" w:eastAsia="zh-CN"/>
        </w:rPr>
        <w:t xml:space="preserve">[J]. </w:t>
      </w:r>
      <w:r>
        <w:rPr>
          <w:rFonts w:hint="eastAsia" w:ascii="Times New Roman" w:hAnsi="Times New Roman" w:eastAsia="宋体" w:cs="Times New Roman"/>
          <w:b w:val="0"/>
          <w:bCs w:val="0"/>
          <w:sz w:val="21"/>
          <w:szCs w:val="21"/>
          <w:lang w:val="en-US" w:eastAsia="zh-CN"/>
        </w:rPr>
        <w:t>中学外语教与学</w:t>
      </w:r>
      <w:r>
        <w:rPr>
          <w:rFonts w:hint="default" w:ascii="Times New Roman" w:hAnsi="Times New Roman" w:eastAsia="宋体" w:cs="Times New Roman"/>
          <w:b w:val="0"/>
          <w:bCs w:val="0"/>
          <w:sz w:val="21"/>
          <w:szCs w:val="21"/>
          <w:lang w:val="en-US" w:eastAsia="zh-CN"/>
        </w:rPr>
        <w:t xml:space="preserve">, </w:t>
      </w:r>
      <w:r>
        <w:rPr>
          <w:rFonts w:hint="eastAsia" w:ascii="Times New Roman" w:hAnsi="Times New Roman" w:eastAsia="宋体" w:cs="Times New Roman"/>
          <w:b w:val="0"/>
          <w:bCs w:val="0"/>
          <w:sz w:val="21"/>
          <w:szCs w:val="21"/>
          <w:lang w:val="en-US" w:eastAsia="zh-CN"/>
        </w:rPr>
        <w:t>2023版第3期</w:t>
      </w:r>
      <w:r>
        <w:rPr>
          <w:rFonts w:hint="default" w:ascii="Times New Roman" w:hAnsi="Times New Roman" w:eastAsia="宋体" w:cs="Times New Roman"/>
          <w:b w:val="0"/>
          <w:bCs w:val="0"/>
          <w:sz w:val="21"/>
          <w:szCs w:val="21"/>
          <w:lang w:val="en-US" w:eastAsia="zh-CN"/>
        </w:rPr>
        <w:t>: 35-42.</w:t>
      </w:r>
    </w:p>
    <w:p>
      <w:pPr>
        <w:numPr>
          <w:ilvl w:val="0"/>
          <w:numId w:val="9"/>
        </w:numPr>
        <w:spacing w:line="360" w:lineRule="auto"/>
        <w:ind w:left="0" w:leftChars="0" w:firstLine="0" w:firstLineChars="0"/>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赵尚华</w:t>
      </w:r>
      <w:r>
        <w:rPr>
          <w:rFonts w:hint="default"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lang w:val="en-US" w:eastAsia="zh-CN"/>
        </w:rPr>
        <w:t>指向核心素养的初中英语教学关键问题解析</w:t>
      </w:r>
      <w:r>
        <w:rPr>
          <w:rFonts w:hint="default"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lang w:val="en-US" w:eastAsia="zh-CN"/>
        </w:rPr>
        <w:t>北京：高等教育出版社，2024年。</w:t>
      </w:r>
    </w:p>
    <w:p>
      <w:pPr>
        <w:numPr>
          <w:ilvl w:val="0"/>
          <w:numId w:val="9"/>
        </w:numPr>
        <w:spacing w:line="360" w:lineRule="auto"/>
        <w:rPr>
          <w:rFonts w:ascii="Times New Roman" w:hAnsi="Times New Roman" w:eastAsia="宋体" w:cs="Times New Roman"/>
          <w:b w:val="0"/>
          <w:bCs w:val="0"/>
          <w:sz w:val="21"/>
          <w:szCs w:val="21"/>
        </w:rPr>
      </w:pPr>
      <w:r>
        <w:rPr>
          <w:rFonts w:hint="eastAsia" w:ascii="Times New Roman" w:hAnsi="Times New Roman" w:eastAsia="宋体" w:cs="Times New Roman"/>
          <w:sz w:val="21"/>
          <w:szCs w:val="21"/>
          <w:lang w:val="en-US" w:eastAsia="zh-CN"/>
        </w:rPr>
        <w:t>刘畅</w:t>
      </w:r>
      <w:r>
        <w:rPr>
          <w:rFonts w:hint="default" w:ascii="Times New Roman" w:hAnsi="Times New Roman" w:eastAsia="宋体" w:cs="Times New Roman"/>
          <w:sz w:val="21"/>
          <w:szCs w:val="21"/>
          <w:lang w:val="en-US" w:eastAsia="zh-CN"/>
        </w:rPr>
        <w:t>.</w:t>
      </w:r>
      <w:r>
        <w:rPr>
          <w:rFonts w:hint="eastAsia" w:ascii="Times New Roman" w:hAnsi="Times New Roman" w:eastAsia="宋体" w:cs="Times New Roman"/>
          <w:sz w:val="21"/>
          <w:szCs w:val="21"/>
          <w:lang w:val="en-US" w:eastAsia="zh-CN"/>
        </w:rPr>
        <w:t xml:space="preserve"> 基于学科大观念的初中英语单元整体教学设计</w:t>
      </w:r>
      <w:r>
        <w:rPr>
          <w:rFonts w:hint="default" w:ascii="Times New Roman" w:hAnsi="Times New Roman" w:eastAsia="宋体" w:cs="Times New Roman"/>
          <w:sz w:val="21"/>
          <w:szCs w:val="21"/>
          <w:lang w:val="en-US" w:eastAsia="zh-CN"/>
        </w:rPr>
        <w:t xml:space="preserve">[J]. </w:t>
      </w:r>
      <w:r>
        <w:rPr>
          <w:rFonts w:hint="eastAsia" w:ascii="Times New Roman" w:hAnsi="Times New Roman" w:eastAsia="宋体" w:cs="Times New Roman"/>
          <w:b w:val="0"/>
          <w:bCs w:val="0"/>
          <w:sz w:val="21"/>
          <w:szCs w:val="21"/>
          <w:lang w:val="en-US" w:eastAsia="zh-CN"/>
        </w:rPr>
        <w:t>中学外语教与学</w:t>
      </w:r>
      <w:r>
        <w:rPr>
          <w:rFonts w:hint="default" w:ascii="Times New Roman" w:hAnsi="Times New Roman" w:eastAsia="宋体" w:cs="Times New Roman"/>
          <w:b w:val="0"/>
          <w:bCs w:val="0"/>
          <w:sz w:val="21"/>
          <w:szCs w:val="21"/>
          <w:lang w:val="en-US" w:eastAsia="zh-CN"/>
        </w:rPr>
        <w:t xml:space="preserve">, </w:t>
      </w:r>
      <w:r>
        <w:rPr>
          <w:rFonts w:hint="eastAsia" w:ascii="Times New Roman" w:hAnsi="Times New Roman" w:eastAsia="宋体" w:cs="Times New Roman"/>
          <w:b w:val="0"/>
          <w:bCs w:val="0"/>
          <w:sz w:val="21"/>
          <w:szCs w:val="21"/>
          <w:lang w:val="en-US" w:eastAsia="zh-CN"/>
        </w:rPr>
        <w:t>2023版第</w:t>
      </w:r>
      <w:r>
        <w:rPr>
          <w:rFonts w:hint="default" w:ascii="Times New Roman" w:hAnsi="Times New Roman" w:eastAsia="宋体" w:cs="Times New Roman"/>
          <w:b w:val="0"/>
          <w:bCs w:val="0"/>
          <w:sz w:val="21"/>
          <w:szCs w:val="21"/>
          <w:lang w:val="en-US" w:eastAsia="zh-CN"/>
        </w:rPr>
        <w:t>7</w:t>
      </w:r>
      <w:r>
        <w:rPr>
          <w:rFonts w:hint="eastAsia" w:ascii="Times New Roman" w:hAnsi="Times New Roman" w:eastAsia="宋体" w:cs="Times New Roman"/>
          <w:b w:val="0"/>
          <w:bCs w:val="0"/>
          <w:sz w:val="21"/>
          <w:szCs w:val="21"/>
          <w:lang w:val="en-US" w:eastAsia="zh-CN"/>
        </w:rPr>
        <w:t>期</w:t>
      </w:r>
      <w:r>
        <w:rPr>
          <w:rFonts w:hint="default" w:ascii="Times New Roman" w:hAnsi="Times New Roman" w:eastAsia="宋体" w:cs="Times New Roman"/>
          <w:b w:val="0"/>
          <w:bCs w:val="0"/>
          <w:sz w:val="21"/>
          <w:szCs w:val="21"/>
          <w:lang w:val="en-US" w:eastAsia="zh-CN"/>
        </w:rPr>
        <w:t>: 14-19.</w:t>
      </w:r>
    </w:p>
    <w:p>
      <w:pPr>
        <w:numPr>
          <w:ilvl w:val="0"/>
          <w:numId w:val="9"/>
        </w:numPr>
        <w:spacing w:line="360" w:lineRule="auto"/>
        <w:rPr>
          <w:rFonts w:ascii="Times New Roman" w:hAnsi="Times New Roman" w:eastAsia="宋体" w:cs="Times New Roman"/>
          <w:b w:val="0"/>
          <w:bCs w:val="0"/>
          <w:sz w:val="21"/>
          <w:szCs w:val="21"/>
        </w:rPr>
      </w:pPr>
      <w:r>
        <w:rPr>
          <w:rFonts w:hint="eastAsia" w:ascii="Times New Roman" w:hAnsi="Times New Roman" w:eastAsia="宋体" w:cs="Times New Roman"/>
          <w:sz w:val="21"/>
          <w:szCs w:val="21"/>
          <w:lang w:val="en-US" w:eastAsia="zh-CN"/>
        </w:rPr>
        <w:t>许淼淼</w:t>
      </w:r>
      <w:r>
        <w:rPr>
          <w:rFonts w:hint="default"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lang w:val="en-US" w:eastAsia="zh-CN"/>
        </w:rPr>
        <w:t>基于主题意义探究的单元拓展阅读教学</w:t>
      </w:r>
      <w:r>
        <w:rPr>
          <w:rFonts w:hint="default" w:ascii="Times New Roman" w:hAnsi="Times New Roman" w:eastAsia="宋体" w:cs="Times New Roman"/>
          <w:sz w:val="21"/>
          <w:szCs w:val="21"/>
          <w:lang w:val="en-US" w:eastAsia="zh-CN"/>
        </w:rPr>
        <w:t xml:space="preserve">[J]. </w:t>
      </w:r>
      <w:r>
        <w:rPr>
          <w:rFonts w:hint="eastAsia" w:ascii="Times New Roman" w:hAnsi="Times New Roman" w:eastAsia="宋体" w:cs="Times New Roman"/>
          <w:b w:val="0"/>
          <w:bCs w:val="0"/>
          <w:sz w:val="21"/>
          <w:szCs w:val="21"/>
          <w:lang w:val="en-US" w:eastAsia="zh-CN"/>
        </w:rPr>
        <w:t>中学外语教与学</w:t>
      </w:r>
      <w:r>
        <w:rPr>
          <w:rFonts w:hint="default" w:ascii="Times New Roman" w:hAnsi="Times New Roman" w:eastAsia="宋体" w:cs="Times New Roman"/>
          <w:b w:val="0"/>
          <w:bCs w:val="0"/>
          <w:sz w:val="21"/>
          <w:szCs w:val="21"/>
          <w:lang w:val="en-US" w:eastAsia="zh-CN"/>
        </w:rPr>
        <w:t xml:space="preserve">, </w:t>
      </w:r>
      <w:r>
        <w:rPr>
          <w:rFonts w:hint="eastAsia" w:ascii="Times New Roman" w:hAnsi="Times New Roman" w:eastAsia="宋体" w:cs="Times New Roman"/>
          <w:b w:val="0"/>
          <w:bCs w:val="0"/>
          <w:sz w:val="21"/>
          <w:szCs w:val="21"/>
          <w:lang w:val="en-US" w:eastAsia="zh-CN"/>
        </w:rPr>
        <w:t>2023版第</w:t>
      </w:r>
      <w:r>
        <w:rPr>
          <w:rFonts w:hint="default" w:ascii="Times New Roman" w:hAnsi="Times New Roman" w:eastAsia="宋体" w:cs="Times New Roman"/>
          <w:b w:val="0"/>
          <w:bCs w:val="0"/>
          <w:sz w:val="21"/>
          <w:szCs w:val="21"/>
          <w:lang w:val="en-US" w:eastAsia="zh-CN"/>
        </w:rPr>
        <w:t>2</w:t>
      </w:r>
      <w:r>
        <w:rPr>
          <w:rFonts w:hint="eastAsia" w:ascii="Times New Roman" w:hAnsi="Times New Roman" w:eastAsia="宋体" w:cs="Times New Roman"/>
          <w:b w:val="0"/>
          <w:bCs w:val="0"/>
          <w:sz w:val="21"/>
          <w:szCs w:val="21"/>
          <w:lang w:val="en-US" w:eastAsia="zh-CN"/>
        </w:rPr>
        <w:t>期</w:t>
      </w:r>
      <w:r>
        <w:rPr>
          <w:rFonts w:hint="default" w:ascii="Times New Roman" w:hAnsi="Times New Roman" w:eastAsia="宋体" w:cs="Times New Roman"/>
          <w:b w:val="0"/>
          <w:bCs w:val="0"/>
          <w:sz w:val="21"/>
          <w:szCs w:val="21"/>
          <w:lang w:val="en-US" w:eastAsia="zh-CN"/>
        </w:rPr>
        <w:t>: 47-50.</w:t>
      </w:r>
    </w:p>
    <w:p>
      <w:pPr>
        <w:numPr>
          <w:ilvl w:val="0"/>
          <w:numId w:val="9"/>
        </w:numPr>
        <w:spacing w:line="360" w:lineRule="auto"/>
        <w:ind w:left="0" w:leftChars="0" w:firstLine="0" w:firstLineChars="0"/>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赵尚华</w:t>
      </w:r>
      <w:r>
        <w:rPr>
          <w:rFonts w:hint="default"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lang w:val="en-US" w:eastAsia="zh-CN"/>
        </w:rPr>
        <w:t>指向核心素养的初中英语教学关键问题解析</w:t>
      </w:r>
      <w:r>
        <w:rPr>
          <w:rFonts w:hint="default"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lang w:val="en-US" w:eastAsia="zh-CN"/>
        </w:rPr>
        <w:t>北京：高等教育出版社，2024年。</w:t>
      </w:r>
    </w:p>
    <w:p>
      <w:pPr>
        <w:numPr>
          <w:ilvl w:val="0"/>
          <w:numId w:val="9"/>
        </w:numPr>
        <w:spacing w:line="360" w:lineRule="auto"/>
        <w:ind w:left="0" w:leftChars="0" w:firstLine="0" w:firstLineChars="0"/>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崔允漷，王少非，杨澄宇等</w:t>
      </w:r>
      <w:r>
        <w:rPr>
          <w:rFonts w:hint="default"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lang w:val="en-US" w:eastAsia="zh-CN"/>
        </w:rPr>
        <w:t>新课程关键词.</w:t>
      </w:r>
      <w:r>
        <w:rPr>
          <w:rFonts w:hint="default"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lang w:val="en-US" w:eastAsia="zh-CN"/>
        </w:rPr>
        <w:t>北京：教育科学出版社，2023年。</w:t>
      </w:r>
    </w:p>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imSong Regular">
    <w:altName w:val="宋体"/>
    <w:panose1 w:val="02020300000000000000"/>
    <w:charset w:val="86"/>
    <w:family w:val="auto"/>
    <w:pitch w:val="default"/>
    <w:sig w:usb0="00000000" w:usb1="00000000" w:usb2="00000016" w:usb3="00000000" w:csb0="0004000D"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D31A51"/>
    <w:multiLevelType w:val="singleLevel"/>
    <w:tmpl w:val="EAD31A51"/>
    <w:lvl w:ilvl="0" w:tentative="0">
      <w:start w:val="2"/>
      <w:numFmt w:val="decimal"/>
      <w:suff w:val="space"/>
      <w:lvlText w:val="%1."/>
      <w:lvlJc w:val="left"/>
    </w:lvl>
  </w:abstractNum>
  <w:abstractNum w:abstractNumId="1">
    <w:nsid w:val="EF7C6067"/>
    <w:multiLevelType w:val="singleLevel"/>
    <w:tmpl w:val="EF7C6067"/>
    <w:lvl w:ilvl="0" w:tentative="0">
      <w:start w:val="2"/>
      <w:numFmt w:val="chineseCounting"/>
      <w:suff w:val="nothing"/>
      <w:lvlText w:val="%1、"/>
      <w:lvlJc w:val="left"/>
      <w:rPr>
        <w:rFonts w:hint="eastAsia"/>
      </w:rPr>
    </w:lvl>
  </w:abstractNum>
  <w:abstractNum w:abstractNumId="2">
    <w:nsid w:val="FBFFA269"/>
    <w:multiLevelType w:val="singleLevel"/>
    <w:tmpl w:val="FBFFA269"/>
    <w:lvl w:ilvl="0" w:tentative="0">
      <w:start w:val="1"/>
      <w:numFmt w:val="decimal"/>
      <w:lvlText w:val="%1."/>
      <w:lvlJc w:val="left"/>
      <w:pPr>
        <w:tabs>
          <w:tab w:val="left" w:pos="312"/>
        </w:tabs>
      </w:pPr>
    </w:lvl>
  </w:abstractNum>
  <w:abstractNum w:abstractNumId="3">
    <w:nsid w:val="FEF22FC9"/>
    <w:multiLevelType w:val="singleLevel"/>
    <w:tmpl w:val="FEF22FC9"/>
    <w:lvl w:ilvl="0" w:tentative="0">
      <w:start w:val="1"/>
      <w:numFmt w:val="decimal"/>
      <w:suff w:val="space"/>
      <w:lvlText w:val="%1."/>
      <w:lvlJc w:val="left"/>
    </w:lvl>
  </w:abstractNum>
  <w:abstractNum w:abstractNumId="4">
    <w:nsid w:val="FFEA7E65"/>
    <w:multiLevelType w:val="singleLevel"/>
    <w:tmpl w:val="FFEA7E65"/>
    <w:lvl w:ilvl="0" w:tentative="0">
      <w:start w:val="2"/>
      <w:numFmt w:val="decimal"/>
      <w:suff w:val="space"/>
      <w:lvlText w:val="%1."/>
      <w:lvlJc w:val="left"/>
    </w:lvl>
  </w:abstractNum>
  <w:abstractNum w:abstractNumId="5">
    <w:nsid w:val="25FDDABD"/>
    <w:multiLevelType w:val="singleLevel"/>
    <w:tmpl w:val="25FDDABD"/>
    <w:lvl w:ilvl="0" w:tentative="0">
      <w:start w:val="1"/>
      <w:numFmt w:val="decimal"/>
      <w:suff w:val="space"/>
      <w:lvlText w:val="%1."/>
      <w:lvlJc w:val="left"/>
    </w:lvl>
  </w:abstractNum>
  <w:abstractNum w:abstractNumId="6">
    <w:nsid w:val="333A6125"/>
    <w:multiLevelType w:val="singleLevel"/>
    <w:tmpl w:val="333A6125"/>
    <w:lvl w:ilvl="0" w:tentative="0">
      <w:start w:val="3"/>
      <w:numFmt w:val="decimal"/>
      <w:suff w:val="space"/>
      <w:lvlText w:val="%1."/>
      <w:lvlJc w:val="left"/>
      <w:pPr>
        <w:ind w:left="360" w:leftChars="0" w:firstLine="0" w:firstLineChars="0"/>
      </w:pPr>
    </w:lvl>
  </w:abstractNum>
  <w:abstractNum w:abstractNumId="7">
    <w:nsid w:val="7BE76BDE"/>
    <w:multiLevelType w:val="singleLevel"/>
    <w:tmpl w:val="7BE76BDE"/>
    <w:lvl w:ilvl="0" w:tentative="0">
      <w:start w:val="1"/>
      <w:numFmt w:val="decimal"/>
      <w:suff w:val="space"/>
      <w:lvlText w:val="%1."/>
      <w:lvlJc w:val="left"/>
    </w:lvl>
  </w:abstractNum>
  <w:abstractNum w:abstractNumId="8">
    <w:nsid w:val="7FDE75C6"/>
    <w:multiLevelType w:val="singleLevel"/>
    <w:tmpl w:val="7FDE75C6"/>
    <w:lvl w:ilvl="0" w:tentative="0">
      <w:start w:val="3"/>
      <w:numFmt w:val="chineseCounting"/>
      <w:suff w:val="nothing"/>
      <w:lvlText w:val="（%1）"/>
      <w:lvlJc w:val="left"/>
      <w:rPr>
        <w:rFonts w:hint="eastAsia"/>
      </w:rPr>
    </w:lvl>
  </w:abstractNum>
  <w:num w:numId="1">
    <w:abstractNumId w:val="1"/>
  </w:num>
  <w:num w:numId="2">
    <w:abstractNumId w:val="4"/>
  </w:num>
  <w:num w:numId="3">
    <w:abstractNumId w:val="6"/>
  </w:num>
  <w:num w:numId="4">
    <w:abstractNumId w:val="8"/>
  </w:num>
  <w:num w:numId="5">
    <w:abstractNumId w:val="0"/>
  </w:num>
  <w:num w:numId="6">
    <w:abstractNumId w:val="5"/>
  </w:num>
  <w:num w:numId="7">
    <w:abstractNumId w:val="3"/>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NhYWIzMjhlNmJkYjI4NjUzZDRmYjY3ZTYyMmNiMjEifQ=="/>
  </w:docVars>
  <w:rsids>
    <w:rsidRoot w:val="000F0626"/>
    <w:rsid w:val="000F0626"/>
    <w:rsid w:val="001720D6"/>
    <w:rsid w:val="003018DD"/>
    <w:rsid w:val="0034687A"/>
    <w:rsid w:val="003734BE"/>
    <w:rsid w:val="003D6A46"/>
    <w:rsid w:val="004D2459"/>
    <w:rsid w:val="00814C02"/>
    <w:rsid w:val="00960EA9"/>
    <w:rsid w:val="00A570DD"/>
    <w:rsid w:val="00B53702"/>
    <w:rsid w:val="00C441D4"/>
    <w:rsid w:val="00C90617"/>
    <w:rsid w:val="00DB5601"/>
    <w:rsid w:val="00E71CEA"/>
    <w:rsid w:val="00F01A78"/>
    <w:rsid w:val="00FA3056"/>
    <w:rsid w:val="10BA1314"/>
    <w:rsid w:val="155B421B"/>
    <w:rsid w:val="37E669DC"/>
    <w:rsid w:val="3BB90318"/>
    <w:rsid w:val="57F357F6"/>
    <w:rsid w:val="5C2D38AA"/>
    <w:rsid w:val="5F7B7278"/>
    <w:rsid w:val="5FCFE36E"/>
    <w:rsid w:val="5FFFFEEB"/>
    <w:rsid w:val="74443531"/>
    <w:rsid w:val="74F1F5A8"/>
    <w:rsid w:val="771E1326"/>
    <w:rsid w:val="77DFD5BC"/>
    <w:rsid w:val="77FF61A8"/>
    <w:rsid w:val="7CA7FFE1"/>
    <w:rsid w:val="7EEB814A"/>
    <w:rsid w:val="9DFB9664"/>
    <w:rsid w:val="AA771FFF"/>
    <w:rsid w:val="AFC2BD66"/>
    <w:rsid w:val="BDD9BDD4"/>
    <w:rsid w:val="BFDF6884"/>
    <w:rsid w:val="DFEFD37D"/>
    <w:rsid w:val="E7FFFE3A"/>
    <w:rsid w:val="EFBE5759"/>
    <w:rsid w:val="F974B1C4"/>
    <w:rsid w:val="FBD4060F"/>
    <w:rsid w:val="FD3E710A"/>
    <w:rsid w:val="FEEF25A6"/>
    <w:rsid w:val="FFEF3847"/>
    <w:rsid w:val="FFF444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annotation text"/>
    <w:basedOn w:val="1"/>
    <w:autoRedefine/>
    <w:semiHidden/>
    <w:unhideWhenUsed/>
    <w:qFormat/>
    <w:uiPriority w:val="99"/>
    <w:pPr>
      <w:jc w:val="left"/>
    </w:pPr>
  </w:style>
  <w:style w:type="table" w:styleId="4">
    <w:name w:val="Table Grid"/>
    <w:basedOn w:val="3"/>
    <w:autoRedefine/>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763</Words>
  <Characters>4355</Characters>
  <Lines>36</Lines>
  <Paragraphs>10</Paragraphs>
  <TotalTime>108</TotalTime>
  <ScaleCrop>false</ScaleCrop>
  <LinksUpToDate>false</LinksUpToDate>
  <CharactersWithSpaces>5108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2024-03-09T06:26:00Z</dcterms:created>
  <dc:creator>7128</dc:creator>
  <cp:lastModifiedBy>潘霖滋</cp:lastModifiedBy>
  <dcterms:modified xsi:type="dcterms:W3CDTF">2024-07-19T03:08:43Z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6609D13D63E64631929F4BEC3EDA7AF1_13</vt:lpwstr>
  </property>
</Properties>
</file>