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color w:val="auto"/>
        </w:rPr>
      </w:pPr>
      <w:r>
        <w:rPr>
          <w:rFonts w:hint="eastAsia"/>
          <w:color w:val="auto"/>
        </w:rPr>
        <w:t>杨辉三角融入高中数学课堂</w:t>
      </w:r>
    </w:p>
    <w:p>
      <w:pPr>
        <w:ind w:firstLine="420"/>
        <w:rPr>
          <w:rFonts w:eastAsia="楷体"/>
          <w:color w:val="auto"/>
        </w:rPr>
      </w:pPr>
      <w:r>
        <w:rPr>
          <w:rFonts w:hint="eastAsia" w:ascii="黑体" w:eastAsia="黑体"/>
          <w:color w:val="auto"/>
        </w:rPr>
        <w:t>摘要：</w:t>
      </w:r>
      <w:r>
        <w:rPr>
          <w:rFonts w:hint="eastAsia" w:eastAsia="楷体"/>
          <w:color w:val="auto"/>
        </w:rPr>
        <w:t>杨辉三角是中国古代数学史灿烂篇章中十分精彩的一页，其中蕴含着大量的数字特征和文化价值。本节课基于杨辉三角，以探究课的形式开展教学，通过小组讨论并汇报的方式，让学生了解杨辉三角；掌握数学探究过程；领悟数形结合，从特殊到一般和化归思想；增强文化自信与民族自豪感，弘扬爱国主义精神。</w:t>
      </w:r>
    </w:p>
    <w:p>
      <w:pPr>
        <w:ind w:firstLine="420"/>
        <w:rPr>
          <w:color w:val="auto"/>
        </w:rPr>
      </w:pPr>
      <w:r>
        <w:rPr>
          <w:rFonts w:hint="eastAsia" w:ascii="黑体" w:eastAsia="黑体"/>
          <w:color w:val="auto"/>
        </w:rPr>
        <w:t>关键词：</w:t>
      </w:r>
      <w:r>
        <w:rPr>
          <w:rFonts w:hint="eastAsia" w:eastAsia="楷体"/>
          <w:color w:val="auto"/>
        </w:rPr>
        <w:t>杨辉三角；数学探究；文化自信</w:t>
      </w:r>
    </w:p>
    <w:p>
      <w:pPr>
        <w:pStyle w:val="3"/>
        <w:rPr>
          <w:color w:val="auto"/>
        </w:rPr>
      </w:pPr>
      <w:r>
        <w:rPr>
          <w:rFonts w:hint="eastAsia"/>
          <w:color w:val="auto"/>
        </w:rPr>
        <w:t xml:space="preserve">1 </w:t>
      </w:r>
      <w:r>
        <w:rPr>
          <w:rFonts w:hint="eastAsia"/>
          <w:color w:val="auto"/>
          <w:szCs w:val="24"/>
        </w:rPr>
        <w:t>引 言</w:t>
      </w:r>
    </w:p>
    <w:p>
      <w:pPr>
        <w:ind w:firstLine="420"/>
        <w:rPr>
          <w:rFonts w:hint="eastAsia"/>
          <w:color w:val="auto"/>
        </w:rPr>
      </w:pPr>
      <w:r>
        <w:rPr>
          <w:rFonts w:hint="eastAsia"/>
          <w:color w:val="auto"/>
        </w:rPr>
        <w:t>《中华优秀传统文化进中小学课程教材指南》指出，中华优秀传统文化进中小学课程教材，具有强化中华优秀传统文化铸魂的育人功能。就数学学科而言，中国传统数学的历史（以下简称中算史）是中华优秀传统文化的重要组成部分之一，同样蕴含丰富的智育和德育价值。因此，将中算史融入数学教学，可以揭示知识的发生和发展过程，丰富学生的情感体验，提升学生的文化涵养，进而充分发挥数学课程的德育价值</w:t>
      </w:r>
      <w:r>
        <w:rPr>
          <w:rFonts w:hint="eastAsia"/>
          <w:color w:val="auto"/>
          <w:vertAlign w:val="superscript"/>
        </w:rPr>
        <w:t>[1]</w:t>
      </w:r>
      <w:r>
        <w:rPr>
          <w:rFonts w:hint="eastAsia"/>
          <w:color w:val="auto"/>
        </w:rPr>
        <w:t>。</w:t>
      </w:r>
    </w:p>
    <w:p>
      <w:pPr>
        <w:ind w:firstLine="420"/>
        <w:rPr>
          <w:rFonts w:hint="eastAsia"/>
          <w:color w:val="auto"/>
        </w:rPr>
      </w:pPr>
      <w:r>
        <w:rPr>
          <w:rFonts w:hint="eastAsia"/>
          <w:color w:val="auto"/>
        </w:rPr>
        <w:t>然而，在实际教学中，若要将中算史自然地融入数学教学，我们需要思考好一些问题，例如，将中算史融入数学教学的必要性是什么（why）？</w:t>
      </w:r>
      <w:r>
        <w:rPr>
          <w:color w:val="auto"/>
        </w:rPr>
        <w:t xml:space="preserve"> </w:t>
      </w:r>
      <w:r>
        <w:rPr>
          <w:rFonts w:hint="eastAsia"/>
          <w:color w:val="auto"/>
        </w:rPr>
        <w:t>与教学内容匹配的中算史有哪些（what）？如何实现中算史与数学内容的融合（how）？</w:t>
      </w:r>
    </w:p>
    <w:p>
      <w:pPr>
        <w:ind w:firstLine="420"/>
        <w:rPr>
          <w:color w:val="auto"/>
        </w:rPr>
      </w:pPr>
      <w:bookmarkStart w:id="0" w:name="OLE_LINK3"/>
      <w:r>
        <w:rPr>
          <w:rFonts w:hint="eastAsia"/>
          <w:color w:val="auto"/>
          <w:lang w:val="en-US" w:eastAsia="zh-CN"/>
        </w:rPr>
        <w:t>二项式定理</w:t>
      </w:r>
      <w:bookmarkEnd w:id="0"/>
      <w:r>
        <w:rPr>
          <w:rFonts w:hint="eastAsia"/>
          <w:color w:val="auto"/>
          <w:lang w:val="en-US" w:eastAsia="zh-CN"/>
        </w:rPr>
        <w:t>的教学的几种教学观念分别是问题导入式，情境引入式，现象切入式和文化融入式。在不同教学观念下的教学目标有所不同，学生对二项式定理的理解多停留在代数领域，大多数学生通过死记硬背掌握这一概念。</w:t>
      </w:r>
      <w:r>
        <w:rPr>
          <w:rFonts w:hint="eastAsia"/>
          <w:color w:val="auto"/>
          <w:vertAlign w:val="superscript"/>
          <w:lang w:val="en-US" w:eastAsia="zh-CN"/>
        </w:rPr>
        <w:t>[4]</w:t>
      </w:r>
      <w:r>
        <w:rPr>
          <w:rFonts w:hint="eastAsia"/>
          <w:color w:val="auto"/>
          <w:lang w:val="en-US" w:eastAsia="zh-CN"/>
        </w:rPr>
        <w:t>文中二项式定理展开式的推导过程是让学生回忆初中的完全平方和公式及立方和公式展开过程，然后结合分类加法计算原理与分步乘法计数原理来思考、探索、发现系数的规律，从而归纳出二项式定理。此类教学方法可以让学生掌握数学归纳的方法，但是对于</w:t>
      </w:r>
      <w:r>
        <w:rPr>
          <w:rFonts w:hint="eastAsia" w:ascii="宋体" w:hAnsi="宋体" w:eastAsia="宋体" w:cs="宋体"/>
          <w:b w:val="0"/>
          <w:bCs w:val="0"/>
          <w:color w:val="auto"/>
          <w:szCs w:val="21"/>
        </w:rPr>
        <w:t>数形结合、化归思想、算法思想</w:t>
      </w:r>
      <w:r>
        <w:rPr>
          <w:rFonts w:hint="eastAsia" w:ascii="宋体" w:hAnsi="宋体" w:cs="宋体"/>
          <w:b w:val="0"/>
          <w:bCs w:val="0"/>
          <w:color w:val="auto"/>
          <w:szCs w:val="21"/>
          <w:lang w:val="en-US" w:eastAsia="zh-CN"/>
        </w:rPr>
        <w:t>有所缺失。</w:t>
      </w:r>
      <w:r>
        <w:rPr>
          <w:rFonts w:hint="eastAsia" w:ascii="宋体" w:hAnsi="宋体" w:cs="宋体"/>
          <w:b w:val="0"/>
          <w:bCs w:val="0"/>
          <w:color w:val="auto"/>
          <w:szCs w:val="21"/>
          <w:vertAlign w:val="superscript"/>
          <w:lang w:val="en-US" w:eastAsia="zh-CN"/>
        </w:rPr>
        <w:t>[5]</w:t>
      </w:r>
      <w:r>
        <w:rPr>
          <w:rFonts w:hint="eastAsia" w:ascii="宋体" w:hAnsi="宋体" w:cs="宋体"/>
          <w:b w:val="0"/>
          <w:bCs w:val="0"/>
          <w:color w:val="auto"/>
          <w:szCs w:val="21"/>
          <w:lang w:val="en-US" w:eastAsia="zh-CN"/>
        </w:rPr>
        <w:t>文中只是简单提到二项式定理与杨辉三角有关系，未能充分展示</w:t>
      </w:r>
      <w:r>
        <w:rPr>
          <w:rFonts w:hint="eastAsia" w:ascii="宋体" w:hAnsi="宋体" w:eastAsia="宋体" w:cs="宋体"/>
          <w:b w:val="0"/>
          <w:bCs w:val="0"/>
          <w:color w:val="auto"/>
          <w:sz w:val="21"/>
          <w:szCs w:val="21"/>
          <w:lang w:val="en-US" w:eastAsia="zh-CN"/>
        </w:rPr>
        <w:t>中国数学史上这一杰出成就</w:t>
      </w:r>
      <w:r>
        <w:rPr>
          <w:rFonts w:hint="eastAsia" w:ascii="宋体" w:hAnsi="宋体" w:cs="宋体"/>
          <w:color w:val="auto"/>
          <w:szCs w:val="21"/>
        </w:rPr>
        <w:t>在高中数学教学中的德育价值</w:t>
      </w:r>
      <w:r>
        <w:rPr>
          <w:rFonts w:hint="eastAsia" w:ascii="宋体" w:hAnsi="宋体" w:cs="宋体"/>
          <w:color w:val="auto"/>
          <w:szCs w:val="21"/>
          <w:lang w:eastAsia="zh-CN"/>
        </w:rPr>
        <w:t>。</w:t>
      </w:r>
    </w:p>
    <w:p>
      <w:pPr>
        <w:ind w:firstLine="420"/>
        <w:rPr>
          <w:color w:val="auto"/>
        </w:rPr>
      </w:pPr>
      <w:r>
        <w:rPr>
          <w:rFonts w:hint="eastAsia"/>
          <w:color w:val="auto"/>
        </w:rPr>
        <w:t>杨辉三角与二项式定理间有着密切的联系，由此可以帮助我们建立起中算史与教材知识点间的桥梁，同时，杨辉三角的发现作为中国古代数学的杰出成就，其中蕴含着很多奇妙的数字特征，其蕴含的叠加思想在实际生活中也有广泛的应用，亦值得学生深入探究。鉴于此，本节课尝试将中算史融入数学教学，在探究过程中体会探究过程的乐趣和杨辉三角的奥妙，实现中算史与数学课堂的深度融合。本节课拟定的教学目标如下。</w:t>
      </w:r>
    </w:p>
    <w:p>
      <w:pPr>
        <w:spacing w:line="276" w:lineRule="auto"/>
        <w:rPr>
          <w:color w:val="auto"/>
        </w:rPr>
      </w:pPr>
      <w:r>
        <w:rPr>
          <w:rFonts w:hint="eastAsia"/>
          <w:color w:val="auto"/>
        </w:rPr>
        <w:t>（1）</w:t>
      </w:r>
      <w:r>
        <w:rPr>
          <w:rFonts w:hint="eastAsia" w:ascii="Times New Roman" w:hAnsi="Times New Roman" w:eastAsia="宋体" w:cs="Times New Roman"/>
          <w:color w:val="auto"/>
          <w:szCs w:val="21"/>
          <w:lang w:val="en-US" w:eastAsia="zh-CN"/>
        </w:rPr>
        <w:t>小组探究</w:t>
      </w:r>
      <w:r>
        <w:rPr>
          <w:rFonts w:hint="eastAsia" w:ascii="Times New Roman" w:hAnsi="Times New Roman" w:eastAsia="宋体" w:cs="Times New Roman"/>
          <w:color w:val="auto"/>
          <w:szCs w:val="21"/>
        </w:rPr>
        <w:t>杨辉三角</w:t>
      </w:r>
      <w:r>
        <w:rPr>
          <w:rFonts w:hint="eastAsia" w:ascii="Times New Roman" w:hAnsi="Times New Roman" w:eastAsia="宋体" w:cs="Times New Roman"/>
          <w:color w:val="auto"/>
          <w:szCs w:val="21"/>
          <w:lang w:val="en-US" w:eastAsia="zh-CN"/>
        </w:rPr>
        <w:t>蕴含的数字特征，掌握观察，归纳，猜想，论证的数学探究过程</w:t>
      </w:r>
      <w:r>
        <w:rPr>
          <w:rFonts w:hint="eastAsia" w:ascii="Times New Roman" w:hAnsi="Times New Roman" w:eastAsia="宋体" w:cs="Times New Roman"/>
          <w:color w:val="auto"/>
          <w:szCs w:val="21"/>
          <w:lang w:eastAsia="zh-CN"/>
        </w:rPr>
        <w:t>；</w:t>
      </w:r>
    </w:p>
    <w:p>
      <w:pPr>
        <w:ind w:firstLine="420"/>
        <w:rPr>
          <w:color w:val="auto"/>
        </w:rPr>
      </w:pPr>
      <w:r>
        <w:rPr>
          <w:rFonts w:hint="eastAsia"/>
          <w:color w:val="auto"/>
        </w:rPr>
        <w:t>（2）</w:t>
      </w:r>
      <w:r>
        <w:rPr>
          <w:rFonts w:hint="eastAsia" w:ascii="Times New Roman" w:hAnsi="Times New Roman" w:eastAsia="宋体" w:cs="Times New Roman"/>
          <w:color w:val="auto"/>
          <w:szCs w:val="21"/>
          <w:lang w:val="en-US" w:eastAsia="zh-CN"/>
        </w:rPr>
        <w:t>通过探究杨辉三角的若干性质，领悟数形结合，从特殊到一般和化归思想</w:t>
      </w:r>
      <w:r>
        <w:rPr>
          <w:rFonts w:hint="eastAsia" w:ascii="Times New Roman" w:hAnsi="Times New Roman" w:eastAsia="宋体" w:cs="Times New Roman"/>
          <w:color w:val="auto"/>
          <w:szCs w:val="21"/>
        </w:rPr>
        <w:t>；</w:t>
      </w:r>
    </w:p>
    <w:p>
      <w:pPr>
        <w:ind w:firstLine="420"/>
        <w:rPr>
          <w:color w:val="auto"/>
        </w:rPr>
      </w:pPr>
      <w:r>
        <w:rPr>
          <w:rFonts w:hint="eastAsia"/>
          <w:color w:val="auto"/>
        </w:rPr>
        <w:t>（3）</w:t>
      </w:r>
      <w:r>
        <w:rPr>
          <w:rFonts w:hint="eastAsia" w:ascii="Times New Roman" w:hAnsi="Times New Roman" w:eastAsia="宋体" w:cs="Times New Roman"/>
          <w:color w:val="auto"/>
          <w:szCs w:val="21"/>
        </w:rPr>
        <w:t>感受杨辉三角的数学之美</w:t>
      </w:r>
      <w:r>
        <w:rPr>
          <w:rFonts w:hint="eastAsia" w:ascii="Times New Roman" w:hAnsi="Times New Roman" w:eastAsia="宋体" w:cs="Times New Roman"/>
          <w:color w:val="auto"/>
          <w:szCs w:val="21"/>
          <w:lang w:val="en-US" w:eastAsia="zh-CN"/>
        </w:rPr>
        <w:t>和数学家的探究精神</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rPr>
        <w:t>增强文化自信与民族自豪，弘扬爱国主义精神</w:t>
      </w:r>
      <w:r>
        <w:rPr>
          <w:rFonts w:hint="eastAsia" w:ascii="Times New Roman" w:hAnsi="Times New Roman" w:eastAsia="宋体" w:cs="Times New Roman"/>
          <w:color w:val="auto"/>
          <w:szCs w:val="21"/>
          <w:lang w:eastAsia="zh-CN"/>
        </w:rPr>
        <w:t>。</w:t>
      </w:r>
    </w:p>
    <w:p>
      <w:pPr>
        <w:pStyle w:val="3"/>
        <w:rPr>
          <w:color w:val="auto"/>
        </w:rPr>
      </w:pPr>
      <w:r>
        <w:rPr>
          <w:rFonts w:hint="eastAsia"/>
          <w:color w:val="auto"/>
        </w:rPr>
        <w:t>2 历史材料及其运用</w:t>
      </w:r>
    </w:p>
    <w:p>
      <w:pPr>
        <w:ind w:firstLine="420"/>
        <w:rPr>
          <w:color w:val="auto"/>
        </w:rPr>
      </w:pPr>
      <w:r>
        <w:rPr>
          <w:rFonts w:hint="eastAsia"/>
          <w:color w:val="auto"/>
        </w:rPr>
        <w:t>杨辉三角最早被称为“贾宪三角”，在</w:t>
      </w:r>
      <w:bookmarkStart w:id="1" w:name="OLE_LINK1"/>
      <w:r>
        <w:rPr>
          <w:rFonts w:hint="eastAsia"/>
          <w:color w:val="auto"/>
        </w:rPr>
        <w:t>《释锁算书》</w:t>
      </w:r>
      <w:bookmarkEnd w:id="1"/>
      <w:r>
        <w:rPr>
          <w:rFonts w:hint="eastAsia"/>
          <w:color w:val="auto"/>
        </w:rPr>
        <w:t>中贾宪给出直到六次幂的二项式系数表，也就是现在的杨辉三角。然而，《释锁算书》已失传，南宋数学家杨辉在《</w:t>
      </w:r>
      <w:bookmarkStart w:id="2" w:name="OLE_LINK2"/>
      <w:r>
        <w:rPr>
          <w:rFonts w:hint="eastAsia"/>
          <w:color w:val="auto"/>
        </w:rPr>
        <w:t>详解九章算法</w:t>
      </w:r>
      <w:bookmarkEnd w:id="2"/>
      <w:r>
        <w:rPr>
          <w:rFonts w:hint="eastAsia"/>
          <w:color w:val="auto"/>
        </w:rPr>
        <w:t>》（1261）中记载了该图（图1），由此，杨辉三角得以流传被后人所知。元代数学家朱世杰在《四元玉鉴》（1303）中给出贾宪三角，但在贾宪的基础上添加了两层，并将各数连以两组平行斜线（图2）。可见，朱世杰已经十分清楚贾宪三角的构造方法</w:t>
      </w:r>
      <w:r>
        <w:rPr>
          <w:rFonts w:hint="eastAsia"/>
          <w:color w:val="auto"/>
          <w:vertAlign w:val="superscript"/>
        </w:rPr>
        <w:t>[2]</w:t>
      </w:r>
      <w:r>
        <w:rPr>
          <w:rFonts w:hint="eastAsia"/>
          <w:color w:val="auto"/>
        </w:rPr>
        <w:t>。</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48"/>
        <w:gridCol w:w="41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pPr>
              <w:pStyle w:val="24"/>
              <w:rPr>
                <w:color w:val="auto"/>
              </w:rPr>
            </w:pPr>
            <w:r>
              <w:rPr>
                <w:rFonts w:hint="eastAsia"/>
                <w:color w:val="auto"/>
              </w:rPr>
              <w:drawing>
                <wp:inline distT="0" distB="0" distL="114300" distR="114300">
                  <wp:extent cx="1137920" cy="2339975"/>
                  <wp:effectExtent l="0" t="0" r="5080" b="3175"/>
                  <wp:docPr id="5" name="图片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1" descr="IMG_256"/>
                          <pic:cNvPicPr>
                            <a:picLocks noChangeAspect="1"/>
                          </pic:cNvPicPr>
                        </pic:nvPicPr>
                        <pic:blipFill>
                          <a:blip r:embed="rId12"/>
                          <a:srcRect r="63856"/>
                          <a:stretch>
                            <a:fillRect/>
                          </a:stretch>
                        </pic:blipFill>
                        <pic:spPr>
                          <a:xfrm>
                            <a:off x="0" y="0"/>
                            <a:ext cx="1138038" cy="2340000"/>
                          </a:xfrm>
                          <a:prstGeom prst="rect">
                            <a:avLst/>
                          </a:prstGeom>
                          <a:noFill/>
                          <a:ln>
                            <a:noFill/>
                          </a:ln>
                        </pic:spPr>
                      </pic:pic>
                    </a:graphicData>
                  </a:graphic>
                </wp:inline>
              </w:drawing>
            </w:r>
          </w:p>
        </w:tc>
        <w:tc>
          <w:tcPr>
            <w:tcW w:w="4148" w:type="dxa"/>
          </w:tcPr>
          <w:p>
            <w:pPr>
              <w:pStyle w:val="24"/>
              <w:rPr>
                <w:color w:val="auto"/>
              </w:rPr>
            </w:pPr>
            <w:r>
              <w:rPr>
                <w:rFonts w:hint="eastAsia"/>
                <w:color w:val="auto"/>
              </w:rPr>
              <w:drawing>
                <wp:inline distT="0" distB="0" distL="114300" distR="114300">
                  <wp:extent cx="1628140" cy="2339975"/>
                  <wp:effectExtent l="0" t="0" r="0" b="3175"/>
                  <wp:docPr id="251151339" name="图片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151339" name="图片 21" descr="IMG_256"/>
                          <pic:cNvPicPr>
                            <a:picLocks noChangeAspect="1"/>
                          </pic:cNvPicPr>
                        </pic:nvPicPr>
                        <pic:blipFill>
                          <a:blip r:embed="rId12"/>
                          <a:srcRect l="48288"/>
                          <a:stretch>
                            <a:fillRect/>
                          </a:stretch>
                        </pic:blipFill>
                        <pic:spPr>
                          <a:xfrm>
                            <a:off x="0" y="0"/>
                            <a:ext cx="1628194" cy="2340000"/>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pPr>
              <w:pStyle w:val="24"/>
              <w:rPr>
                <w:color w:val="auto"/>
              </w:rPr>
            </w:pPr>
            <w:r>
              <w:rPr>
                <w:rFonts w:hint="eastAsia"/>
                <w:color w:val="auto"/>
              </w:rPr>
              <w:t>图1 开方作法本源图</w:t>
            </w:r>
          </w:p>
        </w:tc>
        <w:tc>
          <w:tcPr>
            <w:tcW w:w="4148" w:type="dxa"/>
          </w:tcPr>
          <w:p>
            <w:pPr>
              <w:pStyle w:val="24"/>
              <w:rPr>
                <w:color w:val="auto"/>
              </w:rPr>
            </w:pPr>
            <w:r>
              <w:rPr>
                <w:rFonts w:hint="eastAsia"/>
                <w:color w:val="auto"/>
              </w:rPr>
              <w:t>图2 古法七乘方图</w:t>
            </w:r>
          </w:p>
        </w:tc>
      </w:tr>
    </w:tbl>
    <w:p>
      <w:pPr>
        <w:ind w:firstLine="420"/>
        <w:rPr>
          <w:color w:val="auto"/>
          <w:vertAlign w:val="superscript"/>
        </w:rPr>
      </w:pPr>
      <w:r>
        <w:rPr>
          <w:rFonts w:hint="eastAsia"/>
          <w:color w:val="auto"/>
        </w:rPr>
        <w:t>明代数学家吴敬在《九章算法比类大全》（1450），王文素（</w:t>
      </w:r>
      <w:r>
        <w:rPr>
          <w:rFonts w:hint="eastAsia"/>
          <w:color w:val="auto"/>
          <w:lang w:val="en-US" w:eastAsia="zh-CN"/>
        </w:rPr>
        <w:t>1465-1487</w:t>
      </w:r>
      <w:r>
        <w:rPr>
          <w:rFonts w:hint="eastAsia"/>
          <w:color w:val="auto"/>
        </w:rPr>
        <w:t>）在《算学宝鉴》（1522），程大位（1533-1606）在《算法统宗》（1592）中都沿用了贾宪三角，其中，王文素在其《算学宝鉴》中明确给出了贾宪三角的构造方法：“欲识廉隅递益生，直斜二上并分明。便知其下廉隅数，变化无穷照此行。”</w:t>
      </w:r>
      <w:r>
        <w:rPr>
          <w:rFonts w:hint="eastAsia"/>
          <w:color w:val="auto"/>
          <w:vertAlign w:val="superscript"/>
        </w:rPr>
        <w:t>[2]</w:t>
      </w:r>
    </w:p>
    <w:p>
      <w:pPr>
        <w:ind w:firstLine="420"/>
        <w:rPr>
          <w:color w:val="auto"/>
        </w:rPr>
      </w:pPr>
      <w:r>
        <w:rPr>
          <w:rFonts w:hint="eastAsia"/>
          <w:color w:val="auto"/>
        </w:rPr>
        <w:t>1623年，13岁的法国数学家帕斯卡（</w:t>
      </w:r>
      <w:r>
        <w:rPr>
          <w:rFonts w:hint="eastAsia"/>
          <w:color w:val="auto"/>
          <w:lang w:val="en-US" w:eastAsia="zh-CN"/>
        </w:rPr>
        <w:t xml:space="preserve">Blaise </w:t>
      </w:r>
      <w:r>
        <w:rPr>
          <w:rFonts w:hint="eastAsia"/>
          <w:color w:val="auto"/>
        </w:rPr>
        <w:t>Pascal</w:t>
      </w:r>
      <w:r>
        <w:rPr>
          <w:rFonts w:hint="eastAsia"/>
          <w:color w:val="auto"/>
          <w:lang w:val="en-US" w:eastAsia="zh-CN"/>
        </w:rPr>
        <w:t xml:space="preserve"> 1623-1662</w:t>
      </w:r>
      <w:r>
        <w:rPr>
          <w:rFonts w:hint="eastAsia"/>
          <w:color w:val="auto"/>
        </w:rPr>
        <w:t>）也发现了这种三角形的结构。帕斯卡还研究了二项式系数在自然数幂和、组合理论及概率计算等方面的应用，真正将杨辉三角与组合数联系起来，在世界数学史上具有突出贡献，所以西方称杨辉三角为帕斯卡三角。</w:t>
      </w:r>
    </w:p>
    <w:p>
      <w:pPr>
        <w:pStyle w:val="3"/>
        <w:rPr>
          <w:color w:val="auto"/>
        </w:rPr>
      </w:pPr>
      <w:r>
        <w:rPr>
          <w:rFonts w:hint="eastAsia"/>
          <w:color w:val="auto"/>
        </w:rPr>
        <w:t>3 教学过程与实施</w:t>
      </w:r>
    </w:p>
    <w:p>
      <w:pPr>
        <w:pStyle w:val="4"/>
        <w:rPr>
          <w:color w:val="auto"/>
        </w:rPr>
      </w:pPr>
      <w:r>
        <w:rPr>
          <w:rFonts w:hint="eastAsia"/>
          <w:color w:val="auto"/>
        </w:rPr>
        <w:t xml:space="preserve">3.1 复习旧知、导入新课 </w:t>
      </w:r>
    </w:p>
    <w:p>
      <w:pPr>
        <w:ind w:firstLine="420"/>
        <w:rPr>
          <w:color w:val="auto"/>
        </w:rPr>
      </w:pPr>
      <w:r>
        <w:rPr>
          <w:rFonts w:hint="eastAsia"/>
          <w:color w:val="auto"/>
        </w:rPr>
        <w:t>师：</w:t>
      </w:r>
      <w:r>
        <w:rPr>
          <w:rFonts w:hint="eastAsia" w:eastAsia="楷体"/>
          <w:color w:val="auto"/>
        </w:rPr>
        <w:t>同学们我们已经学习了二项式定理，并利用二项式定理探究了组合数的部分性质，那么同学们还记得图1和图2的名字吗？</w:t>
      </w:r>
    </w:p>
    <w:p>
      <w:pPr>
        <w:ind w:firstLine="420"/>
        <w:rPr>
          <w:color w:val="auto"/>
        </w:rPr>
      </w:pPr>
      <w:r>
        <w:rPr>
          <w:rFonts w:hint="eastAsia"/>
          <w:color w:val="auto"/>
        </w:rPr>
        <w:t>生：</w:t>
      </w:r>
      <w:r>
        <w:rPr>
          <w:rFonts w:hint="eastAsia" w:eastAsia="楷体"/>
          <w:color w:val="auto"/>
        </w:rPr>
        <w:t>杨辉三角。</w:t>
      </w:r>
    </w:p>
    <w:p>
      <w:pPr>
        <w:ind w:firstLine="420"/>
        <w:rPr>
          <w:color w:val="auto"/>
        </w:rPr>
      </w:pPr>
      <w:r>
        <w:rPr>
          <w:rFonts w:hint="eastAsia"/>
          <w:color w:val="auto"/>
        </w:rPr>
        <w:t>师：</w:t>
      </w:r>
      <w:r>
        <w:rPr>
          <w:rFonts w:hint="eastAsia" w:eastAsia="楷体"/>
          <w:color w:val="auto"/>
        </w:rPr>
        <w:t>在学习二项式定理的时候我们初步认识了杨辉三角，发现了它的神秘之处，那同学们知道历史上的杨辉三角是怎么样的吗？它为什么产生？在数学历史发展的长河里它扮演一个怎么样的角色呢？</w:t>
      </w:r>
    </w:p>
    <w:p>
      <w:pPr>
        <w:ind w:firstLine="420"/>
        <w:rPr>
          <w:rFonts w:hint="default" w:eastAsia="宋体"/>
          <w:color w:val="auto"/>
          <w:lang w:val="en-US" w:eastAsia="zh-CN"/>
        </w:rPr>
      </w:pPr>
      <w:r>
        <w:rPr>
          <w:rFonts w:hint="eastAsia"/>
          <w:color w:val="auto"/>
        </w:rPr>
        <w:t>为了让学生能更快的进入今天的探究过程中，更快的了解杨辉三角的产生及其背后蕴含的历史价值，教师在课前让学生通过查找资料了解杨辉三角。</w:t>
      </w:r>
      <w:r>
        <w:rPr>
          <w:rStyle w:val="13"/>
          <w:rFonts w:hint="eastAsia"/>
          <w:color w:val="auto"/>
          <w:lang w:val="en-US" w:eastAsia="zh-CN"/>
        </w:rPr>
        <w:t>通过查阅资料，学生们了解到杨辉三角最早被记录于北宋时期，数学家贾宪的著作《释锁算术》中，是一个无限对称的数字三角形。又称之为“开方作法本源图”，用于开高次方。与二项式定理展开式的系数有密切的关系，它体现了人类对数学规律的探索和追求，在现今社会也有广泛的应用。</w:t>
      </w:r>
    </w:p>
    <w:p>
      <w:pPr>
        <w:ind w:firstLine="422"/>
        <w:rPr>
          <w:color w:val="auto"/>
        </w:rPr>
      </w:pPr>
      <w:r>
        <w:rPr>
          <w:rFonts w:hint="eastAsia"/>
          <w:b/>
          <w:bCs/>
          <w:color w:val="auto"/>
        </w:rPr>
        <w:t>【设计意图】</w:t>
      </w:r>
      <w:r>
        <w:rPr>
          <w:rFonts w:hint="eastAsia"/>
          <w:color w:val="auto"/>
        </w:rPr>
        <w:t>通过介绍杨辉三角的诞生和北宋之后的数学家对它的探究，了解古人是如何探究杨辉三角，引起学生的学习兴趣与激发探究热情，激发学生的民族自信与爱国之情，在数学的教学中渗透中国优秀传统文化，进一步弘扬爱国主义精神。</w:t>
      </w:r>
    </w:p>
    <w:p>
      <w:pPr>
        <w:pStyle w:val="4"/>
        <w:rPr>
          <w:color w:val="auto"/>
        </w:rPr>
      </w:pPr>
      <w:r>
        <w:rPr>
          <w:rFonts w:hint="eastAsia"/>
          <w:color w:val="auto"/>
        </w:rPr>
        <w:t>3.2 启发诱导、探求新知</w:t>
      </w:r>
    </w:p>
    <w:p>
      <w:pPr>
        <w:ind w:firstLine="420"/>
        <w:rPr>
          <w:color w:val="auto"/>
        </w:rPr>
      </w:pPr>
      <w:r>
        <w:rPr>
          <w:rFonts w:hint="eastAsia"/>
          <w:color w:val="auto"/>
        </w:rPr>
        <w:t>师：</w:t>
      </w:r>
      <w:r>
        <w:rPr>
          <w:rFonts w:hint="eastAsia" w:eastAsia="楷体"/>
          <w:color w:val="auto"/>
        </w:rPr>
        <w:t>杨辉三角是二项展开式系数在三角形中的一种几何排列，是中国数学史上的一个伟大成就，但是杨辉三角的美妙之处远不止于此，同学们还能找到它的哪些数字特征呢？借助我们学过的知识，接下来，请同学们分组讨论，并进行汇报。</w:t>
      </w:r>
    </w:p>
    <w:p>
      <w:pPr>
        <w:ind w:firstLine="420"/>
        <w:rPr>
          <w:color w:val="auto"/>
        </w:rPr>
      </w:pPr>
      <w:r>
        <w:rPr>
          <w:rFonts w:hint="eastAsia"/>
          <w:color w:val="auto"/>
          <w:lang w:val="en-US" w:eastAsia="zh-CN"/>
        </w:rPr>
        <w:t>小组1</w:t>
      </w:r>
      <w:r>
        <w:rPr>
          <w:rFonts w:hint="eastAsia"/>
          <w:color w:val="auto"/>
        </w:rPr>
        <w:t>：</w:t>
      </w:r>
      <w:r>
        <w:rPr>
          <w:rFonts w:hint="eastAsia" w:eastAsia="楷体"/>
          <w:color w:val="auto"/>
        </w:rPr>
        <w:t>我们小组考虑到杨辉三角和组合数的关系，即杨辉三角中第</w:t>
      </w:r>
      <w:r>
        <w:rPr>
          <w:rFonts w:hint="eastAsia" w:eastAsia="楷体"/>
          <w:color w:val="auto"/>
          <w:position w:val="-6"/>
        </w:rPr>
        <w:object>
          <v:shape id="_x0000_i1025" o:spt="75" type="#_x0000_t75" style="height:14.1pt;width:23.9pt;" o:ole="t" filled="f" o:preferrelative="t" stroked="f" coordsize="21600,21600">
            <v:path/>
            <v:fill on="f" focussize="0,0"/>
            <v:stroke on="f" joinstyle="miter"/>
            <v:imagedata r:id="rId14" o:title=""/>
            <o:lock v:ext="edit" aspectratio="t"/>
            <w10:wrap type="none"/>
            <w10:anchorlock/>
          </v:shape>
          <o:OLEObject Type="Embed" ProgID="Equation.DSMT4" ShapeID="_x0000_i1025" DrawAspect="Content" ObjectID="_1468075725" r:id="rId13">
            <o:LockedField>false</o:LockedField>
          </o:OLEObject>
        </w:object>
      </w:r>
      <w:r>
        <w:rPr>
          <w:rFonts w:hint="eastAsia" w:eastAsia="楷体"/>
          <w:color w:val="auto"/>
        </w:rPr>
        <w:t>行中的第</w:t>
      </w:r>
      <w:r>
        <w:rPr>
          <w:rFonts w:hint="eastAsia" w:eastAsia="楷体"/>
          <w:color w:val="auto"/>
          <w:position w:val="-6"/>
        </w:rPr>
        <w:object>
          <v:shape id="_x0000_i1026" o:spt="75" type="#_x0000_t75" style="height:14.4pt;width:27.25pt;" o:ole="t" filled="f" o:preferrelative="t" stroked="f" coordsize="21600,21600">
            <v:path/>
            <v:fill on="f" focussize="0,0"/>
            <v:stroke on="f" joinstyle="miter"/>
            <v:imagedata r:id="rId16" o:title=""/>
            <o:lock v:ext="edit" aspectratio="t"/>
            <w10:wrap type="none"/>
            <w10:anchorlock/>
          </v:shape>
          <o:OLEObject Type="Embed" ProgID="Equation.DSMT4" ShapeID="_x0000_i1026" DrawAspect="Content" ObjectID="_1468075726" r:id="rId15">
            <o:LockedField>false</o:LockedField>
          </o:OLEObject>
        </w:object>
      </w:r>
      <w:r>
        <w:rPr>
          <w:rFonts w:hint="eastAsia" w:eastAsia="楷体"/>
          <w:color w:val="auto"/>
        </w:rPr>
        <w:t>个数为</w:t>
      </w:r>
      <w:r>
        <w:rPr>
          <w:rFonts w:hint="eastAsia" w:eastAsia="楷体"/>
          <w:color w:val="auto"/>
          <w:position w:val="-12"/>
        </w:rPr>
        <w:object>
          <v:shape id="_x0000_i1027" o:spt="75" type="#_x0000_t75" style="height:19pt;width:15.95pt;" o:ole="t" filled="f" o:preferrelative="t" stroked="f" coordsize="21600,21600">
            <v:path/>
            <v:fill on="f" focussize="0,0"/>
            <v:stroke on="f" joinstyle="miter"/>
            <v:imagedata r:id="rId18" o:title=""/>
            <o:lock v:ext="edit" aspectratio="t"/>
            <w10:wrap type="none"/>
            <w10:anchorlock/>
          </v:shape>
          <o:OLEObject Type="Embed" ProgID="Equation.DSMT4" ShapeID="_x0000_i1027" DrawAspect="Content" ObjectID="_1468075727" r:id="rId17">
            <o:LockedField>false</o:LockedField>
          </o:OLEObject>
        </w:object>
      </w:r>
      <w:r>
        <w:rPr>
          <w:rFonts w:hint="eastAsia" w:eastAsia="楷体"/>
          <w:color w:val="auto"/>
        </w:rPr>
        <w:t>，并借助已经学过的组合数的性质，给出了</w:t>
      </w:r>
      <w:r>
        <w:rPr>
          <w:rFonts w:hint="eastAsia" w:eastAsia="楷体"/>
          <w:color w:val="auto"/>
          <w:lang w:val="en-US" w:eastAsia="zh-CN"/>
        </w:rPr>
        <w:t>以</w:t>
      </w:r>
      <w:r>
        <w:rPr>
          <w:rFonts w:hint="eastAsia" w:eastAsia="楷体"/>
          <w:color w:val="auto"/>
        </w:rPr>
        <w:t>下杨辉三角的数字特征：</w:t>
      </w:r>
    </w:p>
    <w:p>
      <w:pPr>
        <w:ind w:firstLine="420"/>
        <w:rPr>
          <w:rFonts w:eastAsia="楷体"/>
          <w:color w:val="auto"/>
        </w:rPr>
      </w:pPr>
      <w:r>
        <w:rPr>
          <w:rFonts w:hint="eastAsia" w:eastAsia="楷体"/>
          <w:color w:val="auto"/>
        </w:rPr>
        <w:t>（1）第</w:t>
      </w:r>
      <w:r>
        <w:rPr>
          <w:rFonts w:hint="eastAsia" w:eastAsia="楷体"/>
          <w:color w:val="auto"/>
          <w:position w:val="-6"/>
        </w:rPr>
        <w:object>
          <v:shape id="_x0000_i1028" o:spt="75" type="#_x0000_t75" style="height:11.35pt;width:9.8pt;" o:ole="t" filled="f" o:preferrelative="t" stroked="f" coordsize="21600,21600">
            <v:path/>
            <v:fill on="f" focussize="0,0"/>
            <v:stroke on="f" joinstyle="miter"/>
            <v:imagedata r:id="rId20" o:title=""/>
            <o:lock v:ext="edit" aspectratio="f"/>
            <w10:wrap type="none"/>
            <w10:anchorlock/>
          </v:shape>
          <o:OLEObject Type="Embed" ProgID="Equation.DSMT4" ShapeID="_x0000_i1028" DrawAspect="Content" ObjectID="_1468075728" r:id="rId19">
            <o:LockedField>false</o:LockedField>
          </o:OLEObject>
        </w:object>
      </w:r>
      <w:r>
        <w:rPr>
          <w:rFonts w:hint="eastAsia" w:eastAsia="楷体"/>
          <w:color w:val="auto"/>
        </w:rPr>
        <w:t>行有</w:t>
      </w:r>
      <w:r>
        <w:rPr>
          <w:rFonts w:hint="eastAsia" w:eastAsia="楷体"/>
          <w:color w:val="auto"/>
          <w:position w:val="-6"/>
        </w:rPr>
        <w:object>
          <v:shape id="_x0000_i1029" o:spt="75" type="#_x0000_t75" style="height:11.35pt;width:9.8pt;" o:ole="t" filled="f" o:preferrelative="t" stroked="f" coordsize="21600,21600">
            <v:path/>
            <v:fill on="f" focussize="0,0"/>
            <v:stroke on="f" joinstyle="miter"/>
            <v:imagedata r:id="rId20" o:title=""/>
            <o:lock v:ext="edit" aspectratio="f"/>
            <w10:wrap type="none"/>
            <w10:anchorlock/>
          </v:shape>
          <o:OLEObject Type="Embed" ProgID="Equation.DSMT4" ShapeID="_x0000_i1029" DrawAspect="Content" ObjectID="_1468075729" r:id="rId21">
            <o:LockedField>false</o:LockedField>
          </o:OLEObject>
        </w:object>
      </w:r>
      <w:r>
        <w:rPr>
          <w:rFonts w:hint="eastAsia" w:eastAsia="楷体"/>
          <w:color w:val="auto"/>
        </w:rPr>
        <w:t>个数；</w:t>
      </w:r>
    </w:p>
    <w:p>
      <w:pPr>
        <w:ind w:firstLine="420"/>
        <w:rPr>
          <w:rFonts w:eastAsia="楷体"/>
          <w:color w:val="auto"/>
        </w:rPr>
      </w:pPr>
      <w:r>
        <w:rPr>
          <w:rFonts w:hint="eastAsia" w:eastAsia="楷体"/>
          <w:color w:val="auto"/>
        </w:rPr>
        <w:t>（2）对称性：每行中与首末两项等距的两个数是相等的，即</w:t>
      </w:r>
      <w:r>
        <w:rPr>
          <w:rFonts w:hint="eastAsia" w:eastAsia="楷体"/>
          <w:color w:val="auto"/>
          <w:position w:val="-12"/>
        </w:rPr>
        <w:object>
          <v:shape id="_x0000_i1030" o:spt="75" type="#_x0000_t75" style="height:19pt;width:45.95pt;" o:ole="t" filled="f" o:preferrelative="t" stroked="f" coordsize="21600,21600">
            <v:path/>
            <v:fill on="f" focussize="0,0"/>
            <v:stroke on="f" joinstyle="miter"/>
            <v:imagedata r:id="rId23" o:title=""/>
            <o:lock v:ext="edit" aspectratio="t"/>
            <w10:wrap type="none"/>
            <w10:anchorlock/>
          </v:shape>
          <o:OLEObject Type="Embed" ProgID="Equation.DSMT4" ShapeID="_x0000_i1030" DrawAspect="Content" ObjectID="_1468075730" r:id="rId22">
            <o:LockedField>false</o:LockedField>
          </o:OLEObject>
        </w:object>
      </w:r>
      <w:r>
        <w:rPr>
          <w:rFonts w:hint="eastAsia" w:eastAsia="楷体"/>
          <w:color w:val="auto"/>
        </w:rPr>
        <w:t>；</w:t>
      </w:r>
    </w:p>
    <w:p>
      <w:pPr>
        <w:ind w:firstLine="420"/>
        <w:rPr>
          <w:rFonts w:eastAsia="楷体"/>
          <w:color w:val="auto"/>
        </w:rPr>
      </w:pPr>
      <w:r>
        <w:rPr>
          <w:rFonts w:hint="eastAsia" w:eastAsia="楷体"/>
          <w:color w:val="auto"/>
        </w:rPr>
        <w:t>（3）除1以外的数都等于它肩上的两个数之和，即</w:t>
      </w:r>
      <w:r>
        <w:rPr>
          <w:rFonts w:hint="eastAsia" w:eastAsia="楷体"/>
          <w:color w:val="auto"/>
          <w:position w:val="-12"/>
        </w:rPr>
        <w:object>
          <v:shape id="_x0000_i1031" o:spt="75" type="#_x0000_t75" style="height:19pt;width:72.9pt;" o:ole="t" filled="f" o:preferrelative="t" stroked="f" coordsize="21600,21600">
            <v:path/>
            <v:fill on="f" focussize="0,0"/>
            <v:stroke on="f" joinstyle="miter"/>
            <v:imagedata r:id="rId25" o:title=""/>
            <o:lock v:ext="edit" aspectratio="t"/>
            <w10:wrap type="none"/>
            <w10:anchorlock/>
          </v:shape>
          <o:OLEObject Type="Embed" ProgID="Equation.DSMT4" ShapeID="_x0000_i1031" DrawAspect="Content" ObjectID="_1468075731" r:id="rId24">
            <o:LockedField>false</o:LockedField>
          </o:OLEObject>
        </w:object>
      </w:r>
      <w:r>
        <w:rPr>
          <w:rFonts w:hint="eastAsia" w:eastAsia="楷体"/>
          <w:color w:val="auto"/>
        </w:rPr>
        <w:t>；</w:t>
      </w:r>
    </w:p>
    <w:p>
      <w:pPr>
        <w:ind w:firstLine="420"/>
        <w:rPr>
          <w:rFonts w:eastAsia="楷体"/>
          <w:color w:val="auto"/>
        </w:rPr>
      </w:pPr>
      <w:r>
        <w:rPr>
          <w:rFonts w:hint="eastAsia" w:eastAsia="楷体"/>
          <w:color w:val="auto"/>
        </w:rPr>
        <w:t>（4）第</w:t>
      </w:r>
      <w:r>
        <w:rPr>
          <w:rFonts w:hint="eastAsia" w:eastAsia="楷体"/>
          <w:color w:val="auto"/>
          <w:position w:val="-6"/>
        </w:rPr>
        <w:object>
          <v:shape id="_x0000_i1032" o:spt="75" type="#_x0000_t75" style="height:14.1pt;width:23.9pt;" o:ole="t" filled="f" o:preferrelative="t" stroked="f" coordsize="21600,21600">
            <v:path/>
            <v:fill on="f" focussize="0,0"/>
            <v:stroke on="f" joinstyle="miter"/>
            <v:imagedata r:id="rId27" o:title=""/>
            <o:lock v:ext="edit" aspectratio="f"/>
            <w10:wrap type="none"/>
            <w10:anchorlock/>
          </v:shape>
          <o:OLEObject Type="Embed" ProgID="Equation.DSMT4" ShapeID="_x0000_i1032" DrawAspect="Content" ObjectID="_1468075732" r:id="rId26">
            <o:LockedField>false</o:LockedField>
          </o:OLEObject>
        </w:object>
      </w:r>
      <w:r>
        <w:rPr>
          <w:rFonts w:hint="eastAsia" w:eastAsia="楷体"/>
          <w:color w:val="auto"/>
        </w:rPr>
        <w:t>行所有数之和为</w:t>
      </w:r>
      <w:r>
        <w:rPr>
          <w:rFonts w:hint="eastAsia" w:eastAsia="楷体"/>
          <w:color w:val="auto"/>
          <w:position w:val="-4"/>
        </w:rPr>
        <w:object>
          <v:shape id="_x0000_i1033" o:spt="75" type="#_x0000_t75" style="height:14.7pt;width:14.1pt;" o:ole="t" filled="f" o:preferrelative="t" stroked="f" coordsize="21600,21600">
            <v:path/>
            <v:fill on="f" focussize="0,0"/>
            <v:stroke on="f" joinstyle="miter"/>
            <v:imagedata r:id="rId29" o:title=""/>
            <o:lock v:ext="edit" aspectratio="f"/>
            <w10:wrap type="none"/>
            <w10:anchorlock/>
          </v:shape>
          <o:OLEObject Type="Embed" ProgID="Equation.DSMT4" ShapeID="_x0000_i1033" DrawAspect="Content" ObjectID="_1468075733" r:id="rId28">
            <o:LockedField>false</o:LockedField>
          </o:OLEObject>
        </w:object>
      </w:r>
      <w:r>
        <w:rPr>
          <w:rFonts w:hint="eastAsia" w:eastAsia="楷体"/>
          <w:color w:val="auto"/>
        </w:rPr>
        <w:t>，即</w:t>
      </w:r>
      <w:r>
        <w:rPr>
          <w:rFonts w:hint="eastAsia" w:eastAsia="楷体"/>
          <w:color w:val="auto"/>
          <w:position w:val="-12"/>
        </w:rPr>
        <w:object>
          <v:shape id="_x0000_i1034" o:spt="75" type="#_x0000_t75" style="height:19pt;width:103.85pt;" o:ole="t" filled="f" o:preferrelative="t" stroked="f" coordsize="21600,21600">
            <v:path/>
            <v:fill on="f" focussize="0,0"/>
            <v:stroke on="f" joinstyle="miter"/>
            <v:imagedata r:id="rId31" o:title=""/>
            <o:lock v:ext="edit" aspectratio="t"/>
            <w10:wrap type="none"/>
            <w10:anchorlock/>
          </v:shape>
          <o:OLEObject Type="Embed" ProgID="Equation.DSMT4" ShapeID="_x0000_i1034" DrawAspect="Content" ObjectID="_1468075734" r:id="rId30">
            <o:LockedField>false</o:LockedField>
          </o:OLEObject>
        </w:object>
      </w:r>
      <w:r>
        <w:rPr>
          <w:rFonts w:hint="eastAsia" w:eastAsia="楷体"/>
          <w:color w:val="auto"/>
        </w:rPr>
        <w:t>；</w:t>
      </w:r>
    </w:p>
    <w:p>
      <w:pPr>
        <w:ind w:firstLine="420"/>
        <w:rPr>
          <w:rFonts w:hint="eastAsia" w:eastAsia="楷体"/>
          <w:color w:val="auto"/>
        </w:rPr>
      </w:pPr>
      <w:r>
        <w:rPr>
          <w:rFonts w:hint="eastAsia" w:eastAsia="楷体"/>
          <w:color w:val="auto"/>
        </w:rPr>
        <w:t>（5）每一行的奇数项之和等于偶数项之和，即</w:t>
      </w:r>
      <w:r>
        <w:rPr>
          <w:rFonts w:hint="eastAsia" w:eastAsia="楷体"/>
          <w:color w:val="auto"/>
          <w:position w:val="-12"/>
        </w:rPr>
        <w:object>
          <v:shape id="_x0000_i1035" o:spt="75" type="#_x0000_t75" style="height:19pt;width:150.45pt;" o:ole="t" filled="f" o:preferrelative="t" stroked="f" coordsize="21600,21600">
            <v:path/>
            <v:fill on="f" focussize="0,0"/>
            <v:stroke on="f" joinstyle="miter"/>
            <v:imagedata r:id="rId33" o:title=""/>
            <o:lock v:ext="edit" aspectratio="t"/>
            <w10:wrap type="none"/>
            <w10:anchorlock/>
          </v:shape>
          <o:OLEObject Type="Embed" ProgID="Equation.DSMT4" ShapeID="_x0000_i1035" DrawAspect="Content" ObjectID="_1468075735" r:id="rId32">
            <o:LockedField>false</o:LockedField>
          </o:OLEObject>
        </w:object>
      </w:r>
      <w:r>
        <w:rPr>
          <w:rFonts w:hint="eastAsia" w:eastAsia="楷体"/>
          <w:color w:val="auto"/>
        </w:rPr>
        <w:t>；</w:t>
      </w:r>
    </w:p>
    <w:p>
      <w:pPr>
        <w:ind w:firstLine="420"/>
        <w:rPr>
          <w:rFonts w:hint="eastAsia" w:eastAsia="楷体"/>
          <w:color w:val="auto"/>
        </w:rPr>
      </w:pPr>
      <w:r>
        <w:rPr>
          <w:color w:val="auto"/>
        </w:rPr>
        <w:drawing>
          <wp:inline distT="0" distB="0" distL="114300" distR="114300">
            <wp:extent cx="3232785" cy="2485390"/>
            <wp:effectExtent l="0" t="0" r="5715" b="3810"/>
            <wp:docPr id="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4"/>
                    <pic:cNvPicPr>
                      <a:picLocks noChangeAspect="1"/>
                    </pic:cNvPicPr>
                  </pic:nvPicPr>
                  <pic:blipFill>
                    <a:blip r:embed="rId34"/>
                    <a:stretch>
                      <a:fillRect/>
                    </a:stretch>
                  </pic:blipFill>
                  <pic:spPr>
                    <a:xfrm>
                      <a:off x="0" y="0"/>
                      <a:ext cx="3232785" cy="2485390"/>
                    </a:xfrm>
                    <a:prstGeom prst="rect">
                      <a:avLst/>
                    </a:prstGeom>
                    <a:noFill/>
                    <a:ln>
                      <a:noFill/>
                    </a:ln>
                  </pic:spPr>
                </pic:pic>
              </a:graphicData>
            </a:graphic>
          </wp:inline>
        </w:drawing>
      </w:r>
    </w:p>
    <w:p>
      <w:pPr>
        <w:ind w:firstLine="420"/>
        <w:rPr>
          <w:rFonts w:hint="default" w:eastAsia="楷体"/>
          <w:color w:val="auto"/>
          <w:lang w:val="en-US" w:eastAsia="zh-CN"/>
        </w:rPr>
      </w:pPr>
      <w:r>
        <w:rPr>
          <w:rFonts w:hint="eastAsia" w:eastAsia="楷体"/>
          <w:color w:val="auto"/>
          <w:lang w:val="en-US" w:eastAsia="zh-CN"/>
        </w:rPr>
        <w:t>小组2：我们小组考虑杨辉三角排列和数列之间的关系，发现杨辉三角中又几个我们常见的数列，</w:t>
      </w:r>
      <w:r>
        <w:rPr>
          <w:rFonts w:hint="eastAsia" w:eastAsia="楷体"/>
          <w:color w:val="auto"/>
        </w:rPr>
        <w:t>给出了</w:t>
      </w:r>
      <w:r>
        <w:rPr>
          <w:rFonts w:hint="eastAsia" w:eastAsia="楷体"/>
          <w:color w:val="auto"/>
          <w:lang w:val="en-US" w:eastAsia="zh-CN"/>
        </w:rPr>
        <w:t>以</w:t>
      </w:r>
      <w:r>
        <w:rPr>
          <w:rFonts w:hint="eastAsia" w:eastAsia="楷体"/>
          <w:color w:val="auto"/>
        </w:rPr>
        <w:t>下杨辉三角的数字特征：</w:t>
      </w:r>
    </w:p>
    <w:p>
      <w:pPr>
        <w:ind w:firstLine="420"/>
        <w:rPr>
          <w:rFonts w:eastAsia="楷体"/>
          <w:color w:val="auto"/>
          <w:position w:val="-12"/>
        </w:rPr>
      </w:pPr>
      <w:r>
        <w:rPr>
          <w:rFonts w:hint="eastAsia" w:eastAsia="楷体"/>
          <w:color w:val="auto"/>
        </w:rPr>
        <w:t>（6）第二斜行为首项为1，公差为1的等差数列，即</w:t>
      </w:r>
      <w:r>
        <w:rPr>
          <w:rFonts w:hint="eastAsia" w:eastAsia="楷体"/>
          <w:color w:val="auto"/>
          <w:position w:val="-12"/>
        </w:rPr>
        <w:object>
          <v:shape id="_x0000_i1036" o:spt="75" type="#_x0000_t75" style="height:19pt;width:34.95pt;" o:ole="t" filled="f" o:preferrelative="t" stroked="f" coordsize="21600,21600">
            <v:path/>
            <v:fill on="f" focussize="0,0"/>
            <v:stroke on="f" joinstyle="miter"/>
            <v:imagedata r:id="rId36" o:title=""/>
            <o:lock v:ext="edit" aspectratio="t"/>
            <w10:wrap type="none"/>
            <w10:anchorlock/>
          </v:shape>
          <o:OLEObject Type="Embed" ProgID="Equation.DSMT4" ShapeID="_x0000_i1036" DrawAspect="Content" ObjectID="_1468075736" r:id="rId35">
            <o:LockedField>false</o:LockedField>
          </o:OLEObject>
        </w:object>
      </w:r>
      <w:r>
        <w:rPr>
          <w:rFonts w:hint="eastAsia" w:eastAsia="楷体"/>
          <w:color w:val="auto"/>
        </w:rPr>
        <w:t>；</w:t>
      </w:r>
    </w:p>
    <w:p>
      <w:pPr>
        <w:ind w:firstLine="420"/>
        <w:rPr>
          <w:rFonts w:eastAsia="楷体"/>
          <w:color w:val="auto"/>
        </w:rPr>
      </w:pPr>
      <w:r>
        <w:rPr>
          <w:rFonts w:hint="eastAsia" w:eastAsia="楷体"/>
          <w:color w:val="auto"/>
        </w:rPr>
        <w:t>（7）第</w:t>
      </w:r>
      <w:r>
        <w:rPr>
          <w:rFonts w:hint="eastAsia" w:eastAsia="楷体"/>
          <w:color w:val="auto"/>
          <w:position w:val="-4"/>
        </w:rPr>
        <w:object>
          <v:shape id="_x0000_i1037" o:spt="75" type="#_x0000_t75" style="height:13.15pt;width:7.05pt;" o:ole="t" filled="f" o:preferrelative="t" stroked="f" coordsize="21600,21600">
            <v:path/>
            <v:fill on="f" focussize="0,0"/>
            <v:stroke on="f" joinstyle="miter"/>
            <v:imagedata r:id="rId38" o:title=""/>
            <o:lock v:ext="edit" aspectratio="f"/>
            <w10:wrap type="none"/>
            <w10:anchorlock/>
          </v:shape>
          <o:OLEObject Type="Embed" ProgID="Equation.DSMT4" ShapeID="_x0000_i1037" DrawAspect="Content" ObjectID="_1468075737" r:id="rId37">
            <o:LockedField>false</o:LockedField>
          </o:OLEObject>
        </w:object>
      </w:r>
      <w:r>
        <w:rPr>
          <w:rFonts w:hint="eastAsia" w:eastAsia="楷体"/>
          <w:color w:val="auto"/>
        </w:rPr>
        <w:t>斜行是</w:t>
      </w:r>
      <w:r>
        <w:rPr>
          <w:rFonts w:hint="eastAsia" w:eastAsia="楷体"/>
          <w:color w:val="auto"/>
          <w:position w:val="-12"/>
        </w:rPr>
        <w:object>
          <v:shape id="_x0000_i1038" o:spt="75" type="#_x0000_t75" style="height:18.4pt;width:30.05pt;" o:ole="t" filled="f" o:preferrelative="t" stroked="f" coordsize="21600,21600">
            <v:path/>
            <v:fill on="f" focussize="0,0"/>
            <v:stroke on="f" joinstyle="miter"/>
            <v:imagedata r:id="rId40" o:title=""/>
            <o:lock v:ext="edit" aspectratio="f"/>
            <w10:wrap type="none"/>
            <w10:anchorlock/>
          </v:shape>
          <o:OLEObject Type="Embed" ProgID="Equation.DSMT4" ShapeID="_x0000_i1038" DrawAspect="Content" ObjectID="_1468075738" r:id="rId39">
            <o:LockedField>false</o:LockedField>
          </o:OLEObject>
        </w:object>
      </w:r>
      <w:r>
        <w:rPr>
          <w:rFonts w:hint="eastAsia" w:eastAsia="楷体"/>
          <w:color w:val="auto"/>
        </w:rPr>
        <w:t>的常数列；</w:t>
      </w:r>
    </w:p>
    <w:p>
      <w:pPr>
        <w:ind w:firstLine="420"/>
        <w:rPr>
          <w:rFonts w:hint="eastAsia" w:eastAsia="楷体"/>
          <w:color w:val="auto"/>
        </w:rPr>
      </w:pPr>
      <w:r>
        <w:rPr>
          <w:rFonts w:hint="eastAsia" w:eastAsia="楷体"/>
          <w:color w:val="auto"/>
        </w:rPr>
        <w:t>（8）第</w:t>
      </w:r>
      <w:r>
        <w:rPr>
          <w:rFonts w:hint="eastAsia" w:eastAsia="楷体"/>
          <w:color w:val="auto"/>
          <w:position w:val="-6"/>
        </w:rPr>
        <w:object>
          <v:shape id="_x0000_i1039" o:spt="75" type="#_x0000_t75" style="height:14.1pt;width:8.9pt;" o:ole="t" filled="f" o:preferrelative="t" stroked="f" coordsize="21600,21600">
            <v:path/>
            <v:fill on="f" focussize="0,0"/>
            <v:stroke on="f" joinstyle="miter"/>
            <v:imagedata r:id="rId42" o:title=""/>
            <o:lock v:ext="edit" aspectratio="f"/>
            <w10:wrap type="none"/>
            <w10:anchorlock/>
          </v:shape>
          <o:OLEObject Type="Embed" ProgID="Equation.DSMT4" ShapeID="_x0000_i1039" DrawAspect="Content" ObjectID="_1468075739" r:id="rId41">
            <o:LockedField>false</o:LockedField>
          </o:OLEObject>
        </w:object>
      </w:r>
      <w:r>
        <w:rPr>
          <w:rFonts w:hint="eastAsia" w:eastAsia="楷体"/>
          <w:color w:val="auto"/>
        </w:rPr>
        <w:t>斜行是</w:t>
      </w:r>
      <w:r>
        <w:rPr>
          <w:rFonts w:hint="eastAsia" w:eastAsia="楷体"/>
          <w:color w:val="auto"/>
          <w:position w:val="-12"/>
        </w:rPr>
        <w:object>
          <v:shape id="_x0000_i1040" o:spt="75" type="#_x0000_t75" style="height:18.4pt;width:122.85pt;" o:ole="t" filled="f" o:preferrelative="t" stroked="f" coordsize="21600,21600">
            <v:path/>
            <v:fill on="f" focussize="0,0"/>
            <v:stroke on="f" joinstyle="miter"/>
            <v:imagedata r:id="rId44" o:title=""/>
            <o:lock v:ext="edit" aspectratio="f"/>
            <w10:wrap type="none"/>
            <w10:anchorlock/>
          </v:shape>
          <o:OLEObject Type="Embed" ProgID="Equation.DSMT4" ShapeID="_x0000_i1040" DrawAspect="Content" ObjectID="_1468075740" r:id="rId43">
            <o:LockedField>false</o:LockedField>
          </o:OLEObject>
        </w:object>
      </w:r>
      <w:r>
        <w:rPr>
          <w:rFonts w:hint="eastAsia" w:eastAsia="楷体"/>
          <w:color w:val="auto"/>
        </w:rPr>
        <w:t>的数列，通项公式为</w:t>
      </w:r>
      <w:r>
        <w:rPr>
          <w:rFonts w:hint="eastAsia" w:eastAsia="楷体"/>
          <w:color w:val="auto"/>
          <w:position w:val="-24"/>
        </w:rPr>
        <w:object>
          <v:shape id="_x0000_i1041" o:spt="75" type="#_x0000_t75" style="height:30.65pt;width:64.35pt;" o:ole="t" filled="f" o:preferrelative="t" stroked="f" coordsize="21600,21600">
            <v:path/>
            <v:fill on="f" focussize="0,0"/>
            <v:stroke on="f" joinstyle="miter"/>
            <v:imagedata r:id="rId46" o:title=""/>
            <o:lock v:ext="edit" aspectratio="f"/>
            <w10:wrap type="none"/>
            <w10:anchorlock/>
          </v:shape>
          <o:OLEObject Type="Embed" ProgID="Equation.DSMT4" ShapeID="_x0000_i1041" DrawAspect="Content" ObjectID="_1468075741" r:id="rId45">
            <o:LockedField>false</o:LockedField>
          </o:OLEObject>
        </w:object>
      </w:r>
      <w:r>
        <w:rPr>
          <w:rFonts w:hint="eastAsia" w:eastAsia="楷体"/>
          <w:color w:val="auto"/>
        </w:rPr>
        <w:t>。</w:t>
      </w:r>
    </w:p>
    <w:p>
      <w:pPr>
        <w:ind w:firstLine="420"/>
        <w:rPr>
          <w:rFonts w:hint="eastAsia" w:eastAsia="楷体"/>
          <w:color w:val="auto"/>
        </w:rPr>
      </w:pPr>
      <w:r>
        <w:rPr>
          <w:color w:val="auto"/>
        </w:rPr>
        <w:drawing>
          <wp:inline distT="0" distB="0" distL="114300" distR="114300">
            <wp:extent cx="2650490" cy="2987040"/>
            <wp:effectExtent l="0" t="0" r="3810" b="10160"/>
            <wp:docPr id="2"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5"/>
                    <pic:cNvPicPr>
                      <a:picLocks noChangeAspect="1"/>
                    </pic:cNvPicPr>
                  </pic:nvPicPr>
                  <pic:blipFill>
                    <a:blip r:embed="rId47"/>
                    <a:stretch>
                      <a:fillRect/>
                    </a:stretch>
                  </pic:blipFill>
                  <pic:spPr>
                    <a:xfrm>
                      <a:off x="0" y="0"/>
                      <a:ext cx="2650490" cy="2987040"/>
                    </a:xfrm>
                    <a:prstGeom prst="rect">
                      <a:avLst/>
                    </a:prstGeom>
                    <a:noFill/>
                    <a:ln>
                      <a:noFill/>
                    </a:ln>
                  </pic:spPr>
                </pic:pic>
              </a:graphicData>
            </a:graphic>
          </wp:inline>
        </w:drawing>
      </w:r>
    </w:p>
    <w:p>
      <w:pPr>
        <w:ind w:firstLine="420"/>
        <w:rPr>
          <w:color w:val="auto"/>
          <w:position w:val="-12"/>
        </w:rPr>
      </w:pPr>
      <w:r>
        <w:rPr>
          <w:rFonts w:hint="eastAsia"/>
          <w:color w:val="auto"/>
          <w:position w:val="-12"/>
          <w:lang w:val="en-US" w:eastAsia="zh-CN"/>
        </w:rPr>
        <w:t>学生</w:t>
      </w:r>
      <w:r>
        <w:rPr>
          <w:rFonts w:hint="eastAsia"/>
          <w:color w:val="auto"/>
          <w:position w:val="-12"/>
        </w:rPr>
        <w:t>运用组合数的性质快速</w:t>
      </w:r>
      <w:r>
        <w:rPr>
          <w:rFonts w:hint="eastAsia"/>
          <w:color w:val="auto"/>
          <w:position w:val="-12"/>
          <w:lang w:val="en-US" w:eastAsia="zh-CN"/>
        </w:rPr>
        <w:t>证明了上述结论</w:t>
      </w:r>
      <w:r>
        <w:rPr>
          <w:rFonts w:hint="eastAsia"/>
          <w:color w:val="auto"/>
          <w:position w:val="-12"/>
        </w:rPr>
        <w:t>。</w:t>
      </w:r>
    </w:p>
    <w:p>
      <w:pPr>
        <w:ind w:firstLine="422"/>
        <w:rPr>
          <w:color w:val="auto"/>
          <w:position w:val="-12"/>
        </w:rPr>
      </w:pPr>
      <w:r>
        <w:rPr>
          <w:rFonts w:hint="eastAsia"/>
          <w:b/>
          <w:bCs/>
          <w:color w:val="auto"/>
          <w:position w:val="-12"/>
        </w:rPr>
        <w:t>【设计意图】</w:t>
      </w:r>
      <w:r>
        <w:rPr>
          <w:rFonts w:hint="eastAsia"/>
          <w:color w:val="auto"/>
          <w:position w:val="-12"/>
        </w:rPr>
        <w:t>学生通过自主探究，将已有知识与杨辉三角建立联系，利用数形结合的思想将组合数性质与杨辉三角性质对应，从中领悟数形结合的探究方法。</w:t>
      </w:r>
    </w:p>
    <w:p>
      <w:pPr>
        <w:ind w:firstLine="420"/>
        <w:rPr>
          <w:color w:val="auto"/>
          <w:position w:val="-12"/>
        </w:rPr>
      </w:pPr>
      <w:r>
        <w:rPr>
          <w:rFonts w:hint="eastAsia"/>
          <w:color w:val="auto"/>
          <w:position w:val="-12"/>
        </w:rPr>
        <w:t>师：</w:t>
      </w:r>
      <w:r>
        <w:rPr>
          <w:rFonts w:hint="eastAsia" w:eastAsia="楷体"/>
          <w:color w:val="auto"/>
          <w:position w:val="-12"/>
        </w:rPr>
        <w:t>对于每一行，我们探究了每一行中数的个数，数的排列，数的和？那么每一斜行的数的和呢？</w:t>
      </w:r>
    </w:p>
    <w:p>
      <w:pPr>
        <w:ind w:firstLine="420"/>
        <w:rPr>
          <w:rFonts w:hint="eastAsia" w:eastAsia="楷体"/>
          <w:color w:val="auto"/>
        </w:rPr>
      </w:pPr>
      <w:r>
        <w:rPr>
          <w:color w:val="auto"/>
        </w:rPr>
        <w:drawing>
          <wp:anchor distT="0" distB="0" distL="114300" distR="114300" simplePos="0" relativeHeight="251659264" behindDoc="0" locked="0" layoutInCell="1" allowOverlap="1">
            <wp:simplePos x="0" y="0"/>
            <wp:positionH relativeFrom="column">
              <wp:posOffset>3486150</wp:posOffset>
            </wp:positionH>
            <wp:positionV relativeFrom="paragraph">
              <wp:posOffset>67310</wp:posOffset>
            </wp:positionV>
            <wp:extent cx="1774190" cy="2158365"/>
            <wp:effectExtent l="0" t="0" r="3810" b="635"/>
            <wp:wrapSquare wrapText="bothSides"/>
            <wp:docPr id="3"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6"/>
                    <pic:cNvPicPr>
                      <a:picLocks noChangeAspect="1"/>
                    </pic:cNvPicPr>
                  </pic:nvPicPr>
                  <pic:blipFill>
                    <a:blip r:embed="rId48"/>
                    <a:stretch>
                      <a:fillRect/>
                    </a:stretch>
                  </pic:blipFill>
                  <pic:spPr>
                    <a:xfrm>
                      <a:off x="0" y="0"/>
                      <a:ext cx="1774190" cy="2158365"/>
                    </a:xfrm>
                    <a:prstGeom prst="rect">
                      <a:avLst/>
                    </a:prstGeom>
                    <a:noFill/>
                    <a:ln>
                      <a:noFill/>
                    </a:ln>
                  </pic:spPr>
                </pic:pic>
              </a:graphicData>
            </a:graphic>
          </wp:anchor>
        </w:drawing>
      </w:r>
      <w:r>
        <w:rPr>
          <w:rFonts w:hint="eastAsia"/>
          <w:color w:val="auto"/>
        </w:rPr>
        <w:t>生：</w:t>
      </w:r>
      <w:r>
        <w:rPr>
          <w:rFonts w:hint="eastAsia" w:eastAsia="楷体"/>
          <w:color w:val="auto"/>
        </w:rPr>
        <w:t>观察杨辉三角斜行的数字，不难发现有</w:t>
      </w:r>
      <w:r>
        <w:rPr>
          <w:rFonts w:hint="eastAsia" w:eastAsia="楷体"/>
          <w:color w:val="auto"/>
          <w:position w:val="-6"/>
        </w:rPr>
        <w:object>
          <v:shape id="_x0000_i1042" o:spt="75" type="#_x0000_t75" style="height:14.1pt;width:41.35pt;" o:ole="t" filled="f" o:preferrelative="t" stroked="f" coordsize="21600,21600">
            <v:path/>
            <v:fill on="f" focussize="0,0"/>
            <v:stroke on="f" joinstyle="miter"/>
            <v:imagedata r:id="rId50" o:title=""/>
            <o:lock v:ext="edit" aspectratio="t"/>
            <w10:wrap type="none"/>
            <w10:anchorlock/>
          </v:shape>
          <o:OLEObject Type="Embed" ProgID="Equation.DSMT4" ShapeID="_x0000_i1042" DrawAspect="Content" ObjectID="_1468075742" r:id="rId49">
            <o:LockedField>false</o:LockedField>
          </o:OLEObject>
        </w:object>
      </w:r>
      <w:r>
        <w:rPr>
          <w:rFonts w:hint="eastAsia" w:eastAsia="楷体"/>
          <w:color w:val="auto"/>
        </w:rPr>
        <w:t>，</w:t>
      </w:r>
      <w:r>
        <w:rPr>
          <w:rFonts w:hint="eastAsia" w:eastAsia="楷体"/>
          <w:color w:val="auto"/>
          <w:position w:val="-6"/>
        </w:rPr>
        <w:object>
          <v:shape id="_x0000_i1043" o:spt="75" type="#_x0000_t75" style="height:14.1pt;width:63.1pt;" o:ole="t" filled="f" o:preferrelative="t" stroked="f" coordsize="21600,21600">
            <v:path/>
            <v:fill on="f" focussize="0,0"/>
            <v:stroke on="f" joinstyle="miter"/>
            <v:imagedata r:id="rId52" o:title=""/>
            <o:lock v:ext="edit" aspectratio="t"/>
            <w10:wrap type="none"/>
            <w10:anchorlock/>
          </v:shape>
          <o:OLEObject Type="Embed" ProgID="Equation.DSMT4" ShapeID="_x0000_i1043" DrawAspect="Content" ObjectID="_1468075743" r:id="rId51">
            <o:LockedField>false</o:LockedField>
          </o:OLEObject>
        </w:object>
      </w:r>
      <w:r>
        <w:rPr>
          <w:rFonts w:hint="eastAsia" w:eastAsia="楷体"/>
          <w:color w:val="auto"/>
        </w:rPr>
        <w:t>，</w:t>
      </w:r>
      <w:r>
        <w:rPr>
          <w:rFonts w:hint="eastAsia" w:eastAsia="楷体"/>
          <w:color w:val="auto"/>
          <w:position w:val="-6"/>
        </w:rPr>
        <w:object>
          <v:shape id="_x0000_i1044" o:spt="75" type="#_x0000_t75" style="height:14.1pt;width:79.05pt;" o:ole="t" filled="f" o:preferrelative="t" stroked="f" coordsize="21600,21600">
            <v:path/>
            <v:fill on="f" focussize="0,0"/>
            <v:stroke on="f" joinstyle="miter"/>
            <v:imagedata r:id="rId54" o:title=""/>
            <o:lock v:ext="edit" aspectratio="t"/>
            <w10:wrap type="none"/>
            <w10:anchorlock/>
          </v:shape>
          <o:OLEObject Type="Embed" ProgID="Equation.DSMT4" ShapeID="_x0000_i1044" DrawAspect="Content" ObjectID="_1468075744" r:id="rId53">
            <o:LockedField>false</o:LockedField>
          </o:OLEObject>
        </w:object>
      </w:r>
      <w:r>
        <w:rPr>
          <w:rFonts w:hint="eastAsia" w:eastAsia="楷体"/>
          <w:color w:val="auto"/>
        </w:rPr>
        <w:t>等关系。</w:t>
      </w:r>
    </w:p>
    <w:p>
      <w:pPr>
        <w:ind w:firstLine="420"/>
        <w:rPr>
          <w:color w:val="auto"/>
        </w:rPr>
      </w:pPr>
      <w:r>
        <w:rPr>
          <w:rFonts w:hint="eastAsia"/>
          <w:color w:val="auto"/>
        </w:rPr>
        <w:t>师：</w:t>
      </w:r>
      <w:r>
        <w:rPr>
          <w:rFonts w:hint="eastAsia" w:eastAsia="楷体"/>
          <w:color w:val="auto"/>
        </w:rPr>
        <w:t>这种特殊情况是否具有一般性？该如何用语言描述这一性质？</w:t>
      </w:r>
    </w:p>
    <w:p>
      <w:pPr>
        <w:ind w:firstLine="420"/>
        <w:rPr>
          <w:color w:val="auto"/>
        </w:rPr>
      </w:pPr>
      <w:r>
        <w:rPr>
          <w:rFonts w:hint="eastAsia"/>
          <w:color w:val="auto"/>
        </w:rPr>
        <w:t>生：</w:t>
      </w:r>
      <w:r>
        <w:rPr>
          <w:rFonts w:hint="eastAsia" w:eastAsia="楷体"/>
          <w:color w:val="auto"/>
        </w:rPr>
        <w:t>我们猜想可以推广到一般情况，猜想有“自左（右）腰上的某一个数开始，向下平行于腰的一条线上的连续</w:t>
      </w:r>
      <w:r>
        <w:rPr>
          <w:rFonts w:hint="eastAsia" w:eastAsia="楷体"/>
          <w:color w:val="auto"/>
          <w:position w:val="-6"/>
        </w:rPr>
        <w:object>
          <v:shape id="_x0000_i1045" o:spt="75" type="#_x0000_t75" style="height:11.35pt;width:9.8pt;" o:ole="t" filled="f" o:preferrelative="t" stroked="f" coordsize="21600,21600">
            <v:path/>
            <v:fill on="f" focussize="0,0"/>
            <v:stroke on="f" joinstyle="miter"/>
            <v:imagedata r:id="rId20" o:title=""/>
            <o:lock v:ext="edit" aspectratio="f"/>
            <w10:wrap type="none"/>
            <w10:anchorlock/>
          </v:shape>
          <o:OLEObject Type="Embed" ProgID="Equation.DSMT4" ShapeID="_x0000_i1045" DrawAspect="Content" ObjectID="_1468075745" r:id="rId55">
            <o:LockedField>false</o:LockedField>
          </o:OLEObject>
        </w:object>
      </w:r>
      <w:r>
        <w:rPr>
          <w:rFonts w:hint="eastAsia" w:eastAsia="楷体"/>
          <w:color w:val="auto"/>
        </w:rPr>
        <w:t>个数的和等于最后一个数的左（右）斜下方的那个数”的结论。</w:t>
      </w:r>
    </w:p>
    <w:p>
      <w:pPr>
        <w:ind w:firstLine="420"/>
        <w:rPr>
          <w:color w:val="auto"/>
        </w:rPr>
      </w:pPr>
      <w:r>
        <w:rPr>
          <w:rFonts w:hint="eastAsia"/>
          <w:color w:val="auto"/>
        </w:rPr>
        <w:t>师：</w:t>
      </w:r>
      <w:r>
        <w:rPr>
          <w:rFonts w:hint="eastAsia" w:eastAsia="楷体"/>
          <w:color w:val="auto"/>
        </w:rPr>
        <w:t>该如何论证猜想是否正确？</w:t>
      </w:r>
    </w:p>
    <w:p>
      <w:pPr>
        <w:ind w:firstLine="420"/>
        <w:rPr>
          <w:rFonts w:eastAsia="楷体"/>
          <w:color w:val="auto"/>
        </w:rPr>
      </w:pPr>
      <w:r>
        <w:rPr>
          <w:rFonts w:hint="eastAsia"/>
          <w:color w:val="auto"/>
        </w:rPr>
        <w:t>生：</w:t>
      </w:r>
      <w:r>
        <w:rPr>
          <w:rFonts w:hint="eastAsia" w:eastAsia="楷体"/>
          <w:color w:val="auto"/>
        </w:rPr>
        <w:t>先给出上述猜想的数学表达式，即</w:t>
      </w:r>
      <w:r>
        <w:rPr>
          <w:rFonts w:hint="eastAsia" w:eastAsia="楷体"/>
          <w:color w:val="auto"/>
          <w:position w:val="-12"/>
        </w:rPr>
        <w:object>
          <v:shape id="_x0000_i1046" o:spt="75" type="#_x0000_t75" style="height:19pt;width:162.4pt;" o:ole="t" filled="f" o:preferrelative="t" stroked="f" coordsize="21600,21600">
            <v:path/>
            <v:fill on="f" focussize="0,0"/>
            <v:stroke on="f" joinstyle="miter"/>
            <v:imagedata r:id="rId57" o:title=""/>
            <o:lock v:ext="edit" aspectratio="t"/>
            <w10:wrap type="none"/>
            <w10:anchorlock/>
          </v:shape>
          <o:OLEObject Type="Embed" ProgID="Equation.DSMT4" ShapeID="_x0000_i1046" DrawAspect="Content" ObjectID="_1468075746" r:id="rId56">
            <o:LockedField>false</o:LockedField>
          </o:OLEObject>
        </w:object>
      </w:r>
      <w:r>
        <w:rPr>
          <w:rFonts w:hint="eastAsia" w:eastAsia="楷体"/>
          <w:color w:val="auto"/>
        </w:rPr>
        <w:t>或</w:t>
      </w:r>
      <w:r>
        <w:rPr>
          <w:rFonts w:hint="eastAsia" w:eastAsia="楷体"/>
          <w:color w:val="auto"/>
          <w:position w:val="-12"/>
        </w:rPr>
        <w:object>
          <v:shape id="_x0000_i1047" o:spt="75" type="#_x0000_t75" style="height:19pt;width:132.05pt;" o:ole="t" filled="f" o:preferrelative="t" stroked="f" coordsize="21600,21600">
            <v:path/>
            <v:fill on="f" focussize="0,0"/>
            <v:stroke on="f" joinstyle="miter"/>
            <v:imagedata r:id="rId59" o:title=""/>
            <o:lock v:ext="edit" aspectratio="t"/>
            <w10:wrap type="none"/>
            <w10:anchorlock/>
          </v:shape>
          <o:OLEObject Type="Embed" ProgID="Equation.DSMT4" ShapeID="_x0000_i1047" DrawAspect="Content" ObjectID="_1468075747" r:id="rId58">
            <o:LockedField>false</o:LockedField>
          </o:OLEObject>
        </w:object>
      </w:r>
      <w:r>
        <w:rPr>
          <w:rFonts w:hint="eastAsia" w:eastAsia="楷体"/>
          <w:color w:val="auto"/>
        </w:rPr>
        <w:t>，通过运用组合数的递推性可证得上述结论成立。</w:t>
      </w:r>
    </w:p>
    <w:p>
      <w:pPr>
        <w:ind w:firstLine="420"/>
        <w:rPr>
          <w:rFonts w:eastAsia="楷体"/>
          <w:color w:val="auto"/>
          <w:position w:val="-12"/>
        </w:rPr>
      </w:pPr>
      <w:r>
        <w:rPr>
          <w:rFonts w:hint="eastAsia"/>
          <w:color w:val="auto"/>
          <w:position w:val="-12"/>
        </w:rPr>
        <w:t>师：</w:t>
      </w:r>
      <w:r>
        <w:rPr>
          <w:rFonts w:hint="eastAsia" w:eastAsia="楷体"/>
          <w:color w:val="auto"/>
          <w:position w:val="-12"/>
        </w:rPr>
        <w:t>能否总结一下我们得到这个结论的过程？</w:t>
      </w:r>
    </w:p>
    <w:p>
      <w:pPr>
        <w:ind w:firstLine="420"/>
        <w:rPr>
          <w:color w:val="auto"/>
          <w:position w:val="-12"/>
        </w:rPr>
      </w:pPr>
      <w:r>
        <w:rPr>
          <w:rFonts w:hint="eastAsia"/>
          <w:color w:val="auto"/>
          <w:position w:val="-12"/>
        </w:rPr>
        <w:t>生：</w:t>
      </w:r>
      <w:r>
        <w:rPr>
          <w:rFonts w:hint="eastAsia" w:eastAsia="楷体"/>
          <w:color w:val="auto"/>
          <w:position w:val="-12"/>
        </w:rPr>
        <w:t>先发现前几行数字有上述特征，然后猜测它是否具有一般性，给出一般性的结论再进行论证，最后得到结论。</w:t>
      </w:r>
    </w:p>
    <w:p>
      <w:pPr>
        <w:ind w:firstLine="420"/>
        <w:rPr>
          <w:rFonts w:eastAsia="楷体"/>
          <w:color w:val="auto"/>
          <w:position w:val="-12"/>
        </w:rPr>
      </w:pPr>
      <w:r>
        <w:rPr>
          <w:rFonts w:hint="eastAsia"/>
          <w:color w:val="auto"/>
          <w:position w:val="-12"/>
        </w:rPr>
        <w:t>师：</w:t>
      </w:r>
      <w:r>
        <w:rPr>
          <w:rFonts w:hint="eastAsia" w:eastAsia="楷体"/>
          <w:color w:val="auto"/>
          <w:position w:val="-12"/>
        </w:rPr>
        <w:t>我们用从特殊到一般的思想方法，经历了发现，归纳，猜想，论证的探究过程，这就是一般探究的方法。</w:t>
      </w:r>
    </w:p>
    <w:p>
      <w:pPr>
        <w:ind w:firstLine="420"/>
        <w:rPr>
          <w:rFonts w:eastAsia="楷体"/>
          <w:color w:val="auto"/>
          <w:position w:val="-12"/>
        </w:rPr>
      </w:pPr>
      <w:r>
        <w:rPr>
          <w:rFonts w:hint="eastAsia"/>
          <w:color w:val="auto"/>
          <w:position w:val="-12"/>
        </w:rPr>
        <w:t>师：</w:t>
      </w:r>
      <w:r>
        <w:rPr>
          <w:rFonts w:hint="eastAsia" w:eastAsia="楷体"/>
          <w:color w:val="auto"/>
          <w:position w:val="-12"/>
        </w:rPr>
        <w:t>对于每一行，我们探究了数的个数、数的排列、数的和，运用刚才总结的探究方法，探究每一行的数平方和是否具有一般特征？</w:t>
      </w:r>
    </w:p>
    <w:p>
      <w:pPr>
        <w:ind w:firstLine="420"/>
        <w:rPr>
          <w:color w:val="auto"/>
        </w:rPr>
      </w:pPr>
      <w:r>
        <w:rPr>
          <w:rFonts w:hint="eastAsia"/>
          <w:color w:val="auto"/>
        </w:rPr>
        <w:t>生：</w:t>
      </w:r>
      <w:r>
        <w:rPr>
          <w:rFonts w:hint="eastAsia" w:eastAsia="楷体"/>
          <w:color w:val="auto"/>
        </w:rPr>
        <w:t>第</w:t>
      </w:r>
      <w:r>
        <w:rPr>
          <w:rFonts w:hint="eastAsia" w:eastAsia="楷体"/>
          <w:color w:val="auto"/>
          <w:position w:val="-6"/>
        </w:rPr>
        <w:object>
          <v:shape id="_x0000_i1048" o:spt="75" type="#_x0000_t75" style="height:14.1pt;width:23.9pt;" o:ole="t" filled="f" o:preferrelative="t" stroked="f" coordsize="21600,21600">
            <v:path/>
            <v:fill on="f" focussize="0,0"/>
            <v:stroke on="f" joinstyle="miter"/>
            <v:imagedata r:id="rId61" o:title=""/>
            <o:lock v:ext="edit" aspectratio="f"/>
            <w10:wrap type="none"/>
            <w10:anchorlock/>
          </v:shape>
          <o:OLEObject Type="Embed" ProgID="Equation.DSMT4" ShapeID="_x0000_i1048" DrawAspect="Content" ObjectID="_1468075748" r:id="rId60">
            <o:LockedField>false</o:LockedField>
          </o:OLEObject>
        </w:object>
      </w:r>
      <w:r>
        <w:rPr>
          <w:rFonts w:hint="eastAsia" w:eastAsia="楷体"/>
          <w:color w:val="auto"/>
        </w:rPr>
        <w:t>行所有数的平方和等于第</w:t>
      </w:r>
      <w:r>
        <w:rPr>
          <w:rFonts w:hint="eastAsia" w:eastAsia="楷体"/>
          <w:color w:val="auto"/>
          <w:position w:val="-6"/>
        </w:rPr>
        <w:object>
          <v:shape id="_x0000_i1049" o:spt="75" type="#_x0000_t75" style="height:14.1pt;width:30.65pt;" o:ole="t" filled="f" o:preferrelative="t" stroked="f" coordsize="21600,21600">
            <v:path/>
            <v:fill on="f" focussize="0,0"/>
            <v:stroke on="f" joinstyle="miter"/>
            <v:imagedata r:id="rId63" o:title=""/>
            <o:lock v:ext="edit" aspectratio="f"/>
            <w10:wrap type="none"/>
            <w10:anchorlock/>
          </v:shape>
          <o:OLEObject Type="Embed" ProgID="Equation.DSMT4" ShapeID="_x0000_i1049" DrawAspect="Content" ObjectID="_1468075749" r:id="rId62">
            <o:LockedField>false</o:LockedField>
          </o:OLEObject>
        </w:object>
      </w:r>
      <w:r>
        <w:rPr>
          <w:rFonts w:hint="eastAsia" w:eastAsia="楷体"/>
          <w:color w:val="auto"/>
        </w:rPr>
        <w:t>行中的中间那个数，即</w:t>
      </w:r>
      <w:r>
        <w:rPr>
          <w:rFonts w:hint="eastAsia" w:eastAsia="楷体"/>
          <w:color w:val="auto"/>
          <w:position w:val="-16"/>
        </w:rPr>
        <w:object>
          <v:shape id="_x0000_i1050" o:spt="75" type="#_x0000_t75" style="height:23.9pt;width:152.25pt;" o:ole="t" filled="f" o:preferrelative="t" stroked="f" coordsize="21600,21600">
            <v:path/>
            <v:fill on="f" focussize="0,0"/>
            <v:stroke on="f" joinstyle="miter"/>
            <v:imagedata r:id="rId65" o:title=""/>
            <o:lock v:ext="edit" aspectratio="t"/>
            <w10:wrap type="none"/>
            <w10:anchorlock/>
          </v:shape>
          <o:OLEObject Type="Embed" ProgID="Equation.DSMT4" ShapeID="_x0000_i1050" DrawAspect="Content" ObjectID="_1468075750" r:id="rId64">
            <o:LockedField>false</o:LockedField>
          </o:OLEObject>
        </w:object>
      </w:r>
      <w:r>
        <w:rPr>
          <w:rFonts w:hint="eastAsia" w:eastAsia="楷体"/>
          <w:color w:val="auto"/>
        </w:rPr>
        <w:t>。</w:t>
      </w:r>
    </w:p>
    <w:p>
      <w:pPr>
        <w:ind w:firstLine="422"/>
        <w:rPr>
          <w:color w:val="auto"/>
        </w:rPr>
      </w:pPr>
      <w:r>
        <w:rPr>
          <w:rFonts w:hint="eastAsia"/>
          <w:b/>
          <w:bCs/>
          <w:color w:val="auto"/>
        </w:rPr>
        <w:t>【设计意图】</w:t>
      </w:r>
      <w:r>
        <w:rPr>
          <w:rFonts w:hint="eastAsia"/>
          <w:color w:val="auto"/>
        </w:rPr>
        <w:t>通过小组讨论完成学习单并进行汇报的形式让学生自主地发现杨辉三角的数字特征，对于较难发现的特征，用问题链引导学生发现，感受杨辉三角的神奇之处。在探究过程中实现与古人的对话，在古人探究结果的引导下进行新的探索，体会、总结并掌握数学探究的过程，领悟探究过程中从特殊到一般，化归等数学思想.同时，感叹“杨辉三角”的神奇与数学之美，更进一步增强学生的文化自信与民族自豪感。</w:t>
      </w:r>
    </w:p>
    <w:p>
      <w:pPr>
        <w:pStyle w:val="4"/>
        <w:rPr>
          <w:color w:val="auto"/>
        </w:rPr>
      </w:pPr>
      <w:r>
        <w:rPr>
          <w:rFonts w:hint="eastAsia"/>
          <w:color w:val="auto"/>
        </w:rPr>
        <w:t>3.3 小结和作业</w:t>
      </w:r>
    </w:p>
    <w:p>
      <w:pPr>
        <w:ind w:firstLine="420"/>
        <w:rPr>
          <w:rFonts w:hint="eastAsia"/>
          <w:b/>
          <w:bCs/>
          <w:color w:val="auto"/>
        </w:rPr>
      </w:pPr>
      <w:r>
        <w:rPr>
          <w:rStyle w:val="13"/>
          <w:rFonts w:hint="eastAsia"/>
          <w:b w:val="0"/>
          <w:bCs w:val="0"/>
          <w:color w:val="auto"/>
          <w:lang w:val="en-US" w:eastAsia="zh-CN"/>
        </w:rPr>
        <w:t>本节课通过老师与学生，学生与学生合作，共同经历了</w:t>
      </w:r>
      <w:r>
        <w:rPr>
          <w:rFonts w:hint="eastAsia"/>
          <w:b w:val="0"/>
          <w:bCs w:val="0"/>
          <w:color w:val="auto"/>
        </w:rPr>
        <w:t>观察</w:t>
      </w:r>
      <w:r>
        <w:rPr>
          <w:rFonts w:hint="eastAsia"/>
          <w:b w:val="0"/>
          <w:bCs w:val="0"/>
          <w:color w:val="auto"/>
          <w:lang w:eastAsia="zh-CN"/>
        </w:rPr>
        <w:t>，</w:t>
      </w:r>
      <w:r>
        <w:rPr>
          <w:rFonts w:hint="eastAsia"/>
          <w:b w:val="0"/>
          <w:bCs w:val="0"/>
          <w:color w:val="auto"/>
        </w:rPr>
        <w:t>归纳</w:t>
      </w:r>
      <w:r>
        <w:rPr>
          <w:rFonts w:hint="eastAsia"/>
          <w:b w:val="0"/>
          <w:bCs w:val="0"/>
          <w:color w:val="auto"/>
          <w:lang w:eastAsia="zh-CN"/>
        </w:rPr>
        <w:t>，</w:t>
      </w:r>
      <w:r>
        <w:rPr>
          <w:rFonts w:hint="eastAsia"/>
          <w:b w:val="0"/>
          <w:bCs w:val="0"/>
          <w:color w:val="auto"/>
        </w:rPr>
        <w:t>猜想</w:t>
      </w:r>
      <w:r>
        <w:rPr>
          <w:rFonts w:hint="eastAsia"/>
          <w:b w:val="0"/>
          <w:bCs w:val="0"/>
          <w:color w:val="auto"/>
          <w:lang w:val="en-US" w:eastAsia="zh-CN"/>
        </w:rPr>
        <w:t>和</w:t>
      </w:r>
      <w:r>
        <w:rPr>
          <w:rFonts w:hint="eastAsia"/>
          <w:b w:val="0"/>
          <w:bCs w:val="0"/>
          <w:color w:val="auto"/>
        </w:rPr>
        <w:t>论证</w:t>
      </w:r>
      <w:r>
        <w:rPr>
          <w:rFonts w:hint="eastAsia"/>
          <w:b w:val="0"/>
          <w:bCs w:val="0"/>
          <w:color w:val="auto"/>
          <w:lang w:val="en-US" w:eastAsia="zh-CN"/>
        </w:rPr>
        <w:t>的探究过程，让学生更加深刻的了解了</w:t>
      </w:r>
      <w:r>
        <w:rPr>
          <w:rFonts w:hint="eastAsia"/>
          <w:b w:val="0"/>
          <w:bCs w:val="0"/>
          <w:color w:val="auto"/>
        </w:rPr>
        <w:t>杨辉三角的若干性质</w:t>
      </w:r>
      <w:r>
        <w:rPr>
          <w:rFonts w:hint="eastAsia"/>
          <w:b w:val="0"/>
          <w:bCs w:val="0"/>
          <w:color w:val="auto"/>
          <w:lang w:eastAsia="zh-CN"/>
        </w:rPr>
        <w:t>，</w:t>
      </w:r>
      <w:r>
        <w:rPr>
          <w:rFonts w:hint="eastAsia"/>
          <w:b w:val="0"/>
          <w:bCs w:val="0"/>
          <w:color w:val="auto"/>
          <w:lang w:val="en-US" w:eastAsia="zh-CN"/>
        </w:rPr>
        <w:t>领会了</w:t>
      </w:r>
      <w:r>
        <w:rPr>
          <w:rFonts w:hint="eastAsia"/>
          <w:b w:val="0"/>
          <w:bCs w:val="0"/>
          <w:color w:val="auto"/>
        </w:rPr>
        <w:t>特殊到一般，化归</w:t>
      </w:r>
      <w:r>
        <w:rPr>
          <w:rFonts w:hint="eastAsia"/>
          <w:b w:val="0"/>
          <w:bCs w:val="0"/>
          <w:color w:val="auto"/>
          <w:lang w:val="en-US" w:eastAsia="zh-CN"/>
        </w:rPr>
        <w:t>的</w:t>
      </w:r>
      <w:r>
        <w:rPr>
          <w:rFonts w:hint="eastAsia"/>
          <w:b w:val="0"/>
          <w:bCs w:val="0"/>
          <w:color w:val="auto"/>
        </w:rPr>
        <w:t>数学思想</w:t>
      </w:r>
      <w:r>
        <w:rPr>
          <w:rFonts w:hint="eastAsia"/>
          <w:b w:val="0"/>
          <w:bCs w:val="0"/>
          <w:color w:val="auto"/>
          <w:lang w:eastAsia="zh-CN"/>
        </w:rPr>
        <w:t>。</w:t>
      </w:r>
      <w:r>
        <w:rPr>
          <w:rFonts w:hint="eastAsia"/>
          <w:b w:val="0"/>
          <w:bCs w:val="0"/>
          <w:color w:val="auto"/>
          <w:lang w:val="en-US" w:eastAsia="zh-CN"/>
        </w:rPr>
        <w:t>这</w:t>
      </w:r>
      <w:r>
        <w:rPr>
          <w:rFonts w:hint="eastAsia"/>
          <w:b w:val="0"/>
          <w:bCs w:val="0"/>
          <w:color w:val="auto"/>
        </w:rPr>
        <w:t>场跨越时空的数学探索之旅，感受了杨辉三角的神秘。当然它也是现代数学的一个“富矿”，等待着同学们去开采!</w:t>
      </w:r>
    </w:p>
    <w:p>
      <w:pPr>
        <w:ind w:firstLine="420"/>
        <w:rPr>
          <w:rStyle w:val="13"/>
          <w:color w:val="auto"/>
        </w:rPr>
      </w:pPr>
      <w:r>
        <w:rPr>
          <w:rFonts w:hint="eastAsia"/>
          <w:b/>
          <w:bCs/>
          <w:color w:val="auto"/>
        </w:rPr>
        <w:t>课后作业：</w:t>
      </w:r>
      <w:r>
        <w:rPr>
          <w:rFonts w:hint="eastAsia"/>
          <w:color w:val="auto"/>
        </w:rPr>
        <w:t>请同学们根据今天的探究，从探究结论和探究过程中的收获和体会的角度以“我心中的杨辉三角”为题写一篇字数不少于1000字的小论文。</w:t>
      </w:r>
    </w:p>
    <w:p>
      <w:pPr>
        <w:pStyle w:val="3"/>
        <w:rPr>
          <w:rFonts w:hint="default"/>
          <w:color w:val="auto"/>
          <w:lang w:val="en-US"/>
        </w:rPr>
      </w:pPr>
      <w:r>
        <w:rPr>
          <w:rFonts w:hint="eastAsia"/>
          <w:color w:val="auto"/>
        </w:rPr>
        <w:t xml:space="preserve">4 </w:t>
      </w:r>
      <w:r>
        <w:rPr>
          <w:rStyle w:val="13"/>
          <w:rFonts w:hint="eastAsia" w:ascii="华文新魏" w:hAnsi="华文新魏" w:eastAsia="华文新魏" w:cs="华文新魏"/>
          <w:b/>
          <w:bCs/>
          <w:color w:val="auto"/>
          <w:sz w:val="24"/>
          <w:szCs w:val="24"/>
          <w:lang w:val="en-US" w:eastAsia="zh-CN"/>
        </w:rPr>
        <w:t>课例分析</w:t>
      </w:r>
      <w:r>
        <w:rPr>
          <w:rStyle w:val="13"/>
          <w:rFonts w:hint="eastAsia" w:eastAsia="宋体" w:cstheme="minorBidi"/>
          <w:b w:val="0"/>
          <w:bCs w:val="0"/>
          <w:color w:val="auto"/>
          <w:lang w:val="en-US" w:eastAsia="zh-CN"/>
        </w:rPr>
        <w:t xml:space="preserve"> </w:t>
      </w:r>
    </w:p>
    <w:p>
      <w:pPr>
        <w:ind w:firstLine="420"/>
        <w:rPr>
          <w:rFonts w:hint="eastAsia"/>
          <w:color w:val="auto"/>
        </w:rPr>
      </w:pPr>
      <w:r>
        <w:rPr>
          <w:rFonts w:hint="eastAsia"/>
          <w:color w:val="auto"/>
        </w:rPr>
        <w:t>“留白创造式”教学正是为学生创造了自主探究，自我表达的机会，在落实数学学科核心素养的同时，让学生成为数学课堂学习真正的主人，体现“立德树人”教育根本任务。</w:t>
      </w:r>
    </w:p>
    <w:p>
      <w:pPr>
        <w:ind w:left="0" w:leftChars="0" w:firstLine="0" w:firstLineChars="0"/>
        <w:rPr>
          <w:rFonts w:hint="default" w:ascii="华文新魏" w:hAnsi="华文新魏" w:eastAsia="华文新魏" w:cs="华文新魏"/>
          <w:b/>
          <w:bCs/>
          <w:color w:val="auto"/>
          <w:lang w:val="en-US" w:eastAsia="zh-CN"/>
        </w:rPr>
      </w:pPr>
      <w:r>
        <w:rPr>
          <w:rFonts w:hint="eastAsia" w:ascii="华文新魏" w:hAnsi="华文新魏" w:eastAsia="华文新魏" w:cs="华文新魏"/>
          <w:b/>
          <w:bCs/>
          <w:color w:val="auto"/>
        </w:rPr>
        <w:t>陈述之白</w:t>
      </w:r>
      <w:r>
        <w:rPr>
          <w:rFonts w:hint="eastAsia" w:ascii="华文新魏" w:hAnsi="华文新魏" w:eastAsia="华文新魏" w:cs="华文新魏"/>
          <w:b/>
          <w:bCs/>
          <w:color w:val="auto"/>
          <w:lang w:eastAsia="zh-CN"/>
        </w:rPr>
        <w:t>，</w:t>
      </w:r>
      <w:r>
        <w:rPr>
          <w:rFonts w:hint="eastAsia" w:ascii="华文新魏" w:hAnsi="华文新魏" w:eastAsia="华文新魏" w:cs="华文新魏"/>
          <w:b/>
          <w:bCs/>
          <w:color w:val="auto"/>
          <w:lang w:val="en-US" w:eastAsia="zh-CN"/>
        </w:rPr>
        <w:t>发现之白</w:t>
      </w:r>
    </w:p>
    <w:p>
      <w:pPr>
        <w:ind w:firstLine="420"/>
        <w:rPr>
          <w:rFonts w:hint="eastAsia" w:eastAsia="宋体"/>
          <w:color w:val="auto"/>
          <w:lang w:val="en-US" w:eastAsia="zh-CN"/>
        </w:rPr>
      </w:pPr>
      <w:r>
        <w:rPr>
          <w:rFonts w:hint="eastAsia" w:eastAsia="宋体"/>
          <w:color w:val="auto"/>
          <w:lang w:val="en-US" w:eastAsia="zh-CN"/>
        </w:rPr>
        <w:t>“陈述之白”和“发现之白”旨在通过教师的引导和学生的自主探究，激发学生的思维能力和创造力</w:t>
      </w:r>
      <w:r>
        <w:rPr>
          <w:rFonts w:hint="eastAsia"/>
          <w:color w:val="auto"/>
          <w:lang w:val="en-US" w:eastAsia="zh-CN"/>
        </w:rPr>
        <w:t>。要把课堂还给学生是我们一直认可的，要如何把课堂还给学生，开展以学生为主体的课堂是我们一直在探究的。在本节课的教学中，教师先介绍杨辉三角的基本结构，</w:t>
      </w:r>
      <w:r>
        <w:rPr>
          <w:rFonts w:hint="eastAsia"/>
          <w:color w:val="auto"/>
        </w:rPr>
        <w:t>诞生和历史背景</w:t>
      </w:r>
      <w:r>
        <w:rPr>
          <w:rFonts w:hint="eastAsia"/>
          <w:color w:val="auto"/>
          <w:lang w:val="en-US" w:eastAsia="zh-CN"/>
        </w:rPr>
        <w:t>，留出一定的空白。学生通过小组讨论，总结并陈述杨辉三角的每一行数字与组合数之间的关系，组织语言描述杨辉三角的数字特征。学生通过自己的语言表达，进一步加深对知识的理解。</w:t>
      </w:r>
      <w:r>
        <w:rPr>
          <w:rFonts w:hint="eastAsia"/>
          <w:color w:val="auto"/>
        </w:rPr>
        <w:t>对于部分较难发现的特征，教师通过问题链引导，促使学生进一步探索</w:t>
      </w:r>
      <w:r>
        <w:rPr>
          <w:rFonts w:hint="eastAsia"/>
          <w:color w:val="auto"/>
          <w:lang w:eastAsia="zh-CN"/>
        </w:rPr>
        <w:t>，</w:t>
      </w:r>
      <w:r>
        <w:rPr>
          <w:rFonts w:hint="eastAsia"/>
          <w:color w:val="auto"/>
        </w:rPr>
        <w:t>让学生充分经历自主发现的过程，感受数学规律探索的乐趣。</w:t>
      </w:r>
      <w:r>
        <w:rPr>
          <w:rFonts w:hint="eastAsia"/>
          <w:color w:val="auto"/>
          <w:lang w:val="en-US" w:eastAsia="zh-CN"/>
        </w:rPr>
        <w:t>本节课的</w:t>
      </w:r>
      <w:r>
        <w:rPr>
          <w:rFonts w:hint="eastAsia" w:eastAsia="宋体"/>
          <w:color w:val="auto"/>
          <w:lang w:val="en-US" w:eastAsia="zh-CN"/>
        </w:rPr>
        <w:t>“陈述之白”和“发现之白”</w:t>
      </w:r>
      <w:r>
        <w:rPr>
          <w:rFonts w:hint="eastAsia"/>
          <w:color w:val="auto"/>
          <w:lang w:val="en-US" w:eastAsia="zh-CN"/>
        </w:rPr>
        <w:t>培养了学生</w:t>
      </w:r>
      <w:r>
        <w:rPr>
          <w:rFonts w:hint="eastAsia"/>
          <w:color w:val="auto"/>
        </w:rPr>
        <w:t>语言表达能力和逻辑思维能力</w:t>
      </w:r>
      <w:r>
        <w:rPr>
          <w:rFonts w:hint="eastAsia"/>
          <w:color w:val="auto"/>
          <w:lang w:eastAsia="zh-CN"/>
        </w:rPr>
        <w:t>，探究能力和创新思维。</w:t>
      </w:r>
    </w:p>
    <w:p>
      <w:pPr>
        <w:ind w:left="0" w:leftChars="0" w:firstLine="0" w:firstLineChars="0"/>
        <w:rPr>
          <w:rFonts w:hint="eastAsia" w:ascii="华文新魏" w:hAnsi="华文新魏" w:eastAsia="华文新魏" w:cs="华文新魏"/>
          <w:b/>
          <w:bCs/>
          <w:color w:val="auto"/>
          <w:lang w:val="en-US" w:eastAsia="zh-CN"/>
        </w:rPr>
      </w:pPr>
      <w:r>
        <w:rPr>
          <w:rFonts w:hint="eastAsia" w:ascii="华文新魏" w:hAnsi="华文新魏" w:eastAsia="华文新魏" w:cs="华文新魏"/>
          <w:b/>
          <w:bCs/>
          <w:color w:val="auto"/>
          <w:lang w:val="en-US" w:eastAsia="zh-CN"/>
        </w:rPr>
        <w:t>方法之白，论证之白</w:t>
      </w:r>
    </w:p>
    <w:p>
      <w:pPr>
        <w:ind w:firstLine="420"/>
        <w:rPr>
          <w:rFonts w:hint="eastAsia"/>
          <w:color w:val="auto"/>
        </w:rPr>
      </w:pPr>
      <w:r>
        <w:rPr>
          <w:rFonts w:hint="eastAsia"/>
          <w:color w:val="auto"/>
          <w:lang w:val="en-US" w:eastAsia="zh-CN"/>
        </w:rPr>
        <w:t>“方法之白”和“论证之白”旨在通过教师的引导和学生的自主探究，培养学生的思维能力和解决问题的能力。本节课中，学生</w:t>
      </w:r>
      <w:r>
        <w:rPr>
          <w:rFonts w:hint="eastAsia"/>
          <w:color w:val="auto"/>
        </w:rPr>
        <w:t>借助已有的组合数知识，通过尝试、归纳和总结</w:t>
      </w:r>
      <w:r>
        <w:rPr>
          <w:rFonts w:hint="eastAsia"/>
          <w:color w:val="auto"/>
          <w:lang w:eastAsia="zh-CN"/>
        </w:rPr>
        <w:t>，</w:t>
      </w:r>
      <w:r>
        <w:rPr>
          <w:rFonts w:hint="eastAsia"/>
          <w:color w:val="auto"/>
          <w:lang w:val="en-US" w:eastAsia="zh-CN"/>
        </w:rPr>
        <w:t>给出了</w:t>
      </w:r>
      <w:r>
        <w:rPr>
          <w:rFonts w:hint="eastAsia"/>
          <w:color w:val="auto"/>
        </w:rPr>
        <w:t>杨辉三角中较为明显的</w:t>
      </w:r>
      <w:r>
        <w:rPr>
          <w:rFonts w:hint="eastAsia"/>
          <w:color w:val="auto"/>
          <w:lang w:val="en-US" w:eastAsia="zh-CN"/>
        </w:rPr>
        <w:t>数字</w:t>
      </w:r>
      <w:r>
        <w:rPr>
          <w:rFonts w:hint="eastAsia"/>
          <w:color w:val="auto"/>
        </w:rPr>
        <w:t>特征</w:t>
      </w:r>
      <w:r>
        <w:rPr>
          <w:rFonts w:hint="eastAsia"/>
          <w:color w:val="auto"/>
          <w:lang w:eastAsia="zh-CN"/>
        </w:rPr>
        <w:t>，并总结出计算这些特征的方法——</w:t>
      </w:r>
      <w:r>
        <w:rPr>
          <w:rFonts w:hint="eastAsia"/>
          <w:color w:val="auto"/>
          <w:lang w:val="en-US" w:eastAsia="zh-CN"/>
        </w:rPr>
        <w:t>特殊到一般</w:t>
      </w:r>
      <w:r>
        <w:rPr>
          <w:rFonts w:hint="eastAsia"/>
          <w:color w:val="auto"/>
          <w:lang w:eastAsia="zh-CN"/>
        </w:rPr>
        <w:t>。</w:t>
      </w:r>
      <w:r>
        <w:rPr>
          <w:rFonts w:hint="eastAsia"/>
          <w:color w:val="auto"/>
          <w:lang w:val="en-US" w:eastAsia="zh-CN"/>
        </w:rPr>
        <w:t>对于较难发现的特征，老师设计问题链，引导学生</w:t>
      </w:r>
      <w:r>
        <w:rPr>
          <w:rFonts w:hint="eastAsia"/>
          <w:color w:val="auto"/>
        </w:rPr>
        <w:t>从不同角度深入挖掘</w:t>
      </w:r>
      <w:r>
        <w:rPr>
          <w:rFonts w:hint="eastAsia"/>
          <w:color w:val="auto"/>
          <w:lang w:eastAsia="zh-CN"/>
        </w:rPr>
        <w:t>，</w:t>
      </w:r>
      <w:r>
        <w:rPr>
          <w:rFonts w:hint="eastAsia"/>
          <w:color w:val="auto"/>
          <w:lang w:val="en-US" w:eastAsia="zh-CN"/>
        </w:rPr>
        <w:t>通过观察，归纳，猜想和论证总结杨辉三角特征。</w:t>
      </w:r>
      <w:r>
        <w:rPr>
          <w:rFonts w:hint="eastAsia"/>
          <w:color w:val="auto"/>
        </w:rPr>
        <w:t>通过论证，学生能将直观发现的规律上升到理论层面，加深对数学知识的理解，体会数学的严谨性，培养逻辑推理能力，这是数学探究不可或缺的重要环节。使他们学会从不同维度探索数学对象，提升数学思维的广度和深度。</w:t>
      </w:r>
    </w:p>
    <w:p>
      <w:pPr>
        <w:ind w:left="0" w:leftChars="0" w:firstLine="0" w:firstLineChars="0"/>
        <w:rPr>
          <w:rFonts w:hint="eastAsia" w:eastAsia="宋体"/>
          <w:color w:val="auto"/>
          <w:lang w:val="en-US" w:eastAsia="zh-CN"/>
        </w:rPr>
      </w:pPr>
      <w:r>
        <w:rPr>
          <w:rFonts w:hint="eastAsia" w:ascii="华文新魏" w:hAnsi="华文新魏" w:eastAsia="华文新魏" w:cs="华文新魏"/>
          <w:b/>
          <w:bCs/>
          <w:color w:val="auto"/>
        </w:rPr>
        <w:t>问题之白</w:t>
      </w:r>
      <w:r>
        <w:rPr>
          <w:rFonts w:hint="eastAsia" w:ascii="华文新魏" w:hAnsi="华文新魏" w:eastAsia="华文新魏" w:cs="华文新魏"/>
          <w:b/>
          <w:bCs/>
          <w:color w:val="auto"/>
          <w:lang w:eastAsia="zh-CN"/>
        </w:rPr>
        <w:t>，</w:t>
      </w:r>
      <w:r>
        <w:rPr>
          <w:rFonts w:hint="eastAsia" w:ascii="华文新魏" w:hAnsi="华文新魏" w:eastAsia="华文新魏" w:cs="华文新魏"/>
          <w:b/>
          <w:bCs/>
          <w:color w:val="auto"/>
        </w:rPr>
        <w:t>超越之白</w:t>
      </w:r>
    </w:p>
    <w:p>
      <w:pPr>
        <w:ind w:firstLine="420"/>
        <w:rPr>
          <w:rFonts w:hint="eastAsia"/>
          <w:color w:val="auto"/>
        </w:rPr>
      </w:pPr>
      <w:r>
        <w:rPr>
          <w:rFonts w:hint="eastAsia"/>
          <w:color w:val="auto"/>
          <w:lang w:val="en-US" w:eastAsia="zh-CN"/>
        </w:rPr>
        <w:t>“问题之白”和“超越之白”旨在通过教师的引导和学生的自主探究，激发学生的思维能力和创造力。</w:t>
      </w:r>
      <w:r>
        <w:rPr>
          <w:rFonts w:hint="eastAsia"/>
          <w:color w:val="auto"/>
        </w:rPr>
        <w:t>在小组讨论探究的过程中，学生面对杨辉三角复杂的数字规律，</w:t>
      </w:r>
      <w:r>
        <w:rPr>
          <w:rFonts w:hint="eastAsia"/>
          <w:color w:val="auto"/>
          <w:lang w:val="en-US" w:eastAsia="zh-CN"/>
        </w:rPr>
        <w:t>不知道该从哪些方向去讨论杨辉三角数字特征</w:t>
      </w:r>
      <w:r>
        <w:rPr>
          <w:rFonts w:hint="eastAsia"/>
          <w:color w:val="auto"/>
        </w:rPr>
        <w:t>。比如在探索较难发现的特征时，可能会问如何想到从斜行去观察、怎样构建等式来表示斜行数字和的规律</w:t>
      </w:r>
      <w:r>
        <w:rPr>
          <w:rFonts w:hint="eastAsia"/>
          <w:color w:val="auto"/>
          <w:lang w:eastAsia="zh-CN"/>
        </w:rPr>
        <w:t>，</w:t>
      </w:r>
      <w:r>
        <w:rPr>
          <w:rFonts w:hint="eastAsia"/>
          <w:color w:val="auto"/>
          <w:lang w:val="en-US" w:eastAsia="zh-CN"/>
        </w:rPr>
        <w:t>如何进行论证等</w:t>
      </w:r>
      <w:r>
        <w:rPr>
          <w:rFonts w:hint="eastAsia"/>
          <w:color w:val="auto"/>
        </w:rPr>
        <w:t>。</w:t>
      </w:r>
      <w:r>
        <w:rPr>
          <w:rFonts w:hint="eastAsia"/>
          <w:color w:val="auto"/>
          <w:lang w:val="en-US" w:eastAsia="zh-CN"/>
        </w:rPr>
        <w:t>提出问题是数学探究的重要过程</w:t>
      </w:r>
      <w:r>
        <w:rPr>
          <w:rFonts w:hint="eastAsia"/>
          <w:color w:val="auto"/>
        </w:rPr>
        <w:t>，</w:t>
      </w:r>
      <w:r>
        <w:rPr>
          <w:rFonts w:hint="eastAsia"/>
          <w:color w:val="auto"/>
          <w:lang w:val="en-US" w:eastAsia="zh-CN"/>
        </w:rPr>
        <w:t>学生深度思考的过程</w:t>
      </w:r>
      <w:r>
        <w:rPr>
          <w:rFonts w:hint="eastAsia"/>
          <w:color w:val="auto"/>
        </w:rPr>
        <w:t>促进</w:t>
      </w:r>
      <w:r>
        <w:rPr>
          <w:rFonts w:hint="eastAsia"/>
          <w:color w:val="auto"/>
          <w:lang w:val="en-US" w:eastAsia="zh-CN"/>
        </w:rPr>
        <w:t>了</w:t>
      </w:r>
      <w:r>
        <w:rPr>
          <w:rFonts w:hint="eastAsia"/>
          <w:color w:val="auto"/>
        </w:rPr>
        <w:t>学生思维的发展</w:t>
      </w:r>
      <w:r>
        <w:rPr>
          <w:rFonts w:hint="eastAsia"/>
          <w:color w:val="auto"/>
          <w:lang w:eastAsia="zh-CN"/>
        </w:rPr>
        <w:t>。</w:t>
      </w:r>
      <w:r>
        <w:rPr>
          <w:rFonts w:hint="eastAsia"/>
          <w:color w:val="auto"/>
        </w:rPr>
        <w:t>教学不仅仅是知识的传授，更要引导学生超越知识本身，获得更深层次的感悟和体验。包括感受数学文化、数学思想，体会数学的实用性、美学价值，以及培养情感态度价值观等。在杨辉三角教学中，学生通过了解杨辉三角的诞生和历史背景，感受古代数学家的成就，增强文化自信与民族自豪感，这就是超越知识层面的情感体验。同时，在探究杨辉三角性质的过程中，领悟数形结合、从特殊到一般和化归等数学思想，体会</w:t>
      </w:r>
      <w:r>
        <w:rPr>
          <w:rFonts w:hint="eastAsia"/>
          <w:color w:val="auto"/>
          <w:lang w:val="en-US" w:eastAsia="zh-CN"/>
        </w:rPr>
        <w:t>了</w:t>
      </w:r>
      <w:r>
        <w:rPr>
          <w:rFonts w:hint="eastAsia"/>
          <w:color w:val="auto"/>
        </w:rPr>
        <w:t>数学之美。</w:t>
      </w:r>
    </w:p>
    <w:p>
      <w:pPr>
        <w:pStyle w:val="3"/>
        <w:widowControl/>
        <w:rPr>
          <w:color w:val="auto"/>
        </w:rPr>
      </w:pPr>
      <w:r>
        <w:rPr>
          <w:rFonts w:hint="eastAsia"/>
          <w:color w:val="auto"/>
        </w:rPr>
        <w:t xml:space="preserve">5 </w:t>
      </w:r>
      <w:r>
        <w:rPr>
          <w:rFonts w:hint="eastAsia"/>
          <w:color w:val="auto"/>
          <w:sz w:val="24"/>
          <w:szCs w:val="24"/>
        </w:rPr>
        <w:t>结 语</w:t>
      </w:r>
    </w:p>
    <w:p>
      <w:pPr>
        <w:keepNext/>
        <w:keepLines w:val="0"/>
        <w:pageBreakBefore w:val="0"/>
        <w:widowControl/>
        <w:kinsoku/>
        <w:wordWrap/>
        <w:overflowPunct/>
        <w:topLinePunct w:val="0"/>
        <w:autoSpaceDE/>
        <w:autoSpaceDN/>
        <w:bidi w:val="0"/>
        <w:adjustRightInd/>
        <w:snapToGrid/>
        <w:spacing w:line="360" w:lineRule="auto"/>
        <w:ind w:left="0" w:leftChars="0" w:firstLine="0" w:firstLineChars="0"/>
        <w:textAlignment w:val="auto"/>
        <w:rPr>
          <w:rFonts w:hint="eastAsia" w:ascii="华文新魏" w:hAnsi="华文新魏" w:eastAsia="华文新魏" w:cs="华文新魏"/>
          <w:b/>
          <w:bCs/>
          <w:color w:val="auto"/>
          <w:szCs w:val="21"/>
        </w:rPr>
      </w:pPr>
      <w:r>
        <w:rPr>
          <w:rFonts w:hint="eastAsia" w:ascii="华文新魏" w:hAnsi="华文新魏" w:eastAsia="华文新魏" w:cs="华文新魏"/>
          <w:b/>
          <w:bCs/>
          <w:color w:val="auto"/>
          <w:szCs w:val="21"/>
        </w:rPr>
        <w:t>将中算史融入数学教学的必要性</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Cs w:val="21"/>
        </w:rPr>
      </w:pPr>
      <w:r>
        <w:rPr>
          <w:rFonts w:hint="eastAsia" w:ascii="宋体" w:hAnsi="宋体" w:eastAsia="宋体" w:cs="宋体"/>
          <w:b w:val="0"/>
          <w:bCs w:val="0"/>
          <w:color w:val="auto"/>
          <w:szCs w:val="21"/>
        </w:rPr>
        <w:t>中国数学历史悠久，成就辉煌，是中华优秀传统文化的重要组成部分。将中算史融入数学教学，可以让学生了解中国古代数学家的智慧和贡献，增强民族自豪感和文化自信</w:t>
      </w:r>
      <w:r>
        <w:rPr>
          <w:rFonts w:hint="eastAsia" w:ascii="宋体" w:hAnsi="宋体" w:cs="宋体"/>
          <w:b w:val="0"/>
          <w:bCs w:val="0"/>
          <w:color w:val="auto"/>
          <w:szCs w:val="21"/>
          <w:vertAlign w:val="superscript"/>
          <w:lang w:val="en-US" w:eastAsia="zh-CN"/>
        </w:rPr>
        <w:t>[3]</w:t>
      </w:r>
      <w:r>
        <w:rPr>
          <w:rFonts w:hint="eastAsia" w:ascii="宋体" w:hAnsi="宋体" w:eastAsia="宋体" w:cs="宋体"/>
          <w:b w:val="0"/>
          <w:bCs w:val="0"/>
          <w:color w:val="auto"/>
          <w:szCs w:val="21"/>
        </w:rPr>
        <w:t>。</w:t>
      </w:r>
      <w:r>
        <w:rPr>
          <w:rFonts w:hint="eastAsia" w:ascii="宋体" w:hAnsi="宋体" w:eastAsia="宋体" w:cs="宋体"/>
          <w:b w:val="0"/>
          <w:bCs w:val="0"/>
          <w:color w:val="auto"/>
          <w:sz w:val="21"/>
          <w:szCs w:val="21"/>
          <w:lang w:val="en-US" w:eastAsia="zh-CN"/>
        </w:rPr>
        <w:t>以二项式定理为基础，将中国数学史上这一杰出成就杨辉三角作为课堂探究目标，</w:t>
      </w:r>
      <w:r>
        <w:rPr>
          <w:rFonts w:hint="eastAsia" w:ascii="宋体" w:hAnsi="宋体" w:cs="宋体"/>
          <w:color w:val="auto"/>
          <w:szCs w:val="21"/>
        </w:rPr>
        <w:t>杨辉三角这一中国古代数学家的杰出成就贯穿课堂，实现了中国优秀传统文化与高中数学课堂的高度融合，实现了中国优秀传统文化在高中数学教学中的德育价值，在探究过程中让学生感受中国古代数学家的卓越智慧，激发学生的民族自豪感增强学生的文化自信。</w:t>
      </w:r>
      <w:r>
        <w:rPr>
          <w:rFonts w:hint="eastAsia" w:ascii="宋体" w:hAnsi="宋体" w:cs="宋体"/>
          <w:b w:val="0"/>
          <w:bCs w:val="0"/>
          <w:color w:val="auto"/>
          <w:sz w:val="21"/>
          <w:szCs w:val="21"/>
          <w:lang w:val="en-US" w:eastAsia="zh-CN"/>
        </w:rPr>
        <w:t>同时</w:t>
      </w:r>
      <w:r>
        <w:rPr>
          <w:rFonts w:hint="eastAsia" w:ascii="宋体" w:hAnsi="宋体" w:eastAsia="宋体" w:cs="宋体"/>
          <w:b w:val="0"/>
          <w:bCs w:val="0"/>
          <w:color w:val="auto"/>
          <w:sz w:val="21"/>
          <w:szCs w:val="21"/>
          <w:lang w:val="en-US" w:eastAsia="zh-CN"/>
        </w:rPr>
        <w:t>中算史中蕴含着丰富的数学思想和趣味故事，可以激发学生的学习兴趣，</w:t>
      </w:r>
      <w:r>
        <w:rPr>
          <w:rFonts w:hint="eastAsia" w:ascii="宋体" w:hAnsi="宋体" w:cs="宋体"/>
          <w:b w:val="0"/>
          <w:bCs w:val="0"/>
          <w:color w:val="auto"/>
          <w:sz w:val="21"/>
          <w:szCs w:val="21"/>
          <w:lang w:val="en-US" w:eastAsia="zh-CN"/>
        </w:rPr>
        <w:t>其中</w:t>
      </w:r>
      <w:r>
        <w:rPr>
          <w:rFonts w:hint="eastAsia" w:ascii="宋体" w:hAnsi="宋体" w:eastAsia="宋体" w:cs="宋体"/>
          <w:b w:val="0"/>
          <w:bCs w:val="0"/>
          <w:color w:val="auto"/>
          <w:szCs w:val="21"/>
        </w:rPr>
        <w:t>丰富的数学思想方法，例如数形结合、化归思想、算法思想等，可以培养学生的数学思维能力。</w:t>
      </w:r>
    </w:p>
    <w:p>
      <w:pPr>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szCs w:val="21"/>
        </w:rPr>
      </w:pPr>
      <w:r>
        <w:rPr>
          <w:rFonts w:hint="eastAsia" w:ascii="华文新魏" w:hAnsi="华文新魏" w:eastAsia="华文新魏" w:cs="华文新魏"/>
          <w:b/>
          <w:bCs/>
          <w:color w:val="auto"/>
          <w:szCs w:val="21"/>
        </w:rPr>
        <w:t>与教学内容匹配的中算史</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val="0"/>
          <w:color w:val="auto"/>
          <w:szCs w:val="21"/>
          <w:lang w:val="en-US" w:eastAsia="zh-CN"/>
        </w:rPr>
      </w:pPr>
      <w:r>
        <w:rPr>
          <w:rFonts w:hint="eastAsia" w:ascii="宋体" w:hAnsi="宋体" w:cs="宋体"/>
          <w:b w:val="0"/>
          <w:bCs w:val="0"/>
          <w:color w:val="auto"/>
          <w:szCs w:val="21"/>
          <w:lang w:val="en-US" w:eastAsia="zh-CN"/>
        </w:rPr>
        <w:t>在数学教学的每个阶段都有相应的与之匹配的中算史知识，贾宪的</w:t>
      </w:r>
      <w:r>
        <w:rPr>
          <w:rFonts w:hint="eastAsia" w:ascii="宋体" w:hAnsi="宋体" w:eastAsia="宋体" w:cs="宋体"/>
          <w:b w:val="0"/>
          <w:bCs w:val="0"/>
          <w:color w:val="auto"/>
          <w:szCs w:val="21"/>
        </w:rPr>
        <w:t>杨辉三角</w:t>
      </w:r>
      <w:r>
        <w:rPr>
          <w:rFonts w:hint="eastAsia" w:ascii="宋体" w:hAnsi="宋体" w:cs="宋体"/>
          <w:b w:val="0"/>
          <w:bCs w:val="0"/>
          <w:color w:val="auto"/>
          <w:szCs w:val="21"/>
          <w:lang w:eastAsia="zh-CN"/>
        </w:rPr>
        <w:t>，</w:t>
      </w:r>
      <w:r>
        <w:rPr>
          <w:rFonts w:hint="eastAsia" w:ascii="宋体" w:hAnsi="宋体" w:eastAsia="宋体" w:cs="宋体"/>
          <w:b w:val="0"/>
          <w:bCs w:val="0"/>
          <w:color w:val="auto"/>
          <w:szCs w:val="21"/>
        </w:rPr>
        <w:t>《周髀算经》中的勾股定理，刘徽的割圆术</w:t>
      </w:r>
      <w:r>
        <w:rPr>
          <w:rFonts w:hint="eastAsia" w:ascii="宋体" w:hAnsi="宋体" w:cs="宋体"/>
          <w:b w:val="0"/>
          <w:bCs w:val="0"/>
          <w:color w:val="auto"/>
          <w:szCs w:val="21"/>
          <w:lang w:val="en-US" w:eastAsia="zh-CN"/>
        </w:rPr>
        <w:t>等。在教学过程中，教师需要深刻研究教材，系统梳理数学教材，明确各章节的核心知识点；深入挖掘教学内容背后的数学思想，如极限思想、数形结合思想等；考量教学目标与需求，筛选合适中算史：依据不同的教学目标和学生的学习需求，筛选与之契合的中算史内容。</w:t>
      </w:r>
    </w:p>
    <w:p>
      <w:pPr>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ascii="华文新魏" w:hAnsi="华文新魏" w:eastAsia="华文新魏" w:cs="华文新魏"/>
          <w:b/>
          <w:bCs/>
          <w:color w:val="auto"/>
          <w:szCs w:val="21"/>
          <w:lang w:val="en-US" w:eastAsia="zh-CN"/>
        </w:rPr>
      </w:pPr>
      <w:r>
        <w:rPr>
          <w:rFonts w:hint="eastAsia" w:ascii="华文新魏" w:hAnsi="华文新魏" w:eastAsia="华文新魏" w:cs="华文新魏"/>
          <w:b/>
          <w:bCs/>
          <w:color w:val="auto"/>
          <w:szCs w:val="21"/>
          <w:lang w:val="en-US" w:eastAsia="zh-CN"/>
        </w:rPr>
        <w:t>实现中算史与数学内容融合的方法</w:t>
      </w:r>
    </w:p>
    <w:p>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bCs w:val="0"/>
          <w:color w:val="auto"/>
          <w:szCs w:val="21"/>
          <w:lang w:val="en-US" w:eastAsia="zh-CN"/>
        </w:rPr>
      </w:pPr>
      <w:r>
        <w:rPr>
          <w:rFonts w:hint="eastAsia" w:ascii="宋体" w:hAnsi="宋体" w:cs="宋体"/>
          <w:b w:val="0"/>
          <w:bCs w:val="0"/>
          <w:color w:val="auto"/>
          <w:szCs w:val="21"/>
          <w:lang w:val="en-US" w:eastAsia="zh-CN"/>
        </w:rPr>
        <w:t>探究中算史与数学内容融合的方法过程中需要循序渐见。在真实的教学过程中，学生欠缺对中算史的了解，所以以</w:t>
      </w:r>
      <w:r>
        <w:rPr>
          <w:rFonts w:hint="default" w:ascii="宋体" w:hAnsi="宋体" w:cs="宋体"/>
          <w:b w:val="0"/>
          <w:bCs w:val="0"/>
          <w:color w:val="auto"/>
          <w:szCs w:val="21"/>
          <w:lang w:val="en-US" w:eastAsia="zh-CN"/>
        </w:rPr>
        <w:t>在讲解新的数学知识前，讲述相关中算史故事或背景</w:t>
      </w:r>
      <w:r>
        <w:rPr>
          <w:rFonts w:hint="eastAsia" w:ascii="宋体" w:hAnsi="宋体" w:cs="宋体"/>
          <w:b w:val="0"/>
          <w:bCs w:val="0"/>
          <w:color w:val="auto"/>
          <w:szCs w:val="21"/>
          <w:lang w:val="en-US" w:eastAsia="zh-CN"/>
        </w:rPr>
        <w:t>，在课堂导入环节融入，激发学生学习兴趣。同时也可以结合教学目标与需求，将中算史的思想方法融入新的情境中去，让学生掌握数学探究的基本方法。中国古代数学广泛应用于生活，所以</w:t>
      </w:r>
      <w:r>
        <w:rPr>
          <w:rFonts w:hint="default" w:ascii="宋体" w:hAnsi="宋体" w:cs="宋体"/>
          <w:b w:val="0"/>
          <w:bCs w:val="0"/>
          <w:color w:val="auto"/>
          <w:szCs w:val="21"/>
          <w:lang w:val="en-US" w:eastAsia="zh-CN"/>
        </w:rPr>
        <w:t>结合知识讲解融入</w:t>
      </w:r>
      <w:r>
        <w:rPr>
          <w:rFonts w:hint="eastAsia" w:ascii="宋体" w:hAnsi="宋体" w:cs="宋体"/>
          <w:b w:val="0"/>
          <w:bCs w:val="0"/>
          <w:color w:val="auto"/>
          <w:szCs w:val="21"/>
          <w:lang w:val="en-US" w:eastAsia="zh-CN"/>
        </w:rPr>
        <w:t>，</w:t>
      </w:r>
      <w:r>
        <w:rPr>
          <w:rFonts w:hint="default" w:ascii="宋体" w:hAnsi="宋体" w:cs="宋体"/>
          <w:b w:val="0"/>
          <w:bCs w:val="0"/>
          <w:color w:val="auto"/>
          <w:szCs w:val="21"/>
          <w:lang w:val="en-US" w:eastAsia="zh-CN"/>
        </w:rPr>
        <w:t>在传授数学知识过程中</w:t>
      </w:r>
      <w:r>
        <w:rPr>
          <w:rFonts w:hint="eastAsia" w:ascii="宋体" w:hAnsi="宋体" w:cs="宋体"/>
          <w:b w:val="0"/>
          <w:bCs w:val="0"/>
          <w:color w:val="auto"/>
          <w:szCs w:val="21"/>
          <w:lang w:val="en-US" w:eastAsia="zh-CN"/>
        </w:rPr>
        <w:t>，让学生用今人的视角去探究中算史中的某一物品。某一问题，让学生感受古人智慧的渊博。</w:t>
      </w:r>
    </w:p>
    <w:p>
      <w:pPr>
        <w:ind w:left="0" w:leftChars="0" w:firstLine="420" w:firstLineChars="200"/>
        <w:rPr>
          <w:rFonts w:ascii="宋体" w:hAnsi="宋体" w:cs="宋体"/>
          <w:color w:val="auto"/>
          <w:szCs w:val="21"/>
        </w:rPr>
      </w:pPr>
      <w:r>
        <w:rPr>
          <w:rFonts w:hint="eastAsia" w:ascii="宋体" w:hAnsi="宋体" w:cs="宋体"/>
          <w:color w:val="auto"/>
          <w:szCs w:val="21"/>
        </w:rPr>
        <w:t>我们中国古代数学家的杰作应该以不同的形式进入课堂，实现古今对话，让更多的学生感受文化之美。</w:t>
      </w:r>
    </w:p>
    <w:p>
      <w:pPr>
        <w:pStyle w:val="3"/>
        <w:jc w:val="center"/>
        <w:rPr>
          <w:rFonts w:eastAsia="宋体"/>
          <w:color w:val="auto"/>
        </w:rPr>
      </w:pPr>
      <w:r>
        <w:rPr>
          <w:rFonts w:hint="eastAsia"/>
          <w:color w:val="auto"/>
        </w:rPr>
        <w:t>参考文献</w:t>
      </w:r>
    </w:p>
    <w:p>
      <w:pPr>
        <w:ind w:left="420" w:hanging="420" w:hangingChars="200"/>
        <w:rPr>
          <w:color w:val="auto"/>
        </w:rPr>
      </w:pPr>
      <w:r>
        <w:rPr>
          <w:rFonts w:hint="eastAsia"/>
          <w:color w:val="auto"/>
          <w:lang w:bidi="ar"/>
        </w:rPr>
        <w:t>[1] 汪晓勤, 邹佳晨. 高中数学教学中实施课程思政的路径[J]. 数学教学, 2021(8): 1-6.</w:t>
      </w:r>
    </w:p>
    <w:p>
      <w:pPr>
        <w:ind w:left="420" w:hanging="420" w:hangingChars="200"/>
        <w:rPr>
          <w:rFonts w:hint="eastAsia"/>
          <w:color w:val="auto"/>
        </w:rPr>
      </w:pPr>
      <w:r>
        <w:rPr>
          <w:rFonts w:hint="eastAsia"/>
          <w:color w:val="auto"/>
        </w:rPr>
        <w:t>[2] 李莹, 韩嘉业, 沈中宇. HPM视角下的贾宪三角探究[J]. 中小学课堂教学研究, 2019(11): 14-19.</w:t>
      </w:r>
    </w:p>
    <w:p>
      <w:pPr>
        <w:ind w:left="420" w:hanging="420" w:hangingChars="200"/>
        <w:rPr>
          <w:rFonts w:hint="eastAsia"/>
          <w:color w:val="auto"/>
          <w:lang w:val="en-US" w:eastAsia="zh-CN"/>
        </w:rPr>
      </w:pPr>
      <w:r>
        <w:rPr>
          <w:rFonts w:hint="eastAsia"/>
          <w:color w:val="auto"/>
          <w:lang w:val="en-US" w:eastAsia="zh-CN"/>
        </w:rPr>
        <w:t>[3] 李文林. 数学史概论[M]. 北京: 高等教育出版社, 2002.</w:t>
      </w:r>
    </w:p>
    <w:p>
      <w:pPr>
        <w:ind w:left="420" w:hanging="420" w:hangingChars="200"/>
        <w:rPr>
          <w:rFonts w:hint="default"/>
          <w:color w:val="auto"/>
          <w:lang w:val="en-US" w:eastAsia="zh-CN"/>
        </w:rPr>
      </w:pPr>
      <w:r>
        <w:rPr>
          <w:rFonts w:hint="eastAsia"/>
          <w:color w:val="auto"/>
          <w:lang w:val="en-US" w:eastAsia="zh-CN"/>
        </w:rPr>
        <w:t>[4] 郑敏杰.厘清逻辑，活用教材，回归原点——以“二项式定理”教学为例[J].数学教学通讯,2024,(30):10-13.</w:t>
      </w:r>
      <w:bookmarkStart w:id="3" w:name="_GoBack"/>
      <w:bookmarkEnd w:id="3"/>
    </w:p>
    <w:p>
      <w:pPr>
        <w:ind w:left="420" w:hanging="420" w:hangingChars="200"/>
        <w:rPr>
          <w:rFonts w:hint="eastAsia"/>
          <w:color w:val="auto"/>
          <w:lang w:val="en-US" w:eastAsia="zh-CN"/>
        </w:rPr>
      </w:pPr>
      <w:r>
        <w:rPr>
          <w:rFonts w:hint="eastAsia"/>
          <w:color w:val="auto"/>
          <w:lang w:val="en-US" w:eastAsia="zh-CN"/>
        </w:rPr>
        <w:t>[5] 韩玮.彰显育人价值培育核心素养——以“二项式定理”教学为例[J].高中数学教与学,2023,(12):1-3.</w:t>
      </w:r>
    </w:p>
    <w:p>
      <w:pPr>
        <w:ind w:left="420" w:hanging="420" w:hangingChars="200"/>
        <w:rPr>
          <w:rFonts w:hint="default"/>
          <w:color w:val="auto"/>
          <w:lang w:val="en-US" w:eastAsia="zh-CN"/>
        </w:rPr>
      </w:pPr>
    </w:p>
    <w:p>
      <w:pPr>
        <w:ind w:firstLine="0" w:firstLineChars="0"/>
        <w:rPr>
          <w:rFonts w:ascii="宋体" w:hAnsi="宋体" w:cs="宋体"/>
          <w:color w:val="auto"/>
          <w:szCs w:val="21"/>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新魏">
    <w:panose1 w:val="02010800040101010101"/>
    <w:charset w:val="86"/>
    <w:family w:val="auto"/>
    <w:pitch w:val="default"/>
    <w:sig w:usb0="00000001" w:usb1="080F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39331402"/>
      <w:docPartObj>
        <w:docPartGallery w:val="autotext"/>
      </w:docPartObj>
    </w:sdtPr>
    <w:sdtContent>
      <w:p>
        <w:pPr>
          <w:pStyle w:val="6"/>
          <w:ind w:firstLine="360"/>
          <w:jc w:val="center"/>
        </w:pPr>
        <w:r>
          <w:fldChar w:fldCharType="begin"/>
        </w:r>
        <w:r>
          <w:instrText xml:space="preserve">PAGE   \* MERGEFORMAT</w:instrText>
        </w:r>
        <w:r>
          <w:fldChar w:fldCharType="separate"/>
        </w:r>
        <w:r>
          <w:rPr>
            <w:lang w:val="zh-CN"/>
          </w:rPr>
          <w:t>2</w:t>
        </w:r>
        <w:r>
          <w:fldChar w:fldCharType="end"/>
        </w:r>
      </w:p>
    </w:sdtContent>
  </w:sdt>
  <w:p>
    <w:pPr>
      <w:pStyle w:val="6"/>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062821"/>
    <w:multiLevelType w:val="singleLevel"/>
    <w:tmpl w:val="FE062821"/>
    <w:lvl w:ilvl="0" w:tentative="0">
      <w:start w:val="14"/>
      <w:numFmt w:val="decimal"/>
      <w:pStyle w:val="15"/>
      <w:lvlText w:val="%1"/>
      <w:lvlJc w:val="left"/>
      <w:pPr>
        <w:tabs>
          <w:tab w:val="left" w:pos="720"/>
        </w:tabs>
        <w:ind w:left="7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E0MzQxNTQwZTRiNGQ4Y2JmZWZmNTM5YTIwYzdmNGUifQ=="/>
  </w:docVars>
  <w:rsids>
    <w:rsidRoot w:val="56604225"/>
    <w:rsid w:val="00037A7B"/>
    <w:rsid w:val="000845CA"/>
    <w:rsid w:val="000E04A6"/>
    <w:rsid w:val="000F6B46"/>
    <w:rsid w:val="00167E1E"/>
    <w:rsid w:val="002E57F0"/>
    <w:rsid w:val="002F3BEE"/>
    <w:rsid w:val="002F7C32"/>
    <w:rsid w:val="00346B5F"/>
    <w:rsid w:val="004735BB"/>
    <w:rsid w:val="00555000"/>
    <w:rsid w:val="005E0FD2"/>
    <w:rsid w:val="005E6C92"/>
    <w:rsid w:val="00601C39"/>
    <w:rsid w:val="00623E13"/>
    <w:rsid w:val="0064597F"/>
    <w:rsid w:val="0075177E"/>
    <w:rsid w:val="00793D95"/>
    <w:rsid w:val="008016BC"/>
    <w:rsid w:val="008C52EE"/>
    <w:rsid w:val="008E1FC9"/>
    <w:rsid w:val="009D67F4"/>
    <w:rsid w:val="009E048B"/>
    <w:rsid w:val="00A707BE"/>
    <w:rsid w:val="00AC363B"/>
    <w:rsid w:val="00AD2C29"/>
    <w:rsid w:val="00BD3B54"/>
    <w:rsid w:val="00CA0B71"/>
    <w:rsid w:val="00EC2978"/>
    <w:rsid w:val="00F27E9A"/>
    <w:rsid w:val="00F547FA"/>
    <w:rsid w:val="01393F2D"/>
    <w:rsid w:val="022C27C5"/>
    <w:rsid w:val="03650522"/>
    <w:rsid w:val="05C25D33"/>
    <w:rsid w:val="05E06872"/>
    <w:rsid w:val="06732DD2"/>
    <w:rsid w:val="09A43FDF"/>
    <w:rsid w:val="0AE92A74"/>
    <w:rsid w:val="0ECB569B"/>
    <w:rsid w:val="10567D23"/>
    <w:rsid w:val="15751294"/>
    <w:rsid w:val="165F2A2B"/>
    <w:rsid w:val="17E458DD"/>
    <w:rsid w:val="18D37C5D"/>
    <w:rsid w:val="18D768C7"/>
    <w:rsid w:val="1945415A"/>
    <w:rsid w:val="1C4D2FEE"/>
    <w:rsid w:val="1E85149C"/>
    <w:rsid w:val="206F20D9"/>
    <w:rsid w:val="23376A8B"/>
    <w:rsid w:val="24E06486"/>
    <w:rsid w:val="27E232A4"/>
    <w:rsid w:val="28C151B5"/>
    <w:rsid w:val="296F5223"/>
    <w:rsid w:val="29B8307B"/>
    <w:rsid w:val="2B2142FB"/>
    <w:rsid w:val="2CDA3A2B"/>
    <w:rsid w:val="2D5B1D46"/>
    <w:rsid w:val="2E7C01C6"/>
    <w:rsid w:val="2EEA0214"/>
    <w:rsid w:val="34003C09"/>
    <w:rsid w:val="3D0C1131"/>
    <w:rsid w:val="3DCC20AC"/>
    <w:rsid w:val="418A40FF"/>
    <w:rsid w:val="41EF0857"/>
    <w:rsid w:val="438F3899"/>
    <w:rsid w:val="43E73490"/>
    <w:rsid w:val="45FE550D"/>
    <w:rsid w:val="4A0B351A"/>
    <w:rsid w:val="4F3F683D"/>
    <w:rsid w:val="50062548"/>
    <w:rsid w:val="5060129E"/>
    <w:rsid w:val="517F63E2"/>
    <w:rsid w:val="518E119C"/>
    <w:rsid w:val="56604225"/>
    <w:rsid w:val="58877747"/>
    <w:rsid w:val="5AC83C44"/>
    <w:rsid w:val="5C6A7000"/>
    <w:rsid w:val="5DFE6A0C"/>
    <w:rsid w:val="640E4E4A"/>
    <w:rsid w:val="676E56F7"/>
    <w:rsid w:val="683A3D2B"/>
    <w:rsid w:val="6CEE0F26"/>
    <w:rsid w:val="6FF42F96"/>
    <w:rsid w:val="6FFD4D9E"/>
    <w:rsid w:val="711B3541"/>
    <w:rsid w:val="72B172DF"/>
    <w:rsid w:val="744E41ED"/>
    <w:rsid w:val="74D359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heme="minorBidi"/>
      <w:kern w:val="2"/>
      <w:sz w:val="21"/>
      <w:szCs w:val="24"/>
      <w:lang w:val="en-US" w:eastAsia="zh-CN" w:bidi="ar-SA"/>
    </w:rPr>
  </w:style>
  <w:style w:type="paragraph" w:styleId="2">
    <w:name w:val="heading 1"/>
    <w:basedOn w:val="1"/>
    <w:next w:val="1"/>
    <w:link w:val="16"/>
    <w:qFormat/>
    <w:uiPriority w:val="0"/>
    <w:pPr>
      <w:keepNext/>
      <w:keepLines/>
      <w:spacing w:before="240" w:after="240"/>
      <w:ind w:firstLine="0" w:firstLineChars="0"/>
      <w:jc w:val="center"/>
      <w:outlineLvl w:val="0"/>
    </w:pPr>
    <w:rPr>
      <w:rFonts w:eastAsia="华文新魏"/>
      <w:b/>
      <w:bCs/>
      <w:kern w:val="44"/>
      <w:sz w:val="30"/>
      <w:szCs w:val="44"/>
    </w:rPr>
  </w:style>
  <w:style w:type="paragraph" w:styleId="3">
    <w:name w:val="heading 2"/>
    <w:basedOn w:val="1"/>
    <w:next w:val="1"/>
    <w:link w:val="17"/>
    <w:unhideWhenUsed/>
    <w:qFormat/>
    <w:uiPriority w:val="0"/>
    <w:pPr>
      <w:keepNext/>
      <w:keepLines/>
      <w:spacing w:before="240" w:after="240"/>
      <w:ind w:firstLine="0" w:firstLineChars="0"/>
      <w:outlineLvl w:val="1"/>
    </w:pPr>
    <w:rPr>
      <w:rFonts w:eastAsia="华文新魏" w:cstheme="majorBidi"/>
      <w:b/>
      <w:bCs/>
      <w:sz w:val="24"/>
      <w:szCs w:val="32"/>
    </w:rPr>
  </w:style>
  <w:style w:type="paragraph" w:styleId="4">
    <w:name w:val="heading 3"/>
    <w:basedOn w:val="1"/>
    <w:next w:val="1"/>
    <w:link w:val="18"/>
    <w:unhideWhenUsed/>
    <w:qFormat/>
    <w:uiPriority w:val="0"/>
    <w:pPr>
      <w:keepNext/>
      <w:keepLines/>
      <w:spacing w:before="240" w:after="240"/>
      <w:ind w:firstLine="0" w:firstLineChars="0"/>
      <w:outlineLvl w:val="2"/>
    </w:pPr>
    <w:rPr>
      <w:rFonts w:eastAsia="华文新魏"/>
      <w:b/>
      <w:bCs/>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0"/>
    <w:qFormat/>
    <w:uiPriority w:val="0"/>
    <w:pPr>
      <w:jc w:val="left"/>
    </w:pPr>
  </w:style>
  <w:style w:type="paragraph" w:styleId="6">
    <w:name w:val="footer"/>
    <w:basedOn w:val="1"/>
    <w:link w:val="23"/>
    <w:qFormat/>
    <w:uiPriority w:val="99"/>
    <w:pPr>
      <w:tabs>
        <w:tab w:val="center" w:pos="4153"/>
        <w:tab w:val="right" w:pos="8306"/>
      </w:tabs>
      <w:snapToGrid w:val="0"/>
      <w:spacing w:line="240" w:lineRule="auto"/>
      <w:jc w:val="left"/>
    </w:pPr>
    <w:rPr>
      <w:sz w:val="18"/>
      <w:szCs w:val="18"/>
    </w:rPr>
  </w:style>
  <w:style w:type="paragraph" w:styleId="7">
    <w:name w:val="header"/>
    <w:basedOn w:val="1"/>
    <w:link w:val="22"/>
    <w:qFormat/>
    <w:uiPriority w:val="0"/>
    <w:pPr>
      <w:tabs>
        <w:tab w:val="center" w:pos="4153"/>
        <w:tab w:val="right" w:pos="8306"/>
      </w:tabs>
      <w:snapToGrid w:val="0"/>
      <w:spacing w:line="240" w:lineRule="auto"/>
      <w:jc w:val="center"/>
    </w:pPr>
    <w:rPr>
      <w:sz w:val="18"/>
      <w:szCs w:val="18"/>
    </w:rPr>
  </w:style>
  <w:style w:type="paragraph" w:styleId="8">
    <w:name w:val="footnote text"/>
    <w:basedOn w:val="1"/>
    <w:link w:val="19"/>
    <w:uiPriority w:val="0"/>
    <w:pPr>
      <w:snapToGrid w:val="0"/>
      <w:jc w:val="left"/>
    </w:pPr>
    <w:rPr>
      <w:sz w:val="18"/>
      <w:szCs w:val="18"/>
    </w:rPr>
  </w:style>
  <w:style w:type="paragraph" w:styleId="9">
    <w:name w:val="annotation subject"/>
    <w:basedOn w:val="5"/>
    <w:next w:val="5"/>
    <w:link w:val="21"/>
    <w:qFormat/>
    <w:uiPriority w:val="0"/>
    <w:rPr>
      <w:b/>
      <w:bCs/>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qFormat/>
    <w:uiPriority w:val="0"/>
    <w:rPr>
      <w:sz w:val="21"/>
      <w:szCs w:val="21"/>
    </w:rPr>
  </w:style>
  <w:style w:type="character" w:styleId="14">
    <w:name w:val="footnote reference"/>
    <w:basedOn w:val="12"/>
    <w:qFormat/>
    <w:uiPriority w:val="0"/>
    <w:rPr>
      <w:vertAlign w:val="superscript"/>
    </w:rPr>
  </w:style>
  <w:style w:type="paragraph" w:customStyle="1" w:styleId="15">
    <w:name w:val="样式1"/>
    <w:basedOn w:val="1"/>
    <w:qFormat/>
    <w:uiPriority w:val="0"/>
    <w:pPr>
      <w:numPr>
        <w:ilvl w:val="0"/>
        <w:numId w:val="1"/>
      </w:numPr>
    </w:pPr>
    <w:rPr>
      <w:rFonts w:eastAsiaTheme="minorEastAsia"/>
      <w:szCs w:val="21"/>
      <w:lang w:eastAsia="en-US"/>
    </w:rPr>
  </w:style>
  <w:style w:type="character" w:customStyle="1" w:styleId="16">
    <w:name w:val="标题 1 字符"/>
    <w:basedOn w:val="12"/>
    <w:link w:val="2"/>
    <w:uiPriority w:val="0"/>
    <w:rPr>
      <w:rFonts w:eastAsia="华文新魏" w:cstheme="minorBidi"/>
      <w:b/>
      <w:bCs/>
      <w:kern w:val="44"/>
      <w:sz w:val="30"/>
      <w:szCs w:val="44"/>
    </w:rPr>
  </w:style>
  <w:style w:type="character" w:customStyle="1" w:styleId="17">
    <w:name w:val="标题 2 字符"/>
    <w:basedOn w:val="12"/>
    <w:link w:val="3"/>
    <w:qFormat/>
    <w:uiPriority w:val="0"/>
    <w:rPr>
      <w:rFonts w:eastAsia="华文新魏" w:cstheme="majorBidi"/>
      <w:b/>
      <w:bCs/>
      <w:kern w:val="2"/>
      <w:sz w:val="24"/>
      <w:szCs w:val="32"/>
    </w:rPr>
  </w:style>
  <w:style w:type="character" w:customStyle="1" w:styleId="18">
    <w:name w:val="标题 3 字符"/>
    <w:basedOn w:val="12"/>
    <w:link w:val="4"/>
    <w:uiPriority w:val="0"/>
    <w:rPr>
      <w:rFonts w:eastAsia="华文新魏" w:cstheme="minorBidi"/>
      <w:b/>
      <w:bCs/>
      <w:kern w:val="2"/>
      <w:sz w:val="21"/>
      <w:szCs w:val="32"/>
    </w:rPr>
  </w:style>
  <w:style w:type="character" w:customStyle="1" w:styleId="19">
    <w:name w:val="脚注文本 字符"/>
    <w:basedOn w:val="12"/>
    <w:link w:val="8"/>
    <w:qFormat/>
    <w:uiPriority w:val="0"/>
    <w:rPr>
      <w:rFonts w:cstheme="minorBidi"/>
      <w:kern w:val="2"/>
      <w:sz w:val="18"/>
      <w:szCs w:val="18"/>
    </w:rPr>
  </w:style>
  <w:style w:type="character" w:customStyle="1" w:styleId="20">
    <w:name w:val="批注文字 字符"/>
    <w:basedOn w:val="12"/>
    <w:link w:val="5"/>
    <w:qFormat/>
    <w:uiPriority w:val="0"/>
    <w:rPr>
      <w:rFonts w:cstheme="minorBidi"/>
      <w:kern w:val="2"/>
      <w:sz w:val="21"/>
      <w:szCs w:val="24"/>
    </w:rPr>
  </w:style>
  <w:style w:type="character" w:customStyle="1" w:styleId="21">
    <w:name w:val="批注主题 字符"/>
    <w:basedOn w:val="20"/>
    <w:link w:val="9"/>
    <w:qFormat/>
    <w:uiPriority w:val="0"/>
    <w:rPr>
      <w:rFonts w:cstheme="minorBidi"/>
      <w:b/>
      <w:bCs/>
      <w:kern w:val="2"/>
      <w:sz w:val="21"/>
      <w:szCs w:val="24"/>
    </w:rPr>
  </w:style>
  <w:style w:type="character" w:customStyle="1" w:styleId="22">
    <w:name w:val="页眉 字符"/>
    <w:basedOn w:val="12"/>
    <w:link w:val="7"/>
    <w:qFormat/>
    <w:uiPriority w:val="0"/>
    <w:rPr>
      <w:rFonts w:cstheme="minorBidi"/>
      <w:kern w:val="2"/>
      <w:sz w:val="18"/>
      <w:szCs w:val="18"/>
    </w:rPr>
  </w:style>
  <w:style w:type="character" w:customStyle="1" w:styleId="23">
    <w:name w:val="页脚 字符"/>
    <w:basedOn w:val="12"/>
    <w:link w:val="6"/>
    <w:qFormat/>
    <w:uiPriority w:val="99"/>
    <w:rPr>
      <w:rFonts w:cstheme="minorBidi"/>
      <w:kern w:val="2"/>
      <w:sz w:val="18"/>
      <w:szCs w:val="18"/>
    </w:rPr>
  </w:style>
  <w:style w:type="paragraph" w:customStyle="1" w:styleId="24">
    <w:name w:val="图&amp;表"/>
    <w:basedOn w:val="1"/>
    <w:link w:val="25"/>
    <w:qFormat/>
    <w:uiPriority w:val="0"/>
    <w:pPr>
      <w:ind w:firstLine="0" w:firstLineChars="0"/>
      <w:jc w:val="center"/>
    </w:pPr>
    <w:rPr>
      <w:rFonts w:eastAsia="楷体" w:cs="宋体"/>
      <w:szCs w:val="21"/>
    </w:rPr>
  </w:style>
  <w:style w:type="character" w:customStyle="1" w:styleId="25">
    <w:name w:val="图&amp;表 字符"/>
    <w:basedOn w:val="12"/>
    <w:link w:val="24"/>
    <w:uiPriority w:val="0"/>
    <w:rPr>
      <w:rFonts w:eastAsia="楷体" w:cs="宋体"/>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8" Type="http://schemas.openxmlformats.org/officeDocument/2006/relationships/fontTable" Target="fontTable.xml"/><Relationship Id="rId67" Type="http://schemas.openxmlformats.org/officeDocument/2006/relationships/customXml" Target="../customXml/item1.xml"/><Relationship Id="rId66" Type="http://schemas.openxmlformats.org/officeDocument/2006/relationships/numbering" Target="numbering.xml"/><Relationship Id="rId65" Type="http://schemas.openxmlformats.org/officeDocument/2006/relationships/image" Target="media/image28.wmf"/><Relationship Id="rId64" Type="http://schemas.openxmlformats.org/officeDocument/2006/relationships/oleObject" Target="embeddings/oleObject26.bin"/><Relationship Id="rId63" Type="http://schemas.openxmlformats.org/officeDocument/2006/relationships/image" Target="media/image27.wmf"/><Relationship Id="rId62" Type="http://schemas.openxmlformats.org/officeDocument/2006/relationships/oleObject" Target="embeddings/oleObject25.bin"/><Relationship Id="rId61" Type="http://schemas.openxmlformats.org/officeDocument/2006/relationships/image" Target="media/image26.wmf"/><Relationship Id="rId60" Type="http://schemas.openxmlformats.org/officeDocument/2006/relationships/oleObject" Target="embeddings/oleObject24.bin"/><Relationship Id="rId6" Type="http://schemas.openxmlformats.org/officeDocument/2006/relationships/header" Target="header2.xml"/><Relationship Id="rId59" Type="http://schemas.openxmlformats.org/officeDocument/2006/relationships/image" Target="media/image25.wmf"/><Relationship Id="rId58" Type="http://schemas.openxmlformats.org/officeDocument/2006/relationships/oleObject" Target="embeddings/oleObject23.bin"/><Relationship Id="rId57" Type="http://schemas.openxmlformats.org/officeDocument/2006/relationships/image" Target="media/image24.wmf"/><Relationship Id="rId56" Type="http://schemas.openxmlformats.org/officeDocument/2006/relationships/oleObject" Target="embeddings/oleObject22.bin"/><Relationship Id="rId55" Type="http://schemas.openxmlformats.org/officeDocument/2006/relationships/oleObject" Target="embeddings/oleObject21.bin"/><Relationship Id="rId54" Type="http://schemas.openxmlformats.org/officeDocument/2006/relationships/image" Target="media/image23.wmf"/><Relationship Id="rId53" Type="http://schemas.openxmlformats.org/officeDocument/2006/relationships/oleObject" Target="embeddings/oleObject20.bin"/><Relationship Id="rId52" Type="http://schemas.openxmlformats.org/officeDocument/2006/relationships/image" Target="media/image22.wmf"/><Relationship Id="rId51" Type="http://schemas.openxmlformats.org/officeDocument/2006/relationships/oleObject" Target="embeddings/oleObject19.bin"/><Relationship Id="rId50" Type="http://schemas.openxmlformats.org/officeDocument/2006/relationships/image" Target="media/image21.wmf"/><Relationship Id="rId5" Type="http://schemas.openxmlformats.org/officeDocument/2006/relationships/header" Target="header1.xml"/><Relationship Id="rId49" Type="http://schemas.openxmlformats.org/officeDocument/2006/relationships/oleObject" Target="embeddings/oleObject18.bin"/><Relationship Id="rId48" Type="http://schemas.openxmlformats.org/officeDocument/2006/relationships/image" Target="media/image20.png"/><Relationship Id="rId47" Type="http://schemas.openxmlformats.org/officeDocument/2006/relationships/image" Target="media/image19.png"/><Relationship Id="rId46" Type="http://schemas.openxmlformats.org/officeDocument/2006/relationships/image" Target="media/image18.wmf"/><Relationship Id="rId45" Type="http://schemas.openxmlformats.org/officeDocument/2006/relationships/oleObject" Target="embeddings/oleObject17.bin"/><Relationship Id="rId44" Type="http://schemas.openxmlformats.org/officeDocument/2006/relationships/image" Target="media/image17.wmf"/><Relationship Id="rId43" Type="http://schemas.openxmlformats.org/officeDocument/2006/relationships/oleObject" Target="embeddings/oleObject16.bin"/><Relationship Id="rId42" Type="http://schemas.openxmlformats.org/officeDocument/2006/relationships/image" Target="media/image16.wmf"/><Relationship Id="rId41" Type="http://schemas.openxmlformats.org/officeDocument/2006/relationships/oleObject" Target="embeddings/oleObject15.bin"/><Relationship Id="rId40" Type="http://schemas.openxmlformats.org/officeDocument/2006/relationships/image" Target="media/image15.wmf"/><Relationship Id="rId4" Type="http://schemas.openxmlformats.org/officeDocument/2006/relationships/endnotes" Target="endnotes.xml"/><Relationship Id="rId39" Type="http://schemas.openxmlformats.org/officeDocument/2006/relationships/oleObject" Target="embeddings/oleObject14.bin"/><Relationship Id="rId38" Type="http://schemas.openxmlformats.org/officeDocument/2006/relationships/image" Target="media/image14.wmf"/><Relationship Id="rId37" Type="http://schemas.openxmlformats.org/officeDocument/2006/relationships/oleObject" Target="embeddings/oleObject13.bin"/><Relationship Id="rId36" Type="http://schemas.openxmlformats.org/officeDocument/2006/relationships/image" Target="media/image13.wmf"/><Relationship Id="rId35" Type="http://schemas.openxmlformats.org/officeDocument/2006/relationships/oleObject" Target="embeddings/oleObject12.bin"/><Relationship Id="rId34" Type="http://schemas.openxmlformats.org/officeDocument/2006/relationships/image" Target="media/image12.png"/><Relationship Id="rId33" Type="http://schemas.openxmlformats.org/officeDocument/2006/relationships/image" Target="media/image11.wmf"/><Relationship Id="rId32" Type="http://schemas.openxmlformats.org/officeDocument/2006/relationships/oleObject" Target="embeddings/oleObject11.bin"/><Relationship Id="rId31" Type="http://schemas.openxmlformats.org/officeDocument/2006/relationships/image" Target="media/image10.wmf"/><Relationship Id="rId30" Type="http://schemas.openxmlformats.org/officeDocument/2006/relationships/oleObject" Target="embeddings/oleObject10.bin"/><Relationship Id="rId3" Type="http://schemas.openxmlformats.org/officeDocument/2006/relationships/footnotes" Target="footnotes.xml"/><Relationship Id="rId29" Type="http://schemas.openxmlformats.org/officeDocument/2006/relationships/image" Target="media/image9.wmf"/><Relationship Id="rId28" Type="http://schemas.openxmlformats.org/officeDocument/2006/relationships/oleObject" Target="embeddings/oleObject9.bin"/><Relationship Id="rId27" Type="http://schemas.openxmlformats.org/officeDocument/2006/relationships/image" Target="media/image8.wmf"/><Relationship Id="rId26" Type="http://schemas.openxmlformats.org/officeDocument/2006/relationships/oleObject" Target="embeddings/oleObject8.bin"/><Relationship Id="rId25" Type="http://schemas.openxmlformats.org/officeDocument/2006/relationships/image" Target="media/image7.wmf"/><Relationship Id="rId24" Type="http://schemas.openxmlformats.org/officeDocument/2006/relationships/oleObject" Target="embeddings/oleObject7.bin"/><Relationship Id="rId23" Type="http://schemas.openxmlformats.org/officeDocument/2006/relationships/image" Target="media/image6.wmf"/><Relationship Id="rId22" Type="http://schemas.openxmlformats.org/officeDocument/2006/relationships/oleObject" Target="embeddings/oleObject6.bin"/><Relationship Id="rId21" Type="http://schemas.openxmlformats.org/officeDocument/2006/relationships/oleObject" Target="embeddings/oleObject5.bin"/><Relationship Id="rId20" Type="http://schemas.openxmlformats.org/officeDocument/2006/relationships/image" Target="media/image5.w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4.wmf"/><Relationship Id="rId17" Type="http://schemas.openxmlformats.org/officeDocument/2006/relationships/oleObject" Target="embeddings/oleObject3.bin"/><Relationship Id="rId16" Type="http://schemas.openxmlformats.org/officeDocument/2006/relationships/image" Target="media/image3.wmf"/><Relationship Id="rId15" Type="http://schemas.openxmlformats.org/officeDocument/2006/relationships/oleObject" Target="embeddings/oleObject2.bin"/><Relationship Id="rId14" Type="http://schemas.openxmlformats.org/officeDocument/2006/relationships/image" Target="media/image2.wmf"/><Relationship Id="rId13" Type="http://schemas.openxmlformats.org/officeDocument/2006/relationships/oleObject" Target="embeddings/oleObject1.bin"/><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C1973E-850B-434B-9F4F-D92D4238EF8E}">
  <ds:schemaRefs/>
</ds:datastoreItem>
</file>

<file path=docProps/app.xml><?xml version="1.0" encoding="utf-8"?>
<Properties xmlns="http://schemas.openxmlformats.org/officeDocument/2006/extended-properties" xmlns:vt="http://schemas.openxmlformats.org/officeDocument/2006/docPropsVTypes">
  <Template>Normal.dotm</Template>
  <Pages>8</Pages>
  <Words>5315</Words>
  <Characters>5480</Characters>
  <Lines>31</Lines>
  <Paragraphs>9</Paragraphs>
  <TotalTime>49</TotalTime>
  <ScaleCrop>false</ScaleCrop>
  <LinksUpToDate>false</LinksUpToDate>
  <CharactersWithSpaces>5517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2024-03-19T12:30:00Z</dcterms:created>
  <dc:creator>，。？！~</dc:creator>
  <cp:lastModifiedBy>，。？！~</cp:lastModifiedBy>
  <dcterms:modified xsi:type="dcterms:W3CDTF">2025-04-02T08:57:29Z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E17F22D551124BB8974071F431D594F8_13</vt:lpwstr>
  </property>
</Properties>
</file>