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B07EE">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bCs/>
          <w:sz w:val="30"/>
          <w:szCs w:val="30"/>
          <w:lang w:val="en-US" w:eastAsia="zh-CN"/>
        </w:rPr>
      </w:pPr>
      <w:r>
        <w:rPr>
          <w:rFonts w:hint="eastAsia"/>
          <w:b/>
          <w:bCs/>
          <w:sz w:val="30"/>
          <w:szCs w:val="30"/>
          <w:lang w:val="en-US" w:eastAsia="zh-CN"/>
        </w:rPr>
        <w:t>基于项目化学习的小学科学核心素养培育探索</w:t>
      </w:r>
    </w:p>
    <w:p w14:paraId="5206AF72">
      <w:pPr>
        <w:keepNext w:val="0"/>
        <w:keepLines w:val="0"/>
        <w:pageBreakBefore w:val="0"/>
        <w:widowControl w:val="0"/>
        <w:kinsoku/>
        <w:wordWrap/>
        <w:overflowPunct/>
        <w:topLinePunct w:val="0"/>
        <w:autoSpaceDE/>
        <w:autoSpaceDN/>
        <w:bidi w:val="0"/>
        <w:adjustRightInd/>
        <w:snapToGrid/>
        <w:ind w:right="0"/>
        <w:jc w:val="center"/>
        <w:textAlignment w:val="auto"/>
        <w:rPr>
          <w:rFonts w:hint="eastAsia"/>
          <w:b/>
          <w:bCs/>
          <w:sz w:val="30"/>
          <w:szCs w:val="30"/>
        </w:rPr>
      </w:pPr>
      <w:r>
        <w:rPr>
          <w:rFonts w:hint="eastAsia"/>
          <w:b/>
          <w:bCs/>
          <w:sz w:val="30"/>
          <w:szCs w:val="30"/>
        </w:rPr>
        <w:t>——以“趣探光影，影子有戏”为例</w:t>
      </w:r>
    </w:p>
    <w:p w14:paraId="3EC870FD">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center"/>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吴中路小学 郭益弟</w:t>
      </w:r>
    </w:p>
    <w:p w14:paraId="671931EC">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【摘   要】 新课标对包括科学观念、科学思维、探究实践、态度责任等在内的科学核心素养提出明确要求，为教学改革指明了方向。</w:t>
      </w:r>
      <w:r>
        <w:rPr>
          <w:color w:val="0000FF"/>
          <w:spacing w:val="8"/>
          <w:position w:val="6"/>
          <w:sz w:val="11"/>
          <w:szCs w:val="11"/>
        </w:rPr>
        <w:t>［</w:t>
      </w:r>
      <w:r>
        <w:rPr>
          <w:color w:val="0000FF"/>
          <w:spacing w:val="8"/>
          <w:position w:val="6"/>
          <w:sz w:val="15"/>
          <w:szCs w:val="15"/>
        </w:rPr>
        <w:t>1</w:t>
      </w:r>
      <w:r>
        <w:rPr>
          <w:color w:val="0000FF"/>
          <w:spacing w:val="-16"/>
          <w:position w:val="6"/>
          <w:sz w:val="11"/>
          <w:szCs w:val="11"/>
        </w:rPr>
        <w:t>］</w:t>
      </w:r>
      <w:r>
        <w:rPr>
          <w:rFonts w:hint="eastAsia" w:ascii="宋体" w:hAnsi="宋体" w:eastAsia="宋体" w:cs="宋体"/>
          <w:b w:val="0"/>
          <w:bCs w:val="0"/>
          <w:sz w:val="24"/>
          <w:szCs w:val="24"/>
          <w:lang w:val="en-US" w:eastAsia="zh-CN"/>
        </w:rPr>
        <w:t>PBL项目化学习模式下，结合科教版小学科学教材及教学经验，设计“ 情境化 ”项目探究课程，能够帮助学生构建知识体系，文章以“趣探光影，影子有戏””项目化学习为例，通过转变教学观念、更新教学方式、完善评价机制等探索核心素养培养的路径。</w:t>
      </w:r>
    </w:p>
    <w:p w14:paraId="0D2E07AD">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【关键词】 核心素养  小学科学  项目化学习</w:t>
      </w:r>
    </w:p>
    <w:p w14:paraId="7DBADD54">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在“知识本位 ”逐渐淡化的背景下，核心素养频频被提及，其重要性不言而喻。项目化学习强调学生亲历真实情境，通过创设驱动性问题激发学生的学习兴趣。在学科大概念统整视角下，进行主体化的活动设计和实践，对发展学生的核心素养具有重要意义。因此，对于小学科学学科而言，开展项目化学习对于培养学生的科学核心素养具有重要的实践价值。</w:t>
      </w:r>
    </w:p>
    <w:p w14:paraId="0F812771">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 、核心素养视域下小学科学教学存在的问题分析</w:t>
      </w:r>
    </w:p>
    <w:p w14:paraId="72C498CE">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（一）教学目标转变滞后</w:t>
      </w:r>
    </w:p>
    <w:p w14:paraId="015BB427">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2016年，《中国学生发展核心素养》正式发布，这一研究成果标志着基础教育课程改革进入学生核心素养的目标阶段，也意味着三维目标向核心素养的转变势在必行。但在目前的小学科学教学中，部分教师对三维目标和核心素养的认知存在偏差，无法深刻理解二者之间的联系和区别。</w:t>
      </w:r>
    </w:p>
    <w:p w14:paraId="1138D52F">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从某种意义上看 ，核心素养是对三维目标的进一步整合和归纳</w:t>
      </w:r>
      <w:r>
        <w:rPr>
          <w:color w:val="0000FF"/>
          <w:spacing w:val="8"/>
          <w:position w:val="6"/>
          <w:sz w:val="11"/>
          <w:szCs w:val="11"/>
        </w:rPr>
        <w:t>［</w:t>
      </w:r>
      <w:r>
        <w:rPr>
          <w:rFonts w:hint="eastAsia"/>
          <w:color w:val="0000FF"/>
          <w:spacing w:val="8"/>
          <w:position w:val="6"/>
          <w:sz w:val="15"/>
          <w:szCs w:val="15"/>
          <w:lang w:val="en-US" w:eastAsia="zh-CN"/>
        </w:rPr>
        <w:t>4</w:t>
      </w:r>
      <w:r>
        <w:rPr>
          <w:color w:val="0000FF"/>
          <w:spacing w:val="-16"/>
          <w:position w:val="6"/>
          <w:sz w:val="11"/>
          <w:szCs w:val="11"/>
        </w:rPr>
        <w:t>］</w:t>
      </w:r>
      <w:r>
        <w:rPr>
          <w:rFonts w:hint="eastAsia" w:ascii="宋体" w:hAnsi="宋体" w:eastAsia="宋体" w:cs="宋体"/>
          <w:b w:val="0"/>
          <w:bCs w:val="0"/>
          <w:sz w:val="24"/>
          <w:szCs w:val="24"/>
          <w:lang w:val="en-US" w:eastAsia="zh-CN"/>
        </w:rPr>
        <w:t>，但并不是核心素养的落地就要摒弃三维目标，而是应实现从“学科本位”到“学</w:t>
      </w:r>
      <w:r>
        <w:rPr>
          <w:rFonts w:hint="eastAsia" w:ascii="宋体" w:hAnsi="宋体" w:eastAsia="宋体" w:cs="宋体"/>
          <w:b w:val="0"/>
          <w:bCs w:val="0"/>
          <w:sz w:val="24"/>
          <w:szCs w:val="24"/>
          <w:u w:val="none"/>
          <w:lang w:val="en-US" w:eastAsia="zh-CN"/>
        </w:rPr>
        <w:t>生本位”的转变，二者</w:t>
      </w:r>
      <w:r>
        <w:rPr>
          <w:rFonts w:hint="eastAsia" w:ascii="宋体" w:hAnsi="宋体" w:eastAsia="宋体" w:cs="宋体"/>
          <w:b w:val="0"/>
          <w:bCs w:val="0"/>
          <w:sz w:val="24"/>
          <w:szCs w:val="24"/>
          <w:lang w:val="en-US" w:eastAsia="zh-CN"/>
        </w:rPr>
        <w:t>的联系与区别如图1所示。</w:t>
      </w:r>
    </w:p>
    <w:p w14:paraId="5D4A9E6D">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p>
    <w:p w14:paraId="1F5E9EFA">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p>
    <w:p w14:paraId="50B8EB4A">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p>
    <w:p w14:paraId="2D1389CE">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p>
    <w:p w14:paraId="26C5E612">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b w:val="0"/>
          <w:bCs w:val="0"/>
          <w:sz w:val="24"/>
          <w:szCs w:val="24"/>
          <w:lang w:val="en-US" w:eastAsia="zh-CN"/>
        </w:rPr>
      </w:pPr>
    </w:p>
    <w:p w14:paraId="06EF475F">
      <w:pPr>
        <w:keepNext w:val="0"/>
        <w:keepLines w:val="0"/>
        <w:pageBreakBefore w:val="0"/>
        <w:kinsoku/>
        <w:wordWrap/>
        <w:overflowPunct/>
        <w:topLinePunct w:val="0"/>
        <w:autoSpaceDE/>
        <w:autoSpaceDN/>
        <w:bidi w:val="0"/>
        <w:adjustRightInd/>
        <w:snapToGrid/>
        <w:spacing w:before="36" w:line="1703" w:lineRule="exact"/>
        <w:ind w:right="0"/>
        <w:jc w:val="center"/>
      </w:pPr>
      <w:r>
        <w:rPr>
          <w:position w:val="-34"/>
        </w:rPr>
        <w:drawing>
          <wp:anchor distT="0" distB="0" distL="0" distR="0" simplePos="0" relativeHeight="251659264" behindDoc="1" locked="0" layoutInCell="1" allowOverlap="1">
            <wp:simplePos x="0" y="0"/>
            <wp:positionH relativeFrom="column">
              <wp:posOffset>353060</wp:posOffset>
            </wp:positionH>
            <wp:positionV relativeFrom="paragraph">
              <wp:posOffset>-321945</wp:posOffset>
            </wp:positionV>
            <wp:extent cx="5020310" cy="1506220"/>
            <wp:effectExtent l="0" t="0" r="0" b="0"/>
            <wp:wrapTight wrapText="bothSides">
              <wp:wrapPolygon>
                <wp:start x="4065" y="0"/>
                <wp:lineTo x="3803" y="1530"/>
                <wp:lineTo x="3738" y="3497"/>
                <wp:lineTo x="0" y="4590"/>
                <wp:lineTo x="0" y="9179"/>
                <wp:lineTo x="3672" y="10490"/>
                <wp:lineTo x="3672" y="13769"/>
                <wp:lineTo x="4787" y="13987"/>
                <wp:lineTo x="19212" y="13987"/>
                <wp:lineTo x="0" y="15298"/>
                <wp:lineTo x="0" y="19888"/>
                <wp:lineTo x="6557" y="20981"/>
                <wp:lineTo x="19212" y="21418"/>
                <wp:lineTo x="19802" y="21418"/>
                <wp:lineTo x="21507" y="18140"/>
                <wp:lineTo x="21507" y="17047"/>
                <wp:lineTo x="19868" y="13987"/>
                <wp:lineTo x="17835" y="10490"/>
                <wp:lineTo x="21507" y="8305"/>
                <wp:lineTo x="21507" y="3715"/>
                <wp:lineTo x="17770" y="3497"/>
                <wp:lineTo x="17704" y="874"/>
                <wp:lineTo x="17507" y="0"/>
                <wp:lineTo x="4065" y="0"/>
              </wp:wrapPolygon>
            </wp:wrapTight>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
                    <a:stretch>
                      <a:fillRect/>
                    </a:stretch>
                  </pic:blipFill>
                  <pic:spPr>
                    <a:xfrm>
                      <a:off x="0" y="0"/>
                      <a:ext cx="5020310" cy="1506220"/>
                    </a:xfrm>
                    <a:prstGeom prst="rect">
                      <a:avLst/>
                    </a:prstGeom>
                  </pic:spPr>
                </pic:pic>
              </a:graphicData>
            </a:graphic>
          </wp:anchor>
        </w:drawing>
      </w:r>
      <w:r>
        <w:rPr>
          <w:rFonts w:hint="eastAsia"/>
          <w:position w:val="-34"/>
          <w:lang w:val="en-US" w:eastAsia="zh-CN"/>
        </w:rPr>
        <w:t xml:space="preserve"> </w:t>
      </w:r>
    </w:p>
    <w:p w14:paraId="709E12B2">
      <w:pPr>
        <w:keepNext w:val="0"/>
        <w:keepLines w:val="0"/>
        <w:pageBreakBefore w:val="0"/>
        <w:kinsoku/>
        <w:wordWrap/>
        <w:overflowPunct/>
        <w:topLinePunct w:val="0"/>
        <w:autoSpaceDE/>
        <w:autoSpaceDN/>
        <w:bidi w:val="0"/>
        <w:adjustRightInd/>
        <w:snapToGrid/>
        <w:spacing w:before="109" w:line="209" w:lineRule="auto"/>
        <w:ind w:right="0"/>
        <w:jc w:val="center"/>
        <w:outlineLvl w:val="0"/>
        <w:rPr>
          <w:rFonts w:hint="eastAsia" w:ascii="宋体" w:hAnsi="宋体" w:eastAsia="宋体" w:cs="宋体"/>
          <w:b w:val="0"/>
          <w:bCs w:val="0"/>
          <w:sz w:val="24"/>
          <w:szCs w:val="24"/>
          <w:lang w:val="en-US" w:eastAsia="zh-CN"/>
        </w:rPr>
      </w:pPr>
      <w:r>
        <w:rPr>
          <w:rFonts w:hint="eastAsia" w:ascii="宋体" w:hAnsi="宋体" w:eastAsia="宋体" w:cs="宋体"/>
          <w:color w:val="231F20"/>
          <w:spacing w:val="5"/>
          <w:sz w:val="21"/>
          <w:szCs w:val="21"/>
        </w:rPr>
        <w:t>图 1</w:t>
      </w:r>
      <w:r>
        <w:rPr>
          <w:rFonts w:hint="eastAsia" w:ascii="宋体" w:hAnsi="宋体" w:eastAsia="宋体" w:cs="宋体"/>
          <w:color w:val="231F20"/>
          <w:spacing w:val="16"/>
          <w:w w:val="102"/>
          <w:sz w:val="21"/>
          <w:szCs w:val="21"/>
        </w:rPr>
        <w:t xml:space="preserve">   </w:t>
      </w:r>
      <w:r>
        <w:rPr>
          <w:rFonts w:hint="eastAsia" w:ascii="宋体" w:hAnsi="宋体" w:eastAsia="宋体" w:cs="宋体"/>
          <w:color w:val="231F20"/>
          <w:spacing w:val="5"/>
          <w:sz w:val="21"/>
          <w:szCs w:val="21"/>
        </w:rPr>
        <w:t>三维目标和核心素养的联系与区别</w:t>
      </w:r>
    </w:p>
    <w:p w14:paraId="4819B9FB">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例如“</w:t>
      </w:r>
      <w:r>
        <w:rPr>
          <w:rFonts w:hint="eastAsia" w:cs="宋体"/>
          <w:b w:val="0"/>
          <w:bCs w:val="0"/>
          <w:sz w:val="24"/>
          <w:szCs w:val="24"/>
          <w:lang w:val="en-US" w:eastAsia="zh-CN"/>
        </w:rPr>
        <w:t>趣探光影，影子有戏</w:t>
      </w:r>
      <w:r>
        <w:rPr>
          <w:rFonts w:hint="eastAsia" w:ascii="宋体" w:hAnsi="宋体" w:eastAsia="宋体" w:cs="宋体"/>
          <w:b w:val="0"/>
          <w:bCs w:val="0"/>
          <w:sz w:val="24"/>
          <w:szCs w:val="24"/>
          <w:lang w:val="en-US" w:eastAsia="zh-CN"/>
        </w:rPr>
        <w:t xml:space="preserve"> ”项目</w:t>
      </w:r>
      <w:r>
        <w:rPr>
          <w:rFonts w:hint="eastAsia" w:cs="宋体"/>
          <w:b w:val="0"/>
          <w:bCs w:val="0"/>
          <w:sz w:val="24"/>
          <w:szCs w:val="24"/>
          <w:lang w:val="en-US" w:eastAsia="zh-CN"/>
        </w:rPr>
        <w:t>化</w:t>
      </w:r>
      <w:r>
        <w:rPr>
          <w:rFonts w:hint="eastAsia" w:ascii="宋体" w:hAnsi="宋体" w:eastAsia="宋体" w:cs="宋体"/>
          <w:b w:val="0"/>
          <w:bCs w:val="0"/>
          <w:sz w:val="24"/>
          <w:szCs w:val="24"/>
          <w:lang w:val="en-US" w:eastAsia="zh-CN"/>
        </w:rPr>
        <w:t>学习选自</w:t>
      </w:r>
      <w:r>
        <w:rPr>
          <w:rFonts w:hint="eastAsia" w:cs="宋体"/>
          <w:b w:val="0"/>
          <w:bCs w:val="0"/>
          <w:sz w:val="24"/>
          <w:szCs w:val="24"/>
          <w:lang w:val="en-US" w:eastAsia="zh-CN"/>
        </w:rPr>
        <w:t>科教版四</w:t>
      </w:r>
      <w:r>
        <w:rPr>
          <w:rFonts w:hint="eastAsia" w:ascii="宋体" w:hAnsi="宋体" w:eastAsia="宋体" w:cs="宋体"/>
          <w:b w:val="0"/>
          <w:bCs w:val="0"/>
          <w:sz w:val="24"/>
          <w:szCs w:val="24"/>
          <w:lang w:val="en-US" w:eastAsia="zh-CN"/>
        </w:rPr>
        <w:t>年级</w:t>
      </w:r>
      <w:r>
        <w:rPr>
          <w:rFonts w:hint="eastAsia" w:cs="宋体"/>
          <w:b w:val="0"/>
          <w:bCs w:val="0"/>
          <w:sz w:val="24"/>
          <w:szCs w:val="24"/>
          <w:lang w:val="en-US" w:eastAsia="zh-CN"/>
        </w:rPr>
        <w:t>上</w:t>
      </w:r>
      <w:r>
        <w:rPr>
          <w:rFonts w:hint="eastAsia" w:ascii="宋体" w:hAnsi="宋体" w:eastAsia="宋体" w:cs="宋体"/>
          <w:b w:val="0"/>
          <w:bCs w:val="0"/>
          <w:sz w:val="24"/>
          <w:szCs w:val="24"/>
          <w:lang w:val="en-US" w:eastAsia="zh-CN"/>
        </w:rPr>
        <w:t>册第</w:t>
      </w:r>
      <w:r>
        <w:rPr>
          <w:rFonts w:hint="eastAsia" w:cs="宋体"/>
          <w:b w:val="0"/>
          <w:bCs w:val="0"/>
          <w:sz w:val="24"/>
          <w:szCs w:val="24"/>
          <w:lang w:val="en-US" w:eastAsia="zh-CN"/>
        </w:rPr>
        <w:t>七</w:t>
      </w:r>
      <w:r>
        <w:rPr>
          <w:rFonts w:hint="eastAsia" w:ascii="宋体" w:hAnsi="宋体" w:eastAsia="宋体" w:cs="宋体"/>
          <w:b w:val="0"/>
          <w:bCs w:val="0"/>
          <w:sz w:val="24"/>
          <w:szCs w:val="24"/>
          <w:lang w:val="en-US" w:eastAsia="zh-CN"/>
        </w:rPr>
        <w:t>单元</w:t>
      </w:r>
      <w:r>
        <w:rPr>
          <w:rFonts w:hint="eastAsia" w:cs="宋体"/>
          <w:b w:val="0"/>
          <w:bCs w:val="0"/>
          <w:sz w:val="24"/>
          <w:szCs w:val="24"/>
          <w:lang w:val="en-US" w:eastAsia="zh-CN"/>
        </w:rPr>
        <w:t>《光是怎样传播的》</w:t>
      </w:r>
      <w:r>
        <w:rPr>
          <w:rFonts w:hint="eastAsia" w:ascii="宋体" w:hAnsi="宋体" w:eastAsia="宋体" w:cs="宋体"/>
          <w:b w:val="0"/>
          <w:bCs w:val="0"/>
          <w:sz w:val="24"/>
          <w:szCs w:val="24"/>
          <w:lang w:val="en-US" w:eastAsia="zh-CN"/>
        </w:rPr>
        <w:t>的学习内容。</w:t>
      </w:r>
      <w:r>
        <w:rPr>
          <w:rFonts w:hint="eastAsia" w:cs="宋体"/>
          <w:b w:val="0"/>
          <w:bCs w:val="0"/>
          <w:sz w:val="24"/>
          <w:szCs w:val="24"/>
          <w:lang w:val="en-US" w:eastAsia="zh-CN"/>
        </w:rPr>
        <w:t>最初，</w:t>
      </w:r>
      <w:r>
        <w:rPr>
          <w:rFonts w:hint="eastAsia" w:ascii="宋体" w:hAnsi="宋体" w:eastAsia="宋体" w:cs="宋体"/>
          <w:b w:val="0"/>
          <w:bCs w:val="0"/>
          <w:sz w:val="24"/>
          <w:szCs w:val="24"/>
          <w:lang w:val="en-US" w:eastAsia="zh-CN"/>
        </w:rPr>
        <w:t>教师在教学目标的制订中</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对科学知识方面有如下描述语句 ：知道光在空气中沿直线传播；知道光遇到物体会发生反射现象，光的传播方向会发生改变；能描述光被阻挡时形成阻挡物影子的现象</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为自制</w:t>
      </w:r>
      <w:r>
        <w:rPr>
          <w:rFonts w:hint="eastAsia" w:cs="宋体"/>
          <w:b w:val="0"/>
          <w:bCs w:val="0"/>
          <w:sz w:val="24"/>
          <w:szCs w:val="24"/>
          <w:lang w:val="en-US" w:eastAsia="zh-CN"/>
        </w:rPr>
        <w:t>光影作品</w:t>
      </w:r>
      <w:r>
        <w:rPr>
          <w:rFonts w:hint="eastAsia" w:ascii="宋体" w:hAnsi="宋体" w:eastAsia="宋体" w:cs="宋体"/>
          <w:b w:val="0"/>
          <w:bCs w:val="0"/>
          <w:sz w:val="24"/>
          <w:szCs w:val="24"/>
          <w:lang w:val="en-US" w:eastAsia="zh-CN"/>
        </w:rPr>
        <w:t>做好铺垫。对科学探究方面有如下描述语句 ：在教师指导</w:t>
      </w:r>
      <w:r>
        <w:rPr>
          <w:rFonts w:hint="eastAsia" w:cs="宋体"/>
          <w:b w:val="0"/>
          <w:bCs w:val="0"/>
          <w:sz w:val="24"/>
          <w:szCs w:val="24"/>
          <w:lang w:val="en-US" w:eastAsia="zh-CN"/>
        </w:rPr>
        <w:t>下，</w:t>
      </w:r>
      <w:r>
        <w:rPr>
          <w:rFonts w:hint="eastAsia" w:ascii="宋体" w:hAnsi="宋体" w:eastAsia="宋体" w:cs="宋体"/>
          <w:b w:val="0"/>
          <w:bCs w:val="0"/>
          <w:sz w:val="24"/>
          <w:szCs w:val="24"/>
          <w:lang w:val="en-US" w:eastAsia="zh-CN"/>
        </w:rPr>
        <w:t>具有对探究过程、方法和结果进行反思、评价与改进的意识</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能够选择合适的材料和工具</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设计并制</w:t>
      </w:r>
      <w:r>
        <w:rPr>
          <w:rFonts w:hint="eastAsia" w:cs="宋体"/>
          <w:b w:val="0"/>
          <w:bCs w:val="0"/>
          <w:sz w:val="24"/>
          <w:szCs w:val="24"/>
          <w:lang w:val="en-US" w:eastAsia="zh-CN"/>
        </w:rPr>
        <w:t>作光影作品</w:t>
      </w:r>
      <w:r>
        <w:rPr>
          <w:rFonts w:hint="eastAsia" w:ascii="宋体" w:hAnsi="宋体" w:eastAsia="宋体" w:cs="宋体"/>
          <w:b w:val="0"/>
          <w:bCs w:val="0"/>
          <w:sz w:val="24"/>
          <w:szCs w:val="24"/>
          <w:lang w:val="en-US" w:eastAsia="zh-CN"/>
        </w:rPr>
        <w:t xml:space="preserve"> ；经历工程设计与模型制作的过程</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并在其中学习综合运用一些工具对材料进行简单加工的方法。上述教学目标的侧重点仍是知识和技能的掌握</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对核心概念的形成没有体现出来。从学科本位走向学生本位</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并不是不关注学科知识</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而是不要单纯地关注学科知识</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忽视学生情感的发展、个性的培养。</w:t>
      </w:r>
    </w:p>
    <w:p w14:paraId="06008571">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 ）教学方式缺乏多样性</w:t>
      </w:r>
    </w:p>
    <w:p w14:paraId="39DF24AE">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部分小学科学教师对核心素养的认识不够深刻</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导致教学思想落后</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教学方式呈现单一。有些教师过分关注学生获取科学知识量的多少</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在日常教学中一味采取讲授的教学方式</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只是简单地为学生介绍科学知识</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并没有带领学生进行深入的思考和分析</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无法帮助学生构建完整的科学概念。例如</w:t>
      </w:r>
      <w:r>
        <w:rPr>
          <w:rFonts w:hint="eastAsia" w:cs="宋体"/>
          <w:b w:val="0"/>
          <w:bCs w:val="0"/>
          <w:sz w:val="24"/>
          <w:szCs w:val="24"/>
          <w:lang w:val="en-US" w:eastAsia="zh-CN"/>
        </w:rPr>
        <w:t>科教版四年级上</w:t>
      </w:r>
      <w:r>
        <w:rPr>
          <w:rFonts w:hint="eastAsia" w:ascii="宋体" w:hAnsi="宋体" w:eastAsia="宋体" w:cs="宋体"/>
          <w:b w:val="0"/>
          <w:bCs w:val="0"/>
          <w:sz w:val="24"/>
          <w:szCs w:val="24"/>
          <w:lang w:val="en-US" w:eastAsia="zh-CN"/>
        </w:rPr>
        <w:t>册的“</w:t>
      </w:r>
      <w:r>
        <w:rPr>
          <w:rFonts w:hint="eastAsia" w:cs="宋体"/>
          <w:b w:val="0"/>
          <w:bCs w:val="0"/>
          <w:sz w:val="24"/>
          <w:szCs w:val="24"/>
          <w:lang w:val="en-US" w:eastAsia="zh-CN"/>
        </w:rPr>
        <w:t>光是怎样传播的</w:t>
      </w:r>
      <w:r>
        <w:rPr>
          <w:rFonts w:hint="eastAsia" w:ascii="宋体" w:hAnsi="宋体" w:eastAsia="宋体" w:cs="宋体"/>
          <w:b w:val="0"/>
          <w:bCs w:val="0"/>
          <w:sz w:val="24"/>
          <w:szCs w:val="24"/>
          <w:lang w:val="en-US" w:eastAsia="zh-CN"/>
        </w:rPr>
        <w:t>”这类课型</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在进行实验教学时</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有的教师没有按照要求开展相关环节</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而是简化教学流程</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甚至省略学生动手操作的环节</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需要学生分组进行实验操作的部分变为由教师单独演示实验</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需要学生通过合作交流来设计实验和实践操作的环节变为教师播放实验操作视频给学生观看、学习</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等等。</w:t>
      </w:r>
    </w:p>
    <w:p w14:paraId="6FC8FEC4">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根据年龄、心理特征</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小学生的学习动机与学习兴趣呈正相关。如果部分教师不改变单一的教学方式和创新教学方式 ，那么学生在科学学习中就难以获得认同感和成就感</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进而失去对科学的学习兴趣和动机</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最终阻碍学生核心素养的培养。</w:t>
      </w:r>
    </w:p>
    <w:p w14:paraId="29A0D796">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（三）教学评价单一</w:t>
      </w:r>
    </w:p>
    <w:p w14:paraId="54BD9E18">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纸笔测试为主的终结性评价仍是小学科学课程的主要评价方式。该方式在内容和表现上过于单一 ，测评内容过于关注学生科学知识的掌握程度 ，忽略了科学概念的生成和科学知识的应用 ，也忽略了科学学科重要的特征——实验操作。并且纸笔测试本身存在诸多限制因素 ，难以对学生的科学方法、科学能力、科学态度、科学精神等素养和能力进行精准评价 ，无法充分了解学生科学核心素养的发展情况。</w:t>
      </w:r>
    </w:p>
    <w:p w14:paraId="3D5A6426">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 、素养导向的小学科学项目</w:t>
      </w:r>
      <w:r>
        <w:rPr>
          <w:rFonts w:hint="eastAsia" w:cs="宋体"/>
          <w:b w:val="0"/>
          <w:bCs w:val="0"/>
          <w:sz w:val="24"/>
          <w:szCs w:val="24"/>
          <w:lang w:val="en-US" w:eastAsia="zh-CN"/>
        </w:rPr>
        <w:t>化</w:t>
      </w:r>
      <w:r>
        <w:rPr>
          <w:rFonts w:hint="eastAsia" w:ascii="宋体" w:hAnsi="宋体" w:eastAsia="宋体" w:cs="宋体"/>
          <w:b w:val="0"/>
          <w:bCs w:val="0"/>
          <w:sz w:val="24"/>
          <w:szCs w:val="24"/>
          <w:lang w:val="en-US" w:eastAsia="zh-CN"/>
        </w:rPr>
        <w:t>学习实践路径</w:t>
      </w:r>
    </w:p>
    <w:p w14:paraId="4D620790">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（一）正确把握教学目标</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实现核心素养转变</w:t>
      </w:r>
    </w:p>
    <w:p w14:paraId="04FF9C53">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cs="宋体"/>
          <w:b w:val="0"/>
          <w:bCs w:val="0"/>
          <w:sz w:val="24"/>
          <w:szCs w:val="24"/>
          <w:lang w:val="en-US" w:eastAsia="zh-CN"/>
        </w:rPr>
      </w:pPr>
      <w:r>
        <w:rPr>
          <w:rFonts w:hint="eastAsia" w:ascii="宋体" w:hAnsi="宋体" w:eastAsia="宋体" w:cs="宋体"/>
          <w:b w:val="0"/>
          <w:bCs w:val="0"/>
          <w:sz w:val="24"/>
          <w:szCs w:val="24"/>
          <w:lang w:val="en-US" w:eastAsia="zh-CN"/>
        </w:rPr>
        <w:t>教学目标是评价一节课教学质量的直接依据。对比义务教育的新旧科学课程标准</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可以发现新课程标准更加注重培养学生核心素养这一目标</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重视终身学习能力和高阶思维的培养。</w:t>
      </w:r>
      <w:r>
        <w:rPr>
          <w:rFonts w:hint="eastAsia" w:cs="宋体"/>
          <w:b w:val="0"/>
          <w:bCs w:val="0"/>
          <w:sz w:val="24"/>
          <w:szCs w:val="24"/>
          <w:lang w:val="en-US" w:eastAsia="zh-CN"/>
        </w:rPr>
        <w:t>例如，在“趣探光影，影子有戏”这一项目中，</w:t>
      </w:r>
      <w:r>
        <w:rPr>
          <w:rFonts w:hint="eastAsia" w:cs="宋体"/>
          <w:sz w:val="24"/>
          <w:szCs w:val="24"/>
          <w:lang w:val="en-US" w:eastAsia="zh-CN"/>
        </w:rPr>
        <w:t>在项目目标中，一、要求学生</w:t>
      </w:r>
      <w:r>
        <w:rPr>
          <w:rFonts w:hint="eastAsia" w:cs="宋体"/>
          <w:b w:val="0"/>
          <w:bCs w:val="0"/>
          <w:sz w:val="24"/>
          <w:szCs w:val="24"/>
          <w:lang w:val="en-US" w:eastAsia="zh-CN"/>
        </w:rPr>
        <w:t>通过小组合作完成“能讲述故事的光影作品设计方案”活动，能进行初步的设计规划，并运用草图、文字等方式表达自己的创意，学会基于所学知识，制定比较完整的设计方案，乐于与同伴分享和交流，培养团队合作精神和创新能力，注重</w:t>
      </w:r>
      <w:r>
        <w:rPr>
          <w:rFonts w:hint="eastAsia" w:cs="宋体"/>
          <w:b w:val="0"/>
          <w:bCs w:val="0"/>
          <w:sz w:val="24"/>
          <w:szCs w:val="24"/>
          <w:u w:val="single"/>
          <w:lang w:val="en-US" w:eastAsia="zh-CN"/>
        </w:rPr>
        <w:t>科学思维</w:t>
      </w:r>
      <w:r>
        <w:rPr>
          <w:rFonts w:hint="eastAsia" w:cs="宋体"/>
          <w:b w:val="0"/>
          <w:bCs w:val="0"/>
          <w:sz w:val="24"/>
          <w:szCs w:val="24"/>
          <w:lang w:val="en-US" w:eastAsia="zh-CN"/>
        </w:rPr>
        <w:t>的核心素养培育；二、要求学生通过“制作能讲述故事的光影作品”活动，能根据小组设计的方案进行深入探究，能采用观察、比较、实验、测量等不同的探究方法呈现探究的过程和结果；三、要求学生通过参与“能讲述故事的光影作品评测会”活动，能初步具有交流探究过程和结果，并进行评价、反思和改进的能力。乐于与他人沟通、交流与辩论，基于证据反思和调整方案。能根据评价标准、发现光影作品的问题，提出改进方向。提高介绍、交流、表达的能力，强调</w:t>
      </w:r>
      <w:r>
        <w:rPr>
          <w:rFonts w:hint="eastAsia" w:cs="宋体"/>
          <w:b w:val="0"/>
          <w:bCs w:val="0"/>
          <w:sz w:val="24"/>
          <w:szCs w:val="24"/>
          <w:u w:val="single"/>
          <w:lang w:val="en-US" w:eastAsia="zh-CN"/>
        </w:rPr>
        <w:t>探究实践</w:t>
      </w:r>
      <w:r>
        <w:rPr>
          <w:rFonts w:hint="eastAsia" w:cs="宋体"/>
          <w:b w:val="0"/>
          <w:bCs w:val="0"/>
          <w:sz w:val="24"/>
          <w:szCs w:val="24"/>
          <w:lang w:val="en-US" w:eastAsia="zh-CN"/>
        </w:rPr>
        <w:t>的核心素养培育；四、要求学生在学习过程中，保持好奇心和探究热情；会交流和沟通，倾听他人不同的观点，表达自己的观点；面对事实问题，不急于下结论，而是深入观察、实践；面对挫折不气馁，积极乐观，注重培育</w:t>
      </w:r>
      <w:r>
        <w:rPr>
          <w:rFonts w:hint="eastAsia" w:cs="宋体"/>
          <w:b w:val="0"/>
          <w:bCs w:val="0"/>
          <w:sz w:val="24"/>
          <w:szCs w:val="24"/>
          <w:u w:val="single"/>
          <w:lang w:val="en-US" w:eastAsia="zh-CN"/>
        </w:rPr>
        <w:t>责任态度</w:t>
      </w:r>
      <w:r>
        <w:rPr>
          <w:rFonts w:hint="eastAsia" w:cs="宋体"/>
          <w:b w:val="0"/>
          <w:bCs w:val="0"/>
          <w:sz w:val="24"/>
          <w:szCs w:val="24"/>
          <w:lang w:val="en-US" w:eastAsia="zh-CN"/>
        </w:rPr>
        <w:t>的核心素养。</w:t>
      </w:r>
    </w:p>
    <w:p w14:paraId="477B053B">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eastAsia="宋体" w:cs="宋体"/>
          <w:b w:val="0"/>
          <w:bCs w:val="0"/>
          <w:sz w:val="24"/>
          <w:szCs w:val="24"/>
          <w:lang w:val="en-US" w:eastAsia="zh-CN"/>
        </w:rPr>
      </w:pPr>
      <w:r>
        <w:rPr>
          <w:rFonts w:hint="default" w:cs="宋体"/>
          <w:b w:val="0"/>
          <w:bCs w:val="0"/>
          <w:sz w:val="24"/>
          <w:szCs w:val="24"/>
          <w:lang w:val="en-US" w:eastAsia="zh-CN"/>
        </w:rPr>
        <w:t>基于科学核心素养与项目</w:t>
      </w:r>
      <w:r>
        <w:rPr>
          <w:rFonts w:hint="eastAsia" w:cs="宋体"/>
          <w:b w:val="0"/>
          <w:bCs w:val="0"/>
          <w:sz w:val="24"/>
          <w:szCs w:val="24"/>
          <w:lang w:val="en-US" w:eastAsia="zh-CN"/>
        </w:rPr>
        <w:t>化</w:t>
      </w:r>
      <w:bookmarkStart w:id="0" w:name="_GoBack"/>
      <w:bookmarkEnd w:id="0"/>
      <w:r>
        <w:rPr>
          <w:rFonts w:hint="default" w:cs="宋体"/>
          <w:b w:val="0"/>
          <w:bCs w:val="0"/>
          <w:sz w:val="24"/>
          <w:szCs w:val="24"/>
          <w:lang w:val="en-US" w:eastAsia="zh-CN"/>
        </w:rPr>
        <w:t>学习理念 ，</w:t>
      </w:r>
      <w:r>
        <w:rPr>
          <w:rFonts w:hint="eastAsia" w:cs="宋体"/>
          <w:b w:val="0"/>
          <w:bCs w:val="0"/>
          <w:sz w:val="24"/>
          <w:szCs w:val="24"/>
          <w:lang w:val="en-US" w:eastAsia="zh-CN"/>
        </w:rPr>
        <w:t>以</w:t>
      </w:r>
      <w:r>
        <w:rPr>
          <w:rFonts w:hint="default" w:cs="宋体"/>
          <w:b w:val="0"/>
          <w:bCs w:val="0"/>
          <w:sz w:val="24"/>
          <w:szCs w:val="24"/>
          <w:lang w:val="en-US" w:eastAsia="zh-CN"/>
        </w:rPr>
        <w:t>学校科技月活动需求</w:t>
      </w:r>
      <w:r>
        <w:rPr>
          <w:rFonts w:hint="eastAsia" w:cs="宋体"/>
          <w:b w:val="0"/>
          <w:bCs w:val="0"/>
          <w:sz w:val="24"/>
          <w:szCs w:val="24"/>
          <w:lang w:val="en-US" w:eastAsia="zh-CN"/>
        </w:rPr>
        <w:t>为项目背景，</w:t>
      </w:r>
      <w:r>
        <w:rPr>
          <w:rFonts w:hint="eastAsia" w:ascii="宋体" w:hAnsi="宋体" w:eastAsia="宋体" w:cs="宋体"/>
          <w:sz w:val="24"/>
          <w:szCs w:val="24"/>
        </w:rPr>
        <w:t>提出驱动性问题：“能否利用光传播原理设计一个能讲述故事的光影作品？”将选择材料</w:t>
      </w:r>
      <w:r>
        <w:rPr>
          <w:rFonts w:hint="eastAsia" w:cs="宋体"/>
          <w:sz w:val="24"/>
          <w:szCs w:val="24"/>
          <w:lang w:eastAsia="zh-CN"/>
        </w:rPr>
        <w:t>、</w:t>
      </w:r>
      <w:r>
        <w:rPr>
          <w:rFonts w:hint="eastAsia" w:ascii="宋体" w:hAnsi="宋体" w:eastAsia="宋体" w:cs="宋体"/>
          <w:sz w:val="24"/>
          <w:szCs w:val="24"/>
        </w:rPr>
        <w:t>设计</w:t>
      </w:r>
      <w:r>
        <w:rPr>
          <w:rFonts w:hint="eastAsia" w:cs="宋体"/>
          <w:sz w:val="24"/>
          <w:szCs w:val="24"/>
          <w:lang w:val="en-US" w:eastAsia="zh-CN"/>
        </w:rPr>
        <w:t>图纸</w:t>
      </w:r>
      <w:r>
        <w:rPr>
          <w:rFonts w:hint="eastAsia" w:cs="宋体"/>
          <w:sz w:val="24"/>
          <w:szCs w:val="24"/>
          <w:lang w:eastAsia="zh-CN"/>
        </w:rPr>
        <w:t>、</w:t>
      </w:r>
      <w:r>
        <w:rPr>
          <w:rFonts w:hint="eastAsia" w:ascii="宋体" w:hAnsi="宋体" w:eastAsia="宋体" w:cs="宋体"/>
          <w:sz w:val="24"/>
          <w:szCs w:val="24"/>
        </w:rPr>
        <w:t>学习资料</w:t>
      </w:r>
      <w:r>
        <w:rPr>
          <w:rFonts w:hint="eastAsia" w:cs="宋体"/>
          <w:sz w:val="24"/>
          <w:szCs w:val="24"/>
          <w:lang w:eastAsia="zh-CN"/>
        </w:rPr>
        <w:t>、</w:t>
      </w:r>
      <w:r>
        <w:rPr>
          <w:rFonts w:hint="eastAsia" w:ascii="宋体" w:hAnsi="宋体" w:eastAsia="宋体" w:cs="宋体"/>
          <w:sz w:val="24"/>
          <w:szCs w:val="24"/>
        </w:rPr>
        <w:t>动手制作</w:t>
      </w:r>
      <w:r>
        <w:rPr>
          <w:rFonts w:hint="eastAsia" w:cs="宋体"/>
          <w:sz w:val="24"/>
          <w:szCs w:val="24"/>
          <w:lang w:eastAsia="zh-CN"/>
        </w:rPr>
        <w:t>、</w:t>
      </w:r>
      <w:r>
        <w:rPr>
          <w:rFonts w:hint="eastAsia" w:ascii="宋体" w:hAnsi="宋体" w:eastAsia="宋体" w:cs="宋体"/>
          <w:sz w:val="24"/>
          <w:szCs w:val="24"/>
        </w:rPr>
        <w:t>测试改进</w:t>
      </w:r>
      <w:r>
        <w:rPr>
          <w:rFonts w:hint="eastAsia" w:cs="宋体"/>
          <w:sz w:val="24"/>
          <w:szCs w:val="24"/>
          <w:lang w:eastAsia="zh-CN"/>
        </w:rPr>
        <w:t>、</w:t>
      </w:r>
      <w:r>
        <w:rPr>
          <w:rFonts w:hint="eastAsia" w:ascii="宋体" w:hAnsi="宋体" w:eastAsia="宋体" w:cs="宋体"/>
          <w:sz w:val="24"/>
          <w:szCs w:val="24"/>
        </w:rPr>
        <w:t xml:space="preserve">展示评价作为六个子任务，引导学生亲历设计与制作全过程 </w:t>
      </w:r>
      <w:r>
        <w:rPr>
          <w:rFonts w:hint="eastAsia" w:cs="宋体"/>
          <w:sz w:val="24"/>
          <w:szCs w:val="24"/>
          <w:lang w:eastAsia="zh-CN"/>
        </w:rPr>
        <w:t>，促进教学目标从三维目标到培养全面发展的人的转变。</w:t>
      </w:r>
    </w:p>
    <w:p w14:paraId="29DFE613">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（二）转变单一教学方式 ，助力核心素养聚焦</w:t>
      </w:r>
    </w:p>
    <w:p w14:paraId="4300FE8A">
      <w:pPr>
        <w:pStyle w:val="3"/>
        <w:keepNext w:val="0"/>
        <w:keepLines w:val="0"/>
        <w:pageBreakBefore w:val="0"/>
        <w:widowControl w:val="0"/>
        <w:tabs>
          <w:tab w:val="left" w:pos="4810"/>
        </w:tabs>
        <w:kinsoku/>
        <w:wordWrap/>
        <w:overflowPunct/>
        <w:topLinePunct w:val="0"/>
        <w:autoSpaceDE/>
        <w:autoSpaceDN/>
        <w:bidi w:val="0"/>
        <w:adjustRightInd/>
        <w:snapToGrid/>
        <w:spacing w:line="360" w:lineRule="auto"/>
        <w:ind w:left="420" w:leftChars="200" w:right="420" w:rightChars="200" w:firstLine="480" w:firstLineChars="200"/>
        <w:jc w:val="both"/>
        <w:textAlignment w:val="auto"/>
        <w:rPr>
          <w:rFonts w:hint="eastAsia" w:cs="宋体"/>
          <w:b/>
          <w:bCs/>
          <w:sz w:val="28"/>
          <w:szCs w:val="28"/>
          <w:lang w:val="en-US" w:eastAsia="zh-CN"/>
        </w:rPr>
      </w:pPr>
      <w:r>
        <w:rPr>
          <w:rFonts w:hint="eastAsia" w:ascii="宋体" w:hAnsi="宋体" w:eastAsia="宋体" w:cs="宋体"/>
          <w:b w:val="0"/>
          <w:bCs w:val="0"/>
          <w:sz w:val="24"/>
          <w:szCs w:val="24"/>
          <w:lang w:val="en-US" w:eastAsia="zh-CN"/>
        </w:rPr>
        <w:t>单纯地用讲授法填满整个课堂</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这种单一、枯燥的教学方式显然无法达到预期的教学效果。对此</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教师要把握课程标准、灵活制订教学设计</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以发展学生的核心素养为导向</w:t>
      </w:r>
      <w:r>
        <w:rPr>
          <w:rFonts w:hint="eastAsia" w:cs="宋体"/>
          <w:b w:val="0"/>
          <w:bCs w:val="0"/>
          <w:sz w:val="24"/>
          <w:szCs w:val="24"/>
          <w:lang w:val="en-US" w:eastAsia="zh-CN"/>
        </w:rPr>
        <w:t>，</w:t>
      </w:r>
      <w:r>
        <w:rPr>
          <w:rFonts w:hint="eastAsia" w:ascii="宋体" w:hAnsi="宋体" w:eastAsia="宋体" w:cs="宋体"/>
          <w:b w:val="0"/>
          <w:bCs w:val="0"/>
          <w:sz w:val="24"/>
          <w:szCs w:val="24"/>
          <w:lang w:val="en-US" w:eastAsia="zh-CN"/>
        </w:rPr>
        <w:t xml:space="preserve">在教学过程中能根据实际学情灵活地转变教学方式。例如在“ </w:t>
      </w:r>
      <w:r>
        <w:rPr>
          <w:rFonts w:hint="eastAsia" w:cs="宋体"/>
          <w:b w:val="0"/>
          <w:bCs w:val="0"/>
          <w:sz w:val="24"/>
          <w:szCs w:val="24"/>
          <w:lang w:val="en-US" w:eastAsia="zh-CN"/>
        </w:rPr>
        <w:t>趣探光影，影子有戏</w:t>
      </w:r>
      <w:r>
        <w:rPr>
          <w:rFonts w:hint="eastAsia" w:ascii="宋体" w:hAnsi="宋体" w:eastAsia="宋体" w:cs="宋体"/>
          <w:b w:val="0"/>
          <w:bCs w:val="0"/>
          <w:sz w:val="24"/>
          <w:szCs w:val="24"/>
          <w:lang w:val="en-US" w:eastAsia="zh-CN"/>
        </w:rPr>
        <w:t>”项目</w:t>
      </w:r>
      <w:r>
        <w:rPr>
          <w:rFonts w:hint="eastAsia" w:cs="宋体"/>
          <w:b w:val="0"/>
          <w:bCs w:val="0"/>
          <w:sz w:val="24"/>
          <w:szCs w:val="24"/>
          <w:lang w:val="en-US" w:eastAsia="zh-CN"/>
        </w:rPr>
        <w:t>化</w:t>
      </w:r>
      <w:r>
        <w:rPr>
          <w:rFonts w:hint="eastAsia" w:ascii="宋体" w:hAnsi="宋体" w:eastAsia="宋体" w:cs="宋体"/>
          <w:b w:val="0"/>
          <w:bCs w:val="0"/>
          <w:sz w:val="24"/>
          <w:szCs w:val="24"/>
          <w:lang w:val="en-US" w:eastAsia="zh-CN"/>
        </w:rPr>
        <w:t>学习启动课中</w:t>
      </w:r>
      <w:r>
        <w:rPr>
          <w:rFonts w:hint="eastAsia" w:cs="宋体"/>
          <w:b w:val="0"/>
          <w:bCs w:val="0"/>
          <w:sz w:val="24"/>
          <w:szCs w:val="24"/>
          <w:lang w:val="en-US" w:eastAsia="zh-CN"/>
        </w:rPr>
        <w:t>，</w:t>
      </w:r>
      <w:r>
        <w:rPr>
          <w:rFonts w:hint="eastAsia" w:ascii="宋体" w:hAnsi="宋体" w:eastAsia="宋体" w:cs="宋体"/>
          <w:b w:val="0"/>
          <w:bCs w:val="0"/>
          <w:sz w:val="24"/>
          <w:szCs w:val="24"/>
          <w:highlight w:val="none"/>
          <w:lang w:val="en-US" w:eastAsia="zh-CN"/>
        </w:rPr>
        <w:t>教师通过学生填写的 KWH 表（见表 1）</w:t>
      </w:r>
      <w:r>
        <w:rPr>
          <w:rFonts w:hint="eastAsia" w:cs="宋体"/>
          <w:b w:val="0"/>
          <w:bCs w:val="0"/>
          <w:sz w:val="24"/>
          <w:szCs w:val="24"/>
          <w:highlight w:val="none"/>
          <w:lang w:val="en-US" w:eastAsia="zh-CN"/>
        </w:rPr>
        <w:t>，收集学生的问题，经过筛选和优化，进而形成驱动性问题的雏形，再赋予真实的情境形成最终的驱动性问题</w:t>
      </w:r>
      <w:r>
        <w:rPr>
          <w:rFonts w:hint="eastAsia" w:ascii="宋体" w:hAnsi="宋体" w:eastAsia="宋体" w:cs="宋体"/>
          <w:sz w:val="24"/>
          <w:szCs w:val="24"/>
          <w:highlight w:val="none"/>
        </w:rPr>
        <w:t>，学生围绕</w:t>
      </w:r>
      <w:r>
        <w:rPr>
          <w:rFonts w:hint="eastAsia" w:cs="宋体"/>
          <w:sz w:val="24"/>
          <w:szCs w:val="24"/>
          <w:highlight w:val="none"/>
          <w:lang w:val="en-US" w:eastAsia="zh-CN"/>
        </w:rPr>
        <w:t>驱动性</w:t>
      </w:r>
      <w:r>
        <w:rPr>
          <w:rFonts w:hint="eastAsia" w:ascii="宋体" w:hAnsi="宋体" w:eastAsia="宋体" w:cs="宋体"/>
          <w:sz w:val="24"/>
          <w:szCs w:val="24"/>
          <w:highlight w:val="none"/>
        </w:rPr>
        <w:t>问题展开讨论，表达对制作光影作品的期待</w:t>
      </w:r>
      <w:r>
        <w:rPr>
          <w:rFonts w:hint="eastAsia" w:cs="宋体"/>
          <w:sz w:val="24"/>
          <w:szCs w:val="24"/>
          <w:highlight w:val="none"/>
          <w:lang w:eastAsia="zh-CN"/>
        </w:rPr>
        <w:t>。</w:t>
      </w:r>
    </w:p>
    <w:p w14:paraId="097EEB41">
      <w:pPr>
        <w:pStyle w:val="3"/>
        <w:keepNext w:val="0"/>
        <w:keepLines w:val="0"/>
        <w:pageBreakBefore w:val="0"/>
        <w:tabs>
          <w:tab w:val="left" w:pos="4810"/>
        </w:tabs>
        <w:kinsoku/>
        <w:wordWrap/>
        <w:overflowPunct/>
        <w:topLinePunct w:val="0"/>
        <w:autoSpaceDE/>
        <w:autoSpaceDN/>
        <w:bidi w:val="0"/>
        <w:adjustRightInd/>
        <w:snapToGrid/>
        <w:spacing w:before="48" w:line="301" w:lineRule="auto"/>
        <w:ind w:right="0" w:firstLine="2530" w:firstLineChars="900"/>
        <w:jc w:val="both"/>
        <w:rPr>
          <w:rFonts w:hint="eastAsia" w:cs="宋体"/>
          <w:sz w:val="28"/>
          <w:szCs w:val="28"/>
          <w:highlight w:val="yellow"/>
          <w:lang w:eastAsia="zh-CN"/>
        </w:rPr>
      </w:pPr>
      <w:r>
        <w:rPr>
          <w:rFonts w:hint="eastAsia" w:cs="宋体"/>
          <w:b/>
          <w:bCs/>
          <w:sz w:val="28"/>
          <w:szCs w:val="28"/>
          <w:lang w:val="en-US" w:eastAsia="zh-CN"/>
        </w:rPr>
        <w:t>表1   光传播的KWH表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9"/>
        <w:gridCol w:w="2676"/>
        <w:gridCol w:w="3077"/>
      </w:tblGrid>
      <w:tr w14:paraId="6AD6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4300" w:type="dxa"/>
            <w:vAlign w:val="top"/>
          </w:tcPr>
          <w:p w14:paraId="5EE4924A">
            <w:pPr>
              <w:keepNext w:val="0"/>
              <w:keepLines w:val="0"/>
              <w:pageBreakBefore w:val="0"/>
              <w:widowControl/>
              <w:suppressLineNumbers w:val="0"/>
              <w:kinsoku/>
              <w:wordWrap/>
              <w:overflowPunct/>
              <w:topLinePunct w:val="0"/>
              <w:autoSpaceDE/>
              <w:autoSpaceDN/>
              <w:bidi w:val="0"/>
              <w:adjustRightInd/>
              <w:snapToGrid/>
              <w:ind w:right="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已经知道的知识</w:t>
            </w:r>
          </w:p>
          <w:p w14:paraId="683E0C35">
            <w:pPr>
              <w:keepNext w:val="0"/>
              <w:keepLines w:val="0"/>
              <w:pageBreakBefore w:val="0"/>
              <w:widowControl/>
              <w:suppressLineNumbers w:val="0"/>
              <w:kinsoku/>
              <w:wordWrap/>
              <w:overflowPunct/>
              <w:topLinePunct w:val="0"/>
              <w:autoSpaceDE/>
              <w:autoSpaceDN/>
              <w:bidi w:val="0"/>
              <w:adjustRightInd/>
              <w:snapToGrid/>
              <w:ind w:right="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（Know）</w:t>
            </w:r>
          </w:p>
        </w:tc>
        <w:tc>
          <w:tcPr>
            <w:tcW w:w="4300" w:type="dxa"/>
            <w:vAlign w:val="top"/>
          </w:tcPr>
          <w:p w14:paraId="4799C2E6">
            <w:pPr>
              <w:keepNext w:val="0"/>
              <w:keepLines w:val="0"/>
              <w:pageBreakBefore w:val="0"/>
              <w:widowControl/>
              <w:suppressLineNumbers w:val="0"/>
              <w:kinsoku/>
              <w:wordWrap/>
              <w:overflowPunct/>
              <w:topLinePunct w:val="0"/>
              <w:autoSpaceDE/>
              <w:autoSpaceDN/>
              <w:bidi w:val="0"/>
              <w:adjustRightInd/>
              <w:snapToGrid/>
              <w:ind w:right="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还想知道的知识</w:t>
            </w:r>
          </w:p>
          <w:p w14:paraId="2C45CD2A">
            <w:pPr>
              <w:keepNext w:val="0"/>
              <w:keepLines w:val="0"/>
              <w:pageBreakBefore w:val="0"/>
              <w:widowControl/>
              <w:suppressLineNumbers w:val="0"/>
              <w:kinsoku/>
              <w:wordWrap/>
              <w:overflowPunct/>
              <w:topLinePunct w:val="0"/>
              <w:autoSpaceDE/>
              <w:autoSpaceDN/>
              <w:bidi w:val="0"/>
              <w:adjustRightInd/>
              <w:snapToGrid/>
              <w:ind w:right="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(What)</w:t>
            </w:r>
          </w:p>
        </w:tc>
        <w:tc>
          <w:tcPr>
            <w:tcW w:w="4300" w:type="dxa"/>
            <w:vAlign w:val="top"/>
          </w:tcPr>
          <w:p w14:paraId="6BE372AC">
            <w:pPr>
              <w:keepNext w:val="0"/>
              <w:keepLines w:val="0"/>
              <w:pageBreakBefore w:val="0"/>
              <w:widowControl/>
              <w:suppressLineNumbers w:val="0"/>
              <w:kinsoku/>
              <w:wordWrap/>
              <w:overflowPunct/>
              <w:topLinePunct w:val="0"/>
              <w:autoSpaceDE/>
              <w:autoSpaceDN/>
              <w:bidi w:val="0"/>
              <w:adjustRightInd/>
              <w:snapToGrid/>
              <w:ind w:right="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想用这些知识来做什么</w:t>
            </w:r>
          </w:p>
          <w:p w14:paraId="4A8CFE65">
            <w:pPr>
              <w:keepNext w:val="0"/>
              <w:keepLines w:val="0"/>
              <w:pageBreakBefore w:val="0"/>
              <w:widowControl/>
              <w:suppressLineNumbers w:val="0"/>
              <w:kinsoku/>
              <w:wordWrap/>
              <w:overflowPunct/>
              <w:topLinePunct w:val="0"/>
              <w:autoSpaceDE/>
              <w:autoSpaceDN/>
              <w:bidi w:val="0"/>
              <w:adjustRightInd/>
              <w:snapToGrid/>
              <w:ind w:right="0"/>
              <w:jc w:val="center"/>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(How)</w:t>
            </w:r>
          </w:p>
        </w:tc>
      </w:tr>
      <w:tr w14:paraId="0675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300" w:type="dxa"/>
            <w:vAlign w:val="top"/>
          </w:tcPr>
          <w:p w14:paraId="21DC8614">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影子是由物体挡住光后产生的。</w:t>
            </w:r>
          </w:p>
        </w:tc>
        <w:tc>
          <w:tcPr>
            <w:tcW w:w="4300" w:type="dxa"/>
            <w:vAlign w:val="top"/>
          </w:tcPr>
          <w:p w14:paraId="50B45A9C">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光是怎么透过水中的？</w:t>
            </w:r>
          </w:p>
        </w:tc>
        <w:tc>
          <w:tcPr>
            <w:tcW w:w="4300" w:type="dxa"/>
            <w:vAlign w:val="top"/>
          </w:tcPr>
          <w:p w14:paraId="4761C623">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我想设计制作一个能讲述故事的光影作品。</w:t>
            </w:r>
          </w:p>
        </w:tc>
      </w:tr>
      <w:tr w14:paraId="2707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300" w:type="dxa"/>
            <w:vAlign w:val="top"/>
          </w:tcPr>
          <w:p w14:paraId="3F2F3D6D">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颜色的变化是离不开光的。</w:t>
            </w:r>
          </w:p>
        </w:tc>
        <w:tc>
          <w:tcPr>
            <w:tcW w:w="4300" w:type="dxa"/>
            <w:vAlign w:val="top"/>
          </w:tcPr>
          <w:p w14:paraId="7B0C361C">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光是冷的还是热的？</w:t>
            </w:r>
          </w:p>
        </w:tc>
        <w:tc>
          <w:tcPr>
            <w:tcW w:w="4300" w:type="dxa"/>
            <w:vAlign w:val="top"/>
          </w:tcPr>
          <w:p w14:paraId="7E2DF29C">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我想运用学到的光学原理玩一玩皮影戏。</w:t>
            </w:r>
          </w:p>
        </w:tc>
      </w:tr>
      <w:tr w14:paraId="5F05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300" w:type="dxa"/>
            <w:vAlign w:val="top"/>
          </w:tcPr>
          <w:p w14:paraId="13AE1EA4">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光在空气中是沿直线传播的。</w:t>
            </w:r>
          </w:p>
        </w:tc>
        <w:tc>
          <w:tcPr>
            <w:tcW w:w="4300" w:type="dxa"/>
            <w:vAlign w:val="top"/>
          </w:tcPr>
          <w:p w14:paraId="2A7AA217">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为什么朝着阳光看，会伤害眼睛？</w:t>
            </w:r>
          </w:p>
        </w:tc>
        <w:tc>
          <w:tcPr>
            <w:tcW w:w="4300" w:type="dxa"/>
            <w:vAlign w:val="top"/>
          </w:tcPr>
          <w:p w14:paraId="20782B9D">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我想甩掉影子。</w:t>
            </w:r>
          </w:p>
        </w:tc>
      </w:tr>
      <w:tr w14:paraId="56A4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4300" w:type="dxa"/>
            <w:vAlign w:val="top"/>
          </w:tcPr>
          <w:p w14:paraId="69A5B336">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我们能看到物体，是由物体反射的光进入眼睛留下的影像。</w:t>
            </w:r>
          </w:p>
        </w:tc>
        <w:tc>
          <w:tcPr>
            <w:tcW w:w="4300" w:type="dxa"/>
            <w:vAlign w:val="top"/>
          </w:tcPr>
          <w:p w14:paraId="0737C049">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影子一定是黑色的吗？</w:t>
            </w:r>
          </w:p>
        </w:tc>
        <w:tc>
          <w:tcPr>
            <w:tcW w:w="4300" w:type="dxa"/>
            <w:vAlign w:val="top"/>
          </w:tcPr>
          <w:p w14:paraId="103EB504">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用紫外线光，进行杀菌消毒等等。</w:t>
            </w:r>
          </w:p>
        </w:tc>
      </w:tr>
      <w:tr w14:paraId="70DF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4300" w:type="dxa"/>
            <w:vAlign w:val="top"/>
          </w:tcPr>
          <w:p w14:paraId="7CE516E5">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光从空气中斜射入水中时，光的传播路线发生了偏折。</w:t>
            </w:r>
          </w:p>
        </w:tc>
        <w:tc>
          <w:tcPr>
            <w:tcW w:w="4300" w:type="dxa"/>
            <w:vAlign w:val="top"/>
          </w:tcPr>
          <w:p w14:paraId="1DFB4BE2">
            <w:pPr>
              <w:keepNext w:val="0"/>
              <w:keepLines w:val="0"/>
              <w:pageBreakBefore w:val="0"/>
              <w:widowControl/>
              <w:suppressLineNumbers w:val="0"/>
              <w:kinsoku/>
              <w:wordWrap/>
              <w:overflowPunct/>
              <w:topLinePunct w:val="0"/>
              <w:autoSpaceDE/>
              <w:autoSpaceDN/>
              <w:bidi w:val="0"/>
              <w:adjustRightInd/>
              <w:snapToGrid/>
              <w:ind w:right="0"/>
              <w:jc w:val="left"/>
              <w:textAlignment w:val="top"/>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0"/>
                <w:szCs w:val="20"/>
                <w:u w:val="none"/>
                <w:lang w:val="en-US" w:eastAsia="zh-CN" w:bidi="ar"/>
              </w:rPr>
              <w:t>光在没有空气的地方，也是沿直线传播的吗？</w:t>
            </w:r>
          </w:p>
        </w:tc>
        <w:tc>
          <w:tcPr>
            <w:tcW w:w="4300" w:type="dxa"/>
            <w:vAlign w:val="top"/>
          </w:tcPr>
          <w:p w14:paraId="633216A7">
            <w:pPr>
              <w:keepNext w:val="0"/>
              <w:keepLines w:val="0"/>
              <w:pageBreakBefore w:val="0"/>
              <w:widowControl/>
              <w:suppressLineNumbers w:val="0"/>
              <w:kinsoku/>
              <w:wordWrap/>
              <w:overflowPunct/>
              <w:topLinePunct w:val="0"/>
              <w:autoSpaceDE/>
              <w:autoSpaceDN/>
              <w:bidi w:val="0"/>
              <w:adjustRightInd/>
              <w:snapToGrid/>
              <w:ind w:right="0" w:firstLine="1200" w:firstLineChars="600"/>
              <w:jc w:val="left"/>
              <w:textAlignment w:val="top"/>
              <w:rPr>
                <w:rFonts w:hint="eastAsia" w:ascii="宋体" w:hAnsi="宋体" w:eastAsia="宋体" w:cs="宋体"/>
                <w:sz w:val="24"/>
                <w:szCs w:val="24"/>
                <w:vertAlign w:val="baseline"/>
              </w:rPr>
            </w:pPr>
            <w:r>
              <w:rPr>
                <w:rFonts w:hint="eastAsia" w:ascii="宋体" w:hAnsi="宋体" w:eastAsia="宋体" w:cs="宋体"/>
                <w:i w:val="0"/>
                <w:iCs w:val="0"/>
                <w:color w:val="000000"/>
                <w:kern w:val="0"/>
                <w:sz w:val="20"/>
                <w:szCs w:val="20"/>
                <w:u w:val="none"/>
                <w:lang w:val="en-US" w:eastAsia="zh-CN" w:bidi="ar"/>
              </w:rPr>
              <w:t>—</w:t>
            </w:r>
          </w:p>
        </w:tc>
      </w:tr>
    </w:tbl>
    <w:p w14:paraId="1AD3D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sz w:val="24"/>
          <w:szCs w:val="24"/>
        </w:rPr>
      </w:pPr>
      <w:r>
        <w:rPr>
          <w:rFonts w:hint="eastAsia" w:cs="宋体"/>
          <w:b w:val="0"/>
          <w:bCs w:val="0"/>
          <w:sz w:val="24"/>
          <w:szCs w:val="24"/>
          <w:lang w:val="en-US" w:eastAsia="zh-CN"/>
        </w:rPr>
        <w:t>通过“设计一个能讲述故事的光影作品”的实践活动，</w:t>
      </w:r>
      <w:r>
        <w:rPr>
          <w:rFonts w:hint="eastAsia" w:ascii="宋体" w:hAnsi="宋体" w:eastAsia="宋体" w:cs="宋体"/>
          <w:sz w:val="24"/>
          <w:szCs w:val="24"/>
        </w:rPr>
        <w:t>需学生综合运用光沿直线传播、反射等原理，同时融入剧本创作</w:t>
      </w:r>
      <w:r>
        <w:rPr>
          <w:rFonts w:hint="eastAsia" w:ascii="宋体" w:hAnsi="宋体" w:eastAsia="宋体" w:cs="宋体"/>
          <w:sz w:val="24"/>
          <w:szCs w:val="24"/>
          <w:lang w:eastAsia="zh-CN"/>
        </w:rPr>
        <w:t>、</w:t>
      </w:r>
      <w:r>
        <w:rPr>
          <w:rFonts w:hint="eastAsia" w:ascii="宋体" w:hAnsi="宋体" w:eastAsia="宋体" w:cs="宋体"/>
          <w:sz w:val="24"/>
          <w:szCs w:val="24"/>
        </w:rPr>
        <w:t>美术设计等技能</w:t>
      </w:r>
      <w:r>
        <w:rPr>
          <w:rFonts w:hint="eastAsia" w:ascii="宋体" w:hAnsi="宋体" w:eastAsia="宋体" w:cs="宋体"/>
          <w:sz w:val="24"/>
          <w:szCs w:val="24"/>
          <w:lang w:eastAsia="zh-CN"/>
        </w:rPr>
        <w:t>，</w:t>
      </w:r>
      <w:r>
        <w:rPr>
          <w:rFonts w:hint="eastAsia" w:ascii="宋体" w:hAnsi="宋体" w:eastAsia="宋体" w:cs="宋体"/>
          <w:sz w:val="24"/>
          <w:szCs w:val="24"/>
        </w:rPr>
        <w:t>培养设计规划、合作交流及创新实践能力</w:t>
      </w:r>
      <w:r>
        <w:rPr>
          <w:rFonts w:hint="eastAsia" w:ascii="宋体" w:hAnsi="宋体" w:eastAsia="宋体" w:cs="宋体"/>
          <w:sz w:val="24"/>
          <w:szCs w:val="24"/>
          <w:lang w:eastAsia="zh-CN"/>
        </w:rPr>
        <w:t>，</w:t>
      </w:r>
      <w:r>
        <w:rPr>
          <w:rFonts w:hint="eastAsia" w:ascii="宋体" w:hAnsi="宋体" w:eastAsia="宋体" w:cs="宋体"/>
          <w:sz w:val="24"/>
          <w:szCs w:val="24"/>
        </w:rPr>
        <w:t>形成科学态度与审美意识，增强文化自信（如皮影戏传统文化的渗透）。借助项目</w:t>
      </w:r>
      <w:r>
        <w:rPr>
          <w:rFonts w:hint="eastAsia" w:ascii="宋体" w:hAnsi="宋体" w:eastAsia="宋体" w:cs="宋体"/>
          <w:sz w:val="24"/>
          <w:szCs w:val="24"/>
          <w:lang w:val="en-US" w:eastAsia="zh-CN"/>
        </w:rPr>
        <w:t>化</w:t>
      </w:r>
      <w:r>
        <w:rPr>
          <w:rFonts w:hint="eastAsia" w:ascii="宋体" w:hAnsi="宋体" w:eastAsia="宋体" w:cs="宋体"/>
          <w:sz w:val="24"/>
          <w:szCs w:val="24"/>
        </w:rPr>
        <w:t>学习理念</w:t>
      </w:r>
      <w:r>
        <w:rPr>
          <w:rFonts w:hint="eastAsia" w:ascii="宋体" w:hAnsi="宋体" w:eastAsia="宋体" w:cs="宋体"/>
          <w:sz w:val="24"/>
          <w:szCs w:val="24"/>
          <w:lang w:eastAsia="zh-CN"/>
        </w:rPr>
        <w:t>，</w:t>
      </w:r>
      <w:r>
        <w:rPr>
          <w:rFonts w:hint="eastAsia" w:ascii="宋体" w:hAnsi="宋体" w:eastAsia="宋体" w:cs="宋体"/>
          <w:sz w:val="24"/>
          <w:szCs w:val="24"/>
        </w:rPr>
        <w:t>转变单一的教学方式，实现知识向情感</w:t>
      </w:r>
      <w:r>
        <w:rPr>
          <w:rFonts w:hint="eastAsia" w:ascii="宋体" w:hAnsi="宋体" w:eastAsia="宋体" w:cs="宋体"/>
          <w:sz w:val="24"/>
          <w:szCs w:val="24"/>
          <w:lang w:eastAsia="zh-CN"/>
        </w:rPr>
        <w:t>、</w:t>
      </w:r>
      <w:r>
        <w:rPr>
          <w:rFonts w:hint="eastAsia" w:ascii="宋体" w:hAnsi="宋体" w:eastAsia="宋体" w:cs="宋体"/>
          <w:sz w:val="24"/>
          <w:szCs w:val="24"/>
        </w:rPr>
        <w:t>价值观</w:t>
      </w:r>
      <w:r>
        <w:rPr>
          <w:rFonts w:hint="eastAsia" w:ascii="宋体" w:hAnsi="宋体" w:eastAsia="宋体" w:cs="宋体"/>
          <w:sz w:val="24"/>
          <w:szCs w:val="24"/>
          <w:lang w:eastAsia="zh-CN"/>
        </w:rPr>
        <w:t>、</w:t>
      </w:r>
      <w:r>
        <w:rPr>
          <w:rFonts w:hint="eastAsia" w:ascii="宋体" w:hAnsi="宋体" w:eastAsia="宋体" w:cs="宋体"/>
          <w:sz w:val="24"/>
          <w:szCs w:val="24"/>
        </w:rPr>
        <w:t>素质的升华</w:t>
      </w:r>
      <w:r>
        <w:rPr>
          <w:rFonts w:hint="eastAsia" w:ascii="宋体" w:hAnsi="宋体" w:eastAsia="宋体" w:cs="宋体"/>
          <w:sz w:val="24"/>
          <w:szCs w:val="24"/>
          <w:lang w:eastAsia="zh-CN"/>
        </w:rPr>
        <w:t>、</w:t>
      </w:r>
      <w:r>
        <w:rPr>
          <w:rFonts w:hint="eastAsia" w:ascii="宋体" w:hAnsi="宋体" w:eastAsia="宋体" w:cs="宋体"/>
          <w:sz w:val="24"/>
          <w:szCs w:val="24"/>
        </w:rPr>
        <w:t>技能向探究能力</w:t>
      </w:r>
      <w:r>
        <w:rPr>
          <w:rFonts w:hint="eastAsia" w:ascii="宋体" w:hAnsi="宋体" w:eastAsia="宋体" w:cs="宋体"/>
          <w:sz w:val="24"/>
          <w:szCs w:val="24"/>
          <w:lang w:eastAsia="zh-CN"/>
        </w:rPr>
        <w:t>、</w:t>
      </w:r>
      <w:r>
        <w:rPr>
          <w:rFonts w:hint="eastAsia" w:ascii="宋体" w:hAnsi="宋体" w:eastAsia="宋体" w:cs="宋体"/>
          <w:sz w:val="24"/>
          <w:szCs w:val="24"/>
        </w:rPr>
        <w:t>创新能力的提升</w:t>
      </w:r>
      <w:r>
        <w:rPr>
          <w:rFonts w:hint="eastAsia" w:ascii="宋体" w:hAnsi="宋体" w:eastAsia="宋体" w:cs="宋体"/>
          <w:sz w:val="24"/>
          <w:szCs w:val="24"/>
          <w:lang w:eastAsia="zh-CN"/>
        </w:rPr>
        <w:t>、</w:t>
      </w:r>
      <w:r>
        <w:rPr>
          <w:rFonts w:hint="eastAsia" w:ascii="宋体" w:hAnsi="宋体" w:eastAsia="宋体" w:cs="宋体"/>
          <w:sz w:val="24"/>
          <w:szCs w:val="24"/>
        </w:rPr>
        <w:t>进而实现科学核心素养的发展。</w:t>
      </w:r>
    </w:p>
    <w:p w14:paraId="709A6D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规范制订评价标准 ，推动核心素养落地</w:t>
      </w:r>
    </w:p>
    <w:p w14:paraId="2B5AB4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判断学生的核心素养是否落地 ，相关评价必不可少 ，规范制订评价标准和开发有效评价手段十分有必要。在“</w:t>
      </w:r>
      <w:r>
        <w:rPr>
          <w:rFonts w:hint="eastAsia" w:ascii="宋体" w:hAnsi="宋体" w:eastAsia="宋体" w:cs="宋体"/>
          <w:sz w:val="24"/>
          <w:szCs w:val="24"/>
          <w:lang w:val="en-US" w:eastAsia="zh-CN"/>
        </w:rPr>
        <w:t>趣探光影，影子有戏</w:t>
      </w:r>
      <w:r>
        <w:rPr>
          <w:rFonts w:hint="eastAsia" w:ascii="宋体" w:hAnsi="宋体" w:eastAsia="宋体" w:cs="宋体"/>
          <w:sz w:val="24"/>
          <w:szCs w:val="24"/>
        </w:rPr>
        <w:t>”项目</w:t>
      </w:r>
      <w:r>
        <w:rPr>
          <w:rFonts w:hint="eastAsia" w:ascii="宋体" w:hAnsi="宋体" w:eastAsia="宋体" w:cs="宋体"/>
          <w:sz w:val="24"/>
          <w:szCs w:val="24"/>
          <w:lang w:val="en-US" w:eastAsia="zh-CN"/>
        </w:rPr>
        <w:t>化</w:t>
      </w:r>
      <w:r>
        <w:rPr>
          <w:rFonts w:hint="eastAsia" w:ascii="宋体" w:hAnsi="宋体" w:eastAsia="宋体" w:cs="宋体"/>
          <w:sz w:val="24"/>
          <w:szCs w:val="24"/>
        </w:rPr>
        <w:t>学习评价环节，需注意以下</w:t>
      </w:r>
      <w:r>
        <w:rPr>
          <w:rFonts w:hint="eastAsia" w:ascii="宋体" w:hAnsi="宋体" w:eastAsia="宋体" w:cs="宋体"/>
          <w:color w:val="auto"/>
          <w:sz w:val="24"/>
          <w:szCs w:val="24"/>
          <w:highlight w:val="none"/>
          <w:lang w:val="en-US" w:eastAsia="zh-CN"/>
        </w:rPr>
        <w:t>两</w:t>
      </w:r>
      <w:r>
        <w:rPr>
          <w:rFonts w:hint="eastAsia" w:ascii="宋体" w:hAnsi="宋体" w:eastAsia="宋体" w:cs="宋体"/>
          <w:sz w:val="24"/>
          <w:szCs w:val="24"/>
        </w:rPr>
        <w:t>点：</w:t>
      </w:r>
    </w:p>
    <w:p w14:paraId="07DF4BEA">
      <w:pPr>
        <w:keepNext w:val="0"/>
        <w:keepLines w:val="0"/>
        <w:pageBreakBefore w:val="0"/>
        <w:widowControl w:val="0"/>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一是评价指向素养目标。项目</w:t>
      </w:r>
      <w:r>
        <w:rPr>
          <w:rFonts w:hint="eastAsia" w:ascii="宋体" w:hAnsi="宋体" w:eastAsia="宋体" w:cs="宋体"/>
          <w:sz w:val="24"/>
          <w:szCs w:val="24"/>
          <w:lang w:val="en-US" w:eastAsia="zh-CN"/>
        </w:rPr>
        <w:t>化</w:t>
      </w:r>
      <w:r>
        <w:rPr>
          <w:rFonts w:hint="eastAsia" w:ascii="宋体" w:hAnsi="宋体" w:eastAsia="宋体" w:cs="宋体"/>
          <w:sz w:val="24"/>
          <w:szCs w:val="24"/>
        </w:rPr>
        <w:t>学习指向核心知识的再建构</w:t>
      </w:r>
      <w:r>
        <w:rPr>
          <w:rFonts w:hint="eastAsia" w:ascii="宋体" w:hAnsi="宋体" w:eastAsia="宋体" w:cs="宋体"/>
          <w:sz w:val="24"/>
          <w:szCs w:val="24"/>
          <w:lang w:eastAsia="zh-CN"/>
        </w:rPr>
        <w:t>，</w:t>
      </w:r>
      <w:r>
        <w:rPr>
          <w:rFonts w:hint="eastAsia" w:ascii="宋体" w:hAnsi="宋体" w:eastAsia="宋体" w:cs="宋体"/>
          <w:sz w:val="24"/>
          <w:szCs w:val="24"/>
        </w:rPr>
        <w:t>要求学生掌握核心知识</w:t>
      </w:r>
      <w:r>
        <w:rPr>
          <w:rFonts w:hint="eastAsia" w:ascii="宋体" w:hAnsi="宋体" w:eastAsia="宋体" w:cs="宋体"/>
          <w:sz w:val="24"/>
          <w:szCs w:val="24"/>
          <w:lang w:eastAsia="zh-CN"/>
        </w:rPr>
        <w:t>，</w:t>
      </w:r>
      <w:r>
        <w:rPr>
          <w:rFonts w:hint="eastAsia" w:ascii="宋体" w:hAnsi="宋体" w:eastAsia="宋体" w:cs="宋体"/>
          <w:sz w:val="24"/>
          <w:szCs w:val="24"/>
        </w:rPr>
        <w:t>而不是零碎的知识点。教师要遵循核心概念到学习内容再到学习目标的科学概念层级关系</w:t>
      </w:r>
      <w:r>
        <w:rPr>
          <w:rFonts w:hint="eastAsia" w:ascii="宋体" w:hAnsi="宋体" w:eastAsia="宋体" w:cs="宋体"/>
          <w:sz w:val="24"/>
          <w:szCs w:val="24"/>
          <w:lang w:eastAsia="zh-CN"/>
        </w:rPr>
        <w:t>，</w:t>
      </w:r>
      <w:r>
        <w:rPr>
          <w:rFonts w:hint="eastAsia" w:ascii="宋体" w:hAnsi="宋体" w:eastAsia="宋体" w:cs="宋体"/>
          <w:sz w:val="24"/>
          <w:szCs w:val="24"/>
        </w:rPr>
        <w:t>来建构教学评价框架</w:t>
      </w:r>
      <w:r>
        <w:rPr>
          <w:rFonts w:hint="eastAsia" w:ascii="宋体" w:hAnsi="宋体" w:eastAsia="宋体" w:cs="宋体"/>
          <w:sz w:val="24"/>
          <w:szCs w:val="24"/>
          <w:lang w:eastAsia="zh-CN"/>
        </w:rPr>
        <w:t>，</w:t>
      </w:r>
      <w:r>
        <w:rPr>
          <w:rFonts w:hint="eastAsia" w:ascii="宋体" w:hAnsi="宋体" w:eastAsia="宋体" w:cs="宋体"/>
          <w:sz w:val="24"/>
          <w:szCs w:val="24"/>
        </w:rPr>
        <w:t>注重考查学生完成项目后对</w:t>
      </w:r>
      <w:r>
        <w:rPr>
          <w:rFonts w:hint="eastAsia" w:ascii="宋体" w:hAnsi="宋体" w:eastAsia="宋体" w:cs="宋体"/>
          <w:sz w:val="24"/>
          <w:szCs w:val="24"/>
          <w:lang w:val="en-US" w:eastAsia="zh-CN"/>
        </w:rPr>
        <w:t>物质</w:t>
      </w:r>
      <w:r>
        <w:rPr>
          <w:rFonts w:hint="eastAsia" w:ascii="宋体" w:hAnsi="宋体" w:eastAsia="宋体" w:cs="宋体"/>
          <w:sz w:val="24"/>
          <w:szCs w:val="24"/>
        </w:rPr>
        <w:t>的</w:t>
      </w:r>
      <w:r>
        <w:rPr>
          <w:rFonts w:hint="eastAsia" w:ascii="宋体" w:hAnsi="宋体" w:eastAsia="宋体" w:cs="宋体"/>
          <w:sz w:val="24"/>
          <w:szCs w:val="24"/>
          <w:lang w:val="en-US" w:eastAsia="zh-CN"/>
        </w:rPr>
        <w:t>运动与相互作用的</w:t>
      </w:r>
      <w:r>
        <w:rPr>
          <w:rFonts w:hint="eastAsia" w:ascii="宋体" w:hAnsi="宋体" w:eastAsia="宋体" w:cs="宋体"/>
          <w:sz w:val="24"/>
          <w:szCs w:val="24"/>
        </w:rPr>
        <w:t>总体认识</w:t>
      </w:r>
      <w:r>
        <w:rPr>
          <w:rFonts w:hint="eastAsia" w:ascii="宋体" w:hAnsi="宋体" w:eastAsia="宋体" w:cs="宋体"/>
          <w:sz w:val="24"/>
          <w:szCs w:val="24"/>
          <w:lang w:eastAsia="zh-CN"/>
        </w:rPr>
        <w:t>，</w:t>
      </w:r>
      <w:r>
        <w:rPr>
          <w:rFonts w:hint="eastAsia" w:ascii="宋体" w:hAnsi="宋体" w:eastAsia="宋体" w:cs="宋体"/>
          <w:sz w:val="24"/>
          <w:szCs w:val="24"/>
        </w:rPr>
        <w:t>以及</w:t>
      </w:r>
      <w:r>
        <w:rPr>
          <w:rFonts w:hint="eastAsia" w:ascii="宋体" w:hAnsi="宋体" w:eastAsia="宋体" w:cs="宋体"/>
          <w:sz w:val="24"/>
          <w:szCs w:val="24"/>
          <w:lang w:val="en-US" w:eastAsia="zh-CN"/>
        </w:rPr>
        <w:t>学生探究</w:t>
      </w:r>
      <w:r>
        <w:rPr>
          <w:rFonts w:hint="eastAsia" w:ascii="宋体" w:hAnsi="宋体" w:eastAsia="宋体" w:cs="宋体"/>
          <w:sz w:val="24"/>
          <w:szCs w:val="24"/>
        </w:rPr>
        <w:t>实践能力</w:t>
      </w:r>
      <w:r>
        <w:rPr>
          <w:rFonts w:hint="eastAsia" w:ascii="宋体" w:hAnsi="宋体" w:eastAsia="宋体" w:cs="宋体"/>
          <w:sz w:val="24"/>
          <w:szCs w:val="24"/>
          <w:lang w:eastAsia="zh-CN"/>
        </w:rPr>
        <w:t>、</w:t>
      </w:r>
      <w:r>
        <w:rPr>
          <w:rFonts w:hint="eastAsia" w:ascii="宋体" w:hAnsi="宋体" w:eastAsia="宋体" w:cs="宋体"/>
          <w:sz w:val="24"/>
          <w:szCs w:val="24"/>
        </w:rPr>
        <w:t>创新</w:t>
      </w:r>
      <w:r>
        <w:rPr>
          <w:rFonts w:hint="eastAsia" w:ascii="宋体" w:hAnsi="宋体" w:eastAsia="宋体" w:cs="宋体"/>
          <w:sz w:val="24"/>
          <w:szCs w:val="24"/>
          <w:lang w:val="en-US" w:eastAsia="zh-CN"/>
        </w:rPr>
        <w:t>思维与问题解决</w:t>
      </w:r>
      <w:r>
        <w:rPr>
          <w:rFonts w:hint="eastAsia" w:ascii="宋体" w:hAnsi="宋体" w:eastAsia="宋体" w:cs="宋体"/>
          <w:sz w:val="24"/>
          <w:szCs w:val="24"/>
        </w:rPr>
        <w:t>能力的培养情况</w:t>
      </w:r>
      <w:r>
        <w:rPr>
          <w:rFonts w:hint="eastAsia" w:ascii="宋体" w:hAnsi="宋体" w:eastAsia="宋体" w:cs="宋体"/>
          <w:sz w:val="24"/>
          <w:szCs w:val="24"/>
          <w:lang w:eastAsia="zh-CN"/>
        </w:rPr>
        <w:t>。</w:t>
      </w:r>
      <w:r>
        <w:rPr>
          <w:rFonts w:hint="eastAsia" w:ascii="宋体" w:hAnsi="宋体" w:eastAsia="宋体" w:cs="宋体"/>
          <w:sz w:val="24"/>
          <w:szCs w:val="24"/>
        </w:rPr>
        <w:t>如</w:t>
      </w:r>
      <w:r>
        <w:rPr>
          <w:rFonts w:hint="eastAsia" w:ascii="宋体" w:hAnsi="宋体" w:eastAsia="宋体" w:cs="宋体"/>
          <w:sz w:val="24"/>
          <w:szCs w:val="24"/>
          <w:lang w:val="en-US" w:eastAsia="zh-CN"/>
        </w:rPr>
        <w:t>在探究环节，</w:t>
      </w:r>
      <w:r>
        <w:rPr>
          <w:rFonts w:hint="eastAsia" w:asciiTheme="minorEastAsia" w:hAnsiTheme="minorEastAsia" w:eastAsiaTheme="minorEastAsia"/>
          <w:color w:val="000000" w:themeColor="text1"/>
          <w:sz w:val="24"/>
          <w14:textFill>
            <w14:solidFill>
              <w14:schemeClr w14:val="tx1"/>
            </w14:solidFill>
          </w14:textFill>
        </w:rPr>
        <w:t>挑选制作光影作品所需材料的过程中，学生们进行了广泛的资料收集和筛选。考虑了材料的物理属性（如透明度、反射率）、成本效益及实际可操作性。通过实验验证不同材料在特定条件下的表现，例如光源类型对材料透光效果的影响、背景颜色对于投影质量的作用。每个小组都被鼓励详细记录实验步骤、观察结果及遇到的问题，有助于培养学生严谨的科学研究态度。记录实验过程促进了逻辑思维的发展，为后续数据分析和结论得出奠定了基础。探究过程中不可避免地会遇到挑战，比如某些材料可能无法达到预期效果或设计之初未考虑到的实际问题。面对这些问题，学生们需要运用所学知识寻找解决方案，增强了自信心和独立思考能力，使他们在未来的学习和生活中更能从容应对未知难题。项目实施中，每个学生根据特长承担小组内不同任务，如草图设计、数据采集或文本撰写等，促进团队成员间的沟通协作。特别是在完成初步成品后的评测会环节，学生们提高了介绍、交流、表达的能力，同时也能倾听他人的意见，基于证据进行反思和调整方案，进一步优化作品。这种循环往复——实施、评估、再实施的过程，让学生体会到持续改进的价值，也提高了批判性思维能力。</w:t>
      </w:r>
    </w:p>
    <w:p w14:paraId="1B1FDF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Theme="minorEastAsia" w:hAnsiTheme="minorEastAsia" w:eastAsiaTheme="minorEastAsia"/>
          <w:color w:val="000000" w:themeColor="text1"/>
          <w:sz w:val="24"/>
          <w14:textFill>
            <w14:solidFill>
              <w14:schemeClr w14:val="tx1"/>
            </w14:solidFill>
          </w14:textFill>
        </w:rPr>
      </w:pPr>
      <w:r>
        <w:rPr>
          <w:rFonts w:hint="eastAsia" w:ascii="宋体" w:hAnsi="宋体" w:eastAsia="宋体" w:cs="宋体"/>
          <w:sz w:val="24"/>
          <w:szCs w:val="24"/>
          <w:lang w:val="en-US" w:eastAsia="zh-CN"/>
        </w:rPr>
        <w:t>二</w:t>
      </w:r>
      <w:r>
        <w:rPr>
          <w:rFonts w:hint="eastAsia" w:ascii="宋体" w:hAnsi="宋体" w:eastAsia="宋体" w:cs="宋体"/>
          <w:sz w:val="24"/>
          <w:szCs w:val="24"/>
        </w:rPr>
        <w:t>是评价内容和形式体现综合性。这一特点不仅要体现在科学学科不同的科学概念之间</w:t>
      </w:r>
      <w:r>
        <w:rPr>
          <w:rFonts w:hint="eastAsia" w:ascii="宋体" w:hAnsi="宋体" w:eastAsia="宋体" w:cs="宋体"/>
          <w:sz w:val="24"/>
          <w:szCs w:val="24"/>
          <w:lang w:eastAsia="zh-CN"/>
        </w:rPr>
        <w:t>，</w:t>
      </w:r>
      <w:r>
        <w:rPr>
          <w:rFonts w:hint="eastAsia" w:ascii="宋体" w:hAnsi="宋体" w:eastAsia="宋体" w:cs="宋体"/>
          <w:sz w:val="24"/>
          <w:szCs w:val="24"/>
        </w:rPr>
        <w:t>而且要体现在不同学科的综合知识中。一方面</w:t>
      </w:r>
      <w:r>
        <w:rPr>
          <w:rFonts w:hint="eastAsia" w:ascii="宋体" w:hAnsi="宋体" w:eastAsia="宋体" w:cs="宋体"/>
          <w:sz w:val="24"/>
          <w:szCs w:val="24"/>
          <w:lang w:eastAsia="zh-CN"/>
        </w:rPr>
        <w:t>，</w:t>
      </w:r>
      <w:r>
        <w:rPr>
          <w:rFonts w:hint="eastAsia" w:ascii="宋体" w:hAnsi="宋体" w:eastAsia="宋体" w:cs="宋体"/>
          <w:sz w:val="24"/>
          <w:szCs w:val="24"/>
        </w:rPr>
        <w:t>从课程性质来看，科学课程是一门综合性课程</w:t>
      </w:r>
      <w:r>
        <w:rPr>
          <w:rFonts w:hint="eastAsia" w:ascii="宋体" w:hAnsi="宋体" w:eastAsia="宋体" w:cs="宋体"/>
          <w:sz w:val="24"/>
          <w:szCs w:val="24"/>
          <w:lang w:eastAsia="zh-CN"/>
        </w:rPr>
        <w:t>，</w:t>
      </w:r>
      <w:r>
        <w:rPr>
          <w:rFonts w:hint="eastAsia" w:ascii="宋体" w:hAnsi="宋体" w:eastAsia="宋体" w:cs="宋体"/>
          <w:sz w:val="24"/>
          <w:szCs w:val="24"/>
        </w:rPr>
        <w:t>不同领域、不同学科的知识融合在一起</w:t>
      </w:r>
      <w:r>
        <w:rPr>
          <w:rFonts w:hint="eastAsia" w:ascii="宋体" w:hAnsi="宋体" w:eastAsia="宋体" w:cs="宋体"/>
          <w:sz w:val="24"/>
          <w:szCs w:val="24"/>
          <w:lang w:eastAsia="zh-CN"/>
        </w:rPr>
        <w:t>，</w:t>
      </w:r>
      <w:r>
        <w:rPr>
          <w:rFonts w:hint="eastAsia" w:ascii="宋体" w:hAnsi="宋体" w:eastAsia="宋体" w:cs="宋体"/>
          <w:sz w:val="24"/>
          <w:szCs w:val="24"/>
        </w:rPr>
        <w:t>相互渗透、相互联系 ，具有整体性。另一方面</w:t>
      </w:r>
      <w:r>
        <w:rPr>
          <w:rFonts w:hint="eastAsia" w:ascii="宋体" w:hAnsi="宋体" w:eastAsia="宋体" w:cs="宋体"/>
          <w:sz w:val="24"/>
          <w:szCs w:val="24"/>
          <w:lang w:eastAsia="zh-CN"/>
        </w:rPr>
        <w:t>，</w:t>
      </w:r>
      <w:r>
        <w:rPr>
          <w:rFonts w:hint="eastAsia" w:ascii="宋体" w:hAnsi="宋体" w:eastAsia="宋体" w:cs="宋体"/>
          <w:sz w:val="24"/>
          <w:szCs w:val="24"/>
        </w:rPr>
        <w:t>自然现象或生活中的科学问题往往具有较强的综合性</w:t>
      </w:r>
      <w:r>
        <w:rPr>
          <w:rFonts w:hint="eastAsia" w:ascii="宋体" w:hAnsi="宋体" w:eastAsia="宋体" w:cs="宋体"/>
          <w:sz w:val="24"/>
          <w:szCs w:val="24"/>
          <w:lang w:eastAsia="zh-CN"/>
        </w:rPr>
        <w:t>，</w:t>
      </w:r>
      <w:r>
        <w:rPr>
          <w:rFonts w:hint="eastAsia" w:ascii="宋体" w:hAnsi="宋体" w:eastAsia="宋体" w:cs="宋体"/>
          <w:sz w:val="24"/>
          <w:szCs w:val="24"/>
        </w:rPr>
        <w:t>解释科学现象和解决科学问题往往要运用多个领域或多个学科的知识。</w:t>
      </w:r>
      <w:r>
        <w:rPr>
          <w:color w:val="0000FF"/>
          <w:spacing w:val="-1"/>
          <w:position w:val="6"/>
          <w:sz w:val="11"/>
          <w:szCs w:val="11"/>
        </w:rPr>
        <w:t>［</w:t>
      </w:r>
      <w:r>
        <w:rPr>
          <w:color w:val="0000FF"/>
          <w:spacing w:val="-1"/>
          <w:position w:val="6"/>
          <w:sz w:val="15"/>
          <w:szCs w:val="15"/>
        </w:rPr>
        <w:t>2</w:t>
      </w:r>
      <w:r>
        <w:rPr>
          <w:color w:val="0000FF"/>
          <w:spacing w:val="-1"/>
          <w:position w:val="6"/>
          <w:sz w:val="11"/>
          <w:szCs w:val="11"/>
        </w:rPr>
        <w:t>］</w:t>
      </w:r>
      <w:r>
        <w:rPr>
          <w:rFonts w:hint="eastAsia" w:asciiTheme="minorEastAsia" w:hAnsiTheme="minorEastAsia" w:eastAsiaTheme="minorEastAsia"/>
          <w:color w:val="000000" w:themeColor="text1"/>
          <w:sz w:val="24"/>
          <w14:textFill>
            <w14:solidFill>
              <w14:schemeClr w14:val="tx1"/>
            </w14:solidFill>
          </w14:textFill>
        </w:rPr>
        <w:t>本项目成功打破了传统学科界限，让学生在一个综合性任务中同时运用到科学原理（光的传播知识）、美术技能（绘画、剪纸）、文学素养（剧本编写）、音乐欣赏（背景音乐选择）及信息搜索（主题故事搜集）等多个领域的技能。跨界学习方式拓宽了学生的视野，促进了不同领域知识的理解和整合能力。在项目</w:t>
      </w:r>
      <w:r>
        <w:rPr>
          <w:rFonts w:hint="eastAsia" w:asciiTheme="minorEastAsia" w:hAnsiTheme="minorEastAsia"/>
          <w:color w:val="000000" w:themeColor="text1"/>
          <w:sz w:val="24"/>
          <w:lang w:val="en-US" w:eastAsia="zh-CN"/>
          <w14:textFill>
            <w14:solidFill>
              <w14:schemeClr w14:val="tx1"/>
            </w14:solidFill>
          </w14:textFill>
        </w:rPr>
        <w:t>化</w:t>
      </w:r>
      <w:r>
        <w:rPr>
          <w:rFonts w:hint="eastAsia" w:asciiTheme="minorEastAsia" w:hAnsiTheme="minorEastAsia" w:eastAsiaTheme="minorEastAsia"/>
          <w:color w:val="000000" w:themeColor="text1"/>
          <w:sz w:val="24"/>
          <w14:textFill>
            <w14:solidFill>
              <w14:schemeClr w14:val="tx1"/>
            </w14:solidFill>
          </w14:textFill>
        </w:rPr>
        <w:t>学习中</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从启动课到推进课</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再到最后的成果展示课 ，需要评价的内容很多 ，因此在进行评价设计时要考虑周全 ，需要设计多个量表</w:t>
      </w:r>
      <w:r>
        <w:rPr>
          <w:rFonts w:hint="eastAsia" w:asciiTheme="minorEastAsia" w:hAnsiTheme="minorEastAsia"/>
          <w:color w:val="000000" w:themeColor="text1"/>
          <w:sz w:val="24"/>
          <w:lang w:eastAsia="zh-CN"/>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从多个维度进行评价。例如在“</w:t>
      </w:r>
      <w:r>
        <w:rPr>
          <w:rFonts w:hint="eastAsia" w:asciiTheme="minorEastAsia" w:hAnsiTheme="minorEastAsia"/>
          <w:color w:val="000000" w:themeColor="text1"/>
          <w:sz w:val="24"/>
          <w:lang w:val="en-US" w:eastAsia="zh-CN"/>
          <w14:textFill>
            <w14:solidFill>
              <w14:schemeClr w14:val="tx1"/>
            </w14:solidFill>
          </w14:textFill>
        </w:rPr>
        <w:t>趣探光影，影子有戏</w:t>
      </w:r>
      <w:r>
        <w:rPr>
          <w:rFonts w:hint="eastAsia" w:asciiTheme="minorEastAsia" w:hAnsiTheme="minorEastAsia" w:eastAsiaTheme="minorEastAsia"/>
          <w:color w:val="000000" w:themeColor="text1"/>
          <w:sz w:val="24"/>
          <w14:textFill>
            <w14:solidFill>
              <w14:schemeClr w14:val="tx1"/>
            </w14:solidFill>
          </w14:textFill>
        </w:rPr>
        <w:t xml:space="preserve"> ”项目</w:t>
      </w:r>
      <w:r>
        <w:rPr>
          <w:rFonts w:hint="eastAsia" w:asciiTheme="minorEastAsia" w:hAnsiTheme="minorEastAsia"/>
          <w:color w:val="000000" w:themeColor="text1"/>
          <w:sz w:val="24"/>
          <w:lang w:val="en-US" w:eastAsia="zh-CN"/>
          <w14:textFill>
            <w14:solidFill>
              <w14:schemeClr w14:val="tx1"/>
            </w14:solidFill>
          </w14:textFill>
        </w:rPr>
        <w:t>化</w:t>
      </w:r>
      <w:r>
        <w:rPr>
          <w:rFonts w:hint="eastAsia" w:asciiTheme="minorEastAsia" w:hAnsiTheme="minorEastAsia" w:eastAsiaTheme="minorEastAsia"/>
          <w:color w:val="000000" w:themeColor="text1"/>
          <w:sz w:val="24"/>
          <w14:textFill>
            <w14:solidFill>
              <w14:schemeClr w14:val="tx1"/>
            </w14:solidFill>
          </w14:textFill>
        </w:rPr>
        <w:t>学习中，涉及学生亲历实物设计与制作的全过程，本文列举“能讲述故事的光影作品”课堂评价量表（见表2）， 其他维度的量表可基于此展开设计。</w:t>
      </w:r>
    </w:p>
    <w:p w14:paraId="5E03B4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right="420" w:rightChars="200" w:firstLine="480" w:firstLineChars="200"/>
        <w:textAlignment w:val="auto"/>
        <w:rPr>
          <w:rFonts w:hint="eastAsia" w:asciiTheme="minorEastAsia" w:hAnsiTheme="minorEastAsia" w:eastAsiaTheme="minorEastAsia"/>
          <w:color w:val="000000" w:themeColor="text1"/>
          <w:sz w:val="24"/>
          <w:lang w:val="en-US" w:eastAsia="zh-CN"/>
          <w14:textFill>
            <w14:solidFill>
              <w14:schemeClr w14:val="tx1"/>
            </w14:solidFill>
          </w14:textFill>
        </w:rPr>
      </w:pPr>
    </w:p>
    <w:p w14:paraId="10E69F3A">
      <w:pPr>
        <w:keepNext w:val="0"/>
        <w:keepLines w:val="0"/>
        <w:pageBreakBefore w:val="0"/>
        <w:kinsoku/>
        <w:wordWrap/>
        <w:overflowPunct/>
        <w:topLinePunct w:val="0"/>
        <w:autoSpaceDE/>
        <w:autoSpaceDN/>
        <w:bidi w:val="0"/>
        <w:adjustRightInd/>
        <w:snapToGrid/>
        <w:spacing w:line="360" w:lineRule="auto"/>
        <w:ind w:right="0"/>
        <w:jc w:val="center"/>
        <w:rPr>
          <w:rFonts w:hint="eastAsia" w:asciiTheme="minorEastAsia" w:hAnsiTheme="minorEastAsia" w:eastAsiaTheme="minorEastAsia"/>
          <w:color w:val="000000" w:themeColor="text1"/>
          <w:sz w:val="24"/>
          <w14:textFill>
            <w14:solidFill>
              <w14:schemeClr w14:val="tx1"/>
            </w14:solidFill>
          </w14:textFill>
        </w:rPr>
      </w:pPr>
      <w:r>
        <w:rPr>
          <w:rFonts w:hint="eastAsia" w:ascii="宋体" w:hAnsi="宋体" w:eastAsia="宋体" w:cs="宋体"/>
          <w:b/>
          <w:sz w:val="28"/>
          <w:szCs w:val="28"/>
          <w:lang w:val="en-US" w:eastAsia="zh-CN"/>
        </w:rPr>
        <w:t>表2</w:t>
      </w:r>
      <w:r>
        <w:rPr>
          <w:rFonts w:hint="eastAsia" w:ascii="宋体" w:hAnsi="宋体" w:eastAsia="宋体" w:cs="宋体"/>
          <w:b/>
          <w:sz w:val="28"/>
          <w:szCs w:val="28"/>
        </w:rPr>
        <w:t>“能讲述故事的光影作品”课堂评价表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65715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5A08E5ED">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b/>
                <w:bCs/>
                <w:i w:val="0"/>
                <w:iCs w:val="0"/>
                <w:color w:val="000000"/>
                <w:kern w:val="0"/>
                <w:sz w:val="24"/>
                <w:szCs w:val="24"/>
                <w:u w:val="none"/>
                <w:lang w:val="en-US" w:eastAsia="zh-CN" w:bidi="ar"/>
              </w:rPr>
              <w:t>评价维度</w:t>
            </w:r>
          </w:p>
        </w:tc>
        <w:tc>
          <w:tcPr>
            <w:tcW w:w="2130" w:type="dxa"/>
            <w:vAlign w:val="center"/>
          </w:tcPr>
          <w:p w14:paraId="66470A01">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b/>
                <w:bCs/>
                <w:i w:val="0"/>
                <w:iCs w:val="0"/>
                <w:color w:val="000000"/>
                <w:kern w:val="0"/>
                <w:sz w:val="24"/>
                <w:szCs w:val="24"/>
                <w:u w:val="none"/>
                <w:lang w:val="en-US" w:eastAsia="zh-CN" w:bidi="ar"/>
              </w:rPr>
              <w:t>评价标准</w:t>
            </w:r>
          </w:p>
        </w:tc>
        <w:tc>
          <w:tcPr>
            <w:tcW w:w="2131" w:type="dxa"/>
            <w:vAlign w:val="center"/>
          </w:tcPr>
          <w:p w14:paraId="0F3CD850">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b/>
                <w:bCs/>
                <w:i w:val="0"/>
                <w:iCs w:val="0"/>
                <w:color w:val="000000"/>
                <w:kern w:val="0"/>
                <w:sz w:val="24"/>
                <w:szCs w:val="24"/>
                <w:u w:val="none"/>
                <w:lang w:val="en-US" w:eastAsia="zh-CN" w:bidi="ar"/>
              </w:rPr>
              <w:t>自我评价</w:t>
            </w:r>
          </w:p>
        </w:tc>
        <w:tc>
          <w:tcPr>
            <w:tcW w:w="2131" w:type="dxa"/>
            <w:vAlign w:val="center"/>
          </w:tcPr>
          <w:p w14:paraId="18636892">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b/>
                <w:bCs/>
                <w:i w:val="0"/>
                <w:iCs w:val="0"/>
                <w:color w:val="000000"/>
                <w:kern w:val="0"/>
                <w:sz w:val="24"/>
                <w:szCs w:val="24"/>
                <w:u w:val="none"/>
                <w:lang w:val="en-US" w:eastAsia="zh-CN" w:bidi="ar"/>
              </w:rPr>
              <w:t>教师评价</w:t>
            </w:r>
          </w:p>
        </w:tc>
      </w:tr>
      <w:tr w14:paraId="63962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234DFB92">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科学观念</w:t>
            </w:r>
          </w:p>
        </w:tc>
        <w:tc>
          <w:tcPr>
            <w:tcW w:w="2130" w:type="dxa"/>
            <w:vAlign w:val="center"/>
          </w:tcPr>
          <w:p w14:paraId="4C571468">
            <w:pPr>
              <w:keepNext w:val="0"/>
              <w:keepLines w:val="0"/>
              <w:widowControl/>
              <w:suppressLineNumbers w:val="0"/>
              <w:jc w:val="left"/>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能够了解光传播基本原理</w:t>
            </w:r>
          </w:p>
        </w:tc>
        <w:tc>
          <w:tcPr>
            <w:tcW w:w="2131" w:type="dxa"/>
            <w:vAlign w:val="center"/>
          </w:tcPr>
          <w:p w14:paraId="769FA88D">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c>
          <w:tcPr>
            <w:tcW w:w="2131" w:type="dxa"/>
            <w:vAlign w:val="center"/>
          </w:tcPr>
          <w:p w14:paraId="211F9BA2">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r>
      <w:tr w14:paraId="2372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40CA908F">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科学思维</w:t>
            </w:r>
          </w:p>
        </w:tc>
        <w:tc>
          <w:tcPr>
            <w:tcW w:w="2130" w:type="dxa"/>
            <w:vAlign w:val="center"/>
          </w:tcPr>
          <w:p w14:paraId="0485B888">
            <w:pPr>
              <w:keepNext w:val="0"/>
              <w:keepLines w:val="0"/>
              <w:widowControl/>
              <w:suppressLineNumbers w:val="0"/>
              <w:jc w:val="left"/>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能够围绕驱动性问题进行思考，明确关键要素</w:t>
            </w:r>
          </w:p>
        </w:tc>
        <w:tc>
          <w:tcPr>
            <w:tcW w:w="2131" w:type="dxa"/>
            <w:vAlign w:val="center"/>
          </w:tcPr>
          <w:p w14:paraId="7EC91E70">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c>
          <w:tcPr>
            <w:tcW w:w="2131" w:type="dxa"/>
            <w:vAlign w:val="center"/>
          </w:tcPr>
          <w:p w14:paraId="77C8389D">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r>
      <w:tr w14:paraId="1647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14:paraId="46C7AFA3">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探究实践</w:t>
            </w:r>
          </w:p>
        </w:tc>
        <w:tc>
          <w:tcPr>
            <w:tcW w:w="2130" w:type="dxa"/>
            <w:vAlign w:val="center"/>
          </w:tcPr>
          <w:p w14:paraId="2F09B671">
            <w:pPr>
              <w:keepNext w:val="0"/>
              <w:keepLines w:val="0"/>
              <w:widowControl/>
              <w:suppressLineNumbers w:val="0"/>
              <w:jc w:val="left"/>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动手能力，分析能力，观察能力</w:t>
            </w:r>
          </w:p>
        </w:tc>
        <w:tc>
          <w:tcPr>
            <w:tcW w:w="2131" w:type="dxa"/>
            <w:vAlign w:val="center"/>
          </w:tcPr>
          <w:p w14:paraId="33BED3F2">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c>
          <w:tcPr>
            <w:tcW w:w="2131" w:type="dxa"/>
            <w:vAlign w:val="center"/>
          </w:tcPr>
          <w:p w14:paraId="63884E88">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r>
      <w:tr w14:paraId="22D4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14:paraId="1C427B21">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态度责任</w:t>
            </w:r>
          </w:p>
        </w:tc>
        <w:tc>
          <w:tcPr>
            <w:tcW w:w="2130" w:type="dxa"/>
            <w:vAlign w:val="center"/>
          </w:tcPr>
          <w:p w14:paraId="20D79157">
            <w:pPr>
              <w:keepNext w:val="0"/>
              <w:keepLines w:val="0"/>
              <w:widowControl/>
              <w:suppressLineNumbers w:val="0"/>
              <w:jc w:val="left"/>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能认真倾听他人观点，表达自己观点。</w:t>
            </w:r>
          </w:p>
        </w:tc>
        <w:tc>
          <w:tcPr>
            <w:tcW w:w="2131" w:type="dxa"/>
            <w:vAlign w:val="center"/>
          </w:tcPr>
          <w:p w14:paraId="123AEAE7">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c>
          <w:tcPr>
            <w:tcW w:w="2131" w:type="dxa"/>
            <w:vAlign w:val="center"/>
          </w:tcPr>
          <w:p w14:paraId="6BD917E7">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r>
      <w:tr w14:paraId="7663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6F12C27D">
            <w:pPr>
              <w:jc w:val="center"/>
              <w:rPr>
                <w:rFonts w:hint="eastAsia" w:ascii="宋体" w:hAnsi="宋体" w:eastAsia="宋体" w:cs="宋体"/>
                <w:b/>
                <w:sz w:val="28"/>
                <w:szCs w:val="28"/>
                <w:vertAlign w:val="baseline"/>
                <w:lang w:val="en-US" w:eastAsia="zh-CN"/>
              </w:rPr>
            </w:pPr>
          </w:p>
        </w:tc>
        <w:tc>
          <w:tcPr>
            <w:tcW w:w="2130" w:type="dxa"/>
            <w:vAlign w:val="center"/>
          </w:tcPr>
          <w:p w14:paraId="0F4B1BEA">
            <w:pPr>
              <w:keepNext w:val="0"/>
              <w:keepLines w:val="0"/>
              <w:widowControl/>
              <w:suppressLineNumbers w:val="0"/>
              <w:jc w:val="left"/>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能认真参与小组的讨论，书写整洁规范。</w:t>
            </w:r>
          </w:p>
        </w:tc>
        <w:tc>
          <w:tcPr>
            <w:tcW w:w="2131" w:type="dxa"/>
            <w:vAlign w:val="center"/>
          </w:tcPr>
          <w:p w14:paraId="61F9A54A">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c>
          <w:tcPr>
            <w:tcW w:w="2131" w:type="dxa"/>
            <w:vAlign w:val="center"/>
          </w:tcPr>
          <w:p w14:paraId="7E37B8C2">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r>
      <w:tr w14:paraId="4E90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14:paraId="6BF62C8D">
            <w:pPr>
              <w:jc w:val="center"/>
              <w:rPr>
                <w:rFonts w:hint="eastAsia" w:ascii="宋体" w:hAnsi="宋体" w:eastAsia="宋体" w:cs="宋体"/>
                <w:b/>
                <w:sz w:val="28"/>
                <w:szCs w:val="28"/>
                <w:vertAlign w:val="baseline"/>
                <w:lang w:val="en-US" w:eastAsia="zh-CN"/>
              </w:rPr>
            </w:pPr>
          </w:p>
        </w:tc>
        <w:tc>
          <w:tcPr>
            <w:tcW w:w="2130" w:type="dxa"/>
            <w:vAlign w:val="center"/>
          </w:tcPr>
          <w:p w14:paraId="4F399953">
            <w:pPr>
              <w:keepNext w:val="0"/>
              <w:keepLines w:val="0"/>
              <w:widowControl/>
              <w:suppressLineNumbers w:val="0"/>
              <w:jc w:val="left"/>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合作能力，与小组其他成员合理分工</w:t>
            </w:r>
          </w:p>
        </w:tc>
        <w:tc>
          <w:tcPr>
            <w:tcW w:w="2131" w:type="dxa"/>
            <w:vAlign w:val="center"/>
          </w:tcPr>
          <w:p w14:paraId="269CF2CC">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c>
          <w:tcPr>
            <w:tcW w:w="2131" w:type="dxa"/>
            <w:vAlign w:val="center"/>
          </w:tcPr>
          <w:p w14:paraId="4999F3C7">
            <w:pPr>
              <w:keepNext w:val="0"/>
              <w:keepLines w:val="0"/>
              <w:widowControl/>
              <w:suppressLineNumbers w:val="0"/>
              <w:jc w:val="center"/>
              <w:textAlignment w:val="center"/>
              <w:rPr>
                <w:rFonts w:hint="eastAsia" w:ascii="宋体" w:hAnsi="宋体" w:eastAsia="宋体" w:cs="宋体"/>
                <w:b/>
                <w:sz w:val="28"/>
                <w:szCs w:val="28"/>
                <w:vertAlign w:val="baseline"/>
                <w:lang w:val="en-US" w:eastAsia="zh-CN"/>
              </w:rPr>
            </w:pPr>
            <w:r>
              <w:rPr>
                <w:rFonts w:hint="eastAsia" w:ascii="黑体" w:hAnsi="宋体" w:eastAsia="黑体" w:cs="黑体"/>
                <w:i w:val="0"/>
                <w:iCs w:val="0"/>
                <w:color w:val="000000"/>
                <w:kern w:val="0"/>
                <w:sz w:val="24"/>
                <w:szCs w:val="24"/>
                <w:u w:val="none"/>
                <w:lang w:val="en-US" w:eastAsia="zh-CN" w:bidi="ar"/>
              </w:rPr>
              <w:t>☆☆☆☆☆</w:t>
            </w:r>
          </w:p>
        </w:tc>
      </w:tr>
    </w:tbl>
    <w:p w14:paraId="2DF9BAB6">
      <w:pPr>
        <w:keepNext w:val="0"/>
        <w:keepLines w:val="0"/>
        <w:pageBreakBefore w:val="0"/>
        <w:kinsoku/>
        <w:wordWrap/>
        <w:overflowPunct/>
        <w:topLinePunct w:val="0"/>
        <w:autoSpaceDE/>
        <w:autoSpaceDN/>
        <w:bidi w:val="0"/>
        <w:adjustRightInd/>
        <w:snapToGrid/>
        <w:spacing w:line="360" w:lineRule="auto"/>
        <w:ind w:right="0"/>
        <w:jc w:val="both"/>
        <w:rPr>
          <w:rFonts w:hint="eastAsia" w:ascii="宋体" w:hAnsi="宋体" w:eastAsia="宋体" w:cs="宋体"/>
          <w:b/>
          <w:sz w:val="28"/>
          <w:szCs w:val="28"/>
          <w:lang w:val="en-US" w:eastAsia="zh-CN"/>
        </w:rPr>
      </w:pPr>
    </w:p>
    <w:p w14:paraId="2DEDCFCA">
      <w:pPr>
        <w:keepNext w:val="0"/>
        <w:keepLines w:val="0"/>
        <w:pageBreakBefore w:val="0"/>
        <w:kinsoku/>
        <w:wordWrap/>
        <w:overflowPunct/>
        <w:topLinePunct w:val="0"/>
        <w:autoSpaceDE/>
        <w:autoSpaceDN/>
        <w:bidi w:val="0"/>
        <w:adjustRightInd/>
        <w:snapToGrid/>
        <w:spacing w:line="360" w:lineRule="auto"/>
        <w:ind w:right="0"/>
        <w:jc w:val="both"/>
        <w:rPr>
          <w:rFonts w:hint="eastAsia"/>
          <w:b/>
          <w:sz w:val="32"/>
          <w:szCs w:val="32"/>
          <w:lang w:val="en-US" w:eastAsia="zh-CN"/>
        </w:rPr>
      </w:pPr>
    </w:p>
    <w:p w14:paraId="208B58BD">
      <w:pPr>
        <w:keepNext w:val="0"/>
        <w:keepLines w:val="0"/>
        <w:pageBreakBefore w:val="0"/>
        <w:kinsoku/>
        <w:wordWrap/>
        <w:overflowPunct/>
        <w:topLinePunct w:val="0"/>
        <w:autoSpaceDE/>
        <w:autoSpaceDN/>
        <w:bidi w:val="0"/>
        <w:adjustRightInd/>
        <w:snapToGrid/>
        <w:spacing w:line="360" w:lineRule="auto"/>
        <w:ind w:right="0"/>
        <w:jc w:val="both"/>
        <w:rPr>
          <w:rFonts w:hint="eastAsia"/>
          <w:b/>
          <w:sz w:val="32"/>
          <w:szCs w:val="32"/>
          <w:lang w:val="en-US" w:eastAsia="zh-CN"/>
        </w:rPr>
      </w:pPr>
    </w:p>
    <w:p w14:paraId="53A54A76">
      <w:pPr>
        <w:keepNext w:val="0"/>
        <w:keepLines w:val="0"/>
        <w:pageBreakBefore w:val="0"/>
        <w:kinsoku/>
        <w:wordWrap/>
        <w:overflowPunct/>
        <w:topLinePunct w:val="0"/>
        <w:autoSpaceDE/>
        <w:autoSpaceDN/>
        <w:bidi w:val="0"/>
        <w:adjustRightInd/>
        <w:snapToGrid/>
        <w:spacing w:line="360" w:lineRule="auto"/>
        <w:ind w:right="0"/>
        <w:jc w:val="both"/>
        <w:rPr>
          <w:rFonts w:hint="eastAsia"/>
          <w:b/>
          <w:sz w:val="28"/>
          <w:szCs w:val="28"/>
          <w:lang w:val="en-US" w:eastAsia="zh-CN"/>
        </w:rPr>
      </w:pPr>
    </w:p>
    <w:p w14:paraId="3244E60F">
      <w:pPr>
        <w:keepNext w:val="0"/>
        <w:keepLines w:val="0"/>
        <w:pageBreakBefore w:val="0"/>
        <w:kinsoku/>
        <w:wordWrap/>
        <w:overflowPunct/>
        <w:topLinePunct w:val="0"/>
        <w:autoSpaceDE/>
        <w:autoSpaceDN/>
        <w:bidi w:val="0"/>
        <w:adjustRightInd/>
        <w:snapToGrid/>
        <w:spacing w:line="360" w:lineRule="auto"/>
        <w:ind w:right="0"/>
        <w:jc w:val="center"/>
        <w:rPr>
          <w:rFonts w:hint="eastAsia"/>
          <w:b/>
          <w:sz w:val="28"/>
          <w:szCs w:val="28"/>
        </w:rPr>
      </w:pPr>
      <w:r>
        <w:rPr>
          <w:rFonts w:hint="eastAsia"/>
          <w:b/>
          <w:sz w:val="28"/>
          <w:szCs w:val="28"/>
          <w:lang w:val="en-US" w:eastAsia="zh-CN"/>
        </w:rPr>
        <w:t>表3</w:t>
      </w:r>
      <w:r>
        <w:rPr>
          <w:rFonts w:hint="eastAsia"/>
          <w:b/>
          <w:sz w:val="28"/>
          <w:szCs w:val="28"/>
        </w:rPr>
        <w:t xml:space="preserve">“能讲述故事的光影作品”成果展示评价表  </w:t>
      </w:r>
    </w:p>
    <w:p w14:paraId="3A6A2968">
      <w:pPr>
        <w:keepNext w:val="0"/>
        <w:keepLines w:val="0"/>
        <w:pageBreakBefore w:val="0"/>
        <w:kinsoku/>
        <w:wordWrap/>
        <w:overflowPunct/>
        <w:topLinePunct w:val="0"/>
        <w:autoSpaceDE/>
        <w:autoSpaceDN/>
        <w:bidi w:val="0"/>
        <w:adjustRightInd/>
        <w:snapToGrid/>
        <w:spacing w:line="360" w:lineRule="auto"/>
        <w:ind w:right="0"/>
        <w:jc w:val="right"/>
        <w:rPr>
          <w:b/>
          <w:sz w:val="28"/>
          <w:szCs w:val="28"/>
        </w:rPr>
      </w:pPr>
      <w:r>
        <w:rPr>
          <w:rFonts w:hint="eastAsia"/>
          <w:b/>
          <w:sz w:val="28"/>
          <w:szCs w:val="28"/>
        </w:rPr>
        <w:t xml:space="preserve">第______小组                                                                      </w:t>
      </w:r>
      <w:r>
        <w:rPr>
          <w:rFonts w:hint="eastAsia"/>
          <w:b/>
          <w:sz w:val="28"/>
          <w:szCs w:val="28"/>
          <w:lang w:val="en-US" w:eastAsia="zh-CN"/>
        </w:rPr>
        <w:t xml:space="preserve">                                                                                                   </w:t>
      </w:r>
      <w:r>
        <w:rPr>
          <w:rFonts w:hint="eastAsia"/>
          <w:b/>
          <w:sz w:val="28"/>
          <w:szCs w:val="28"/>
        </w:rPr>
        <w:t xml:space="preserve">  </w:t>
      </w:r>
      <w:r>
        <w:rPr>
          <w:rFonts w:hint="eastAsia"/>
          <w:b/>
          <w:sz w:val="28"/>
          <w:szCs w:val="28"/>
          <w:lang w:val="en-US" w:eastAsia="zh-CN"/>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2"/>
        <w:gridCol w:w="2821"/>
        <w:gridCol w:w="2219"/>
        <w:gridCol w:w="2220"/>
      </w:tblGrid>
      <w:tr w14:paraId="2872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77E1C6E7">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评价维度</w:t>
            </w:r>
          </w:p>
        </w:tc>
        <w:tc>
          <w:tcPr>
            <w:tcW w:w="5386" w:type="dxa"/>
            <w:vAlign w:val="center"/>
          </w:tcPr>
          <w:p w14:paraId="5F35404C">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评价标准</w:t>
            </w:r>
          </w:p>
        </w:tc>
        <w:tc>
          <w:tcPr>
            <w:tcW w:w="3189" w:type="dxa"/>
            <w:vAlign w:val="center"/>
          </w:tcPr>
          <w:p w14:paraId="66FBC4AD">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学生互评</w:t>
            </w:r>
          </w:p>
        </w:tc>
        <w:tc>
          <w:tcPr>
            <w:tcW w:w="3190" w:type="dxa"/>
            <w:vAlign w:val="center"/>
          </w:tcPr>
          <w:p w14:paraId="7B7155E3">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教师评价</w:t>
            </w:r>
          </w:p>
        </w:tc>
      </w:tr>
      <w:tr w14:paraId="42AA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4F28DD30">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科学观念</w:t>
            </w:r>
          </w:p>
        </w:tc>
        <w:tc>
          <w:tcPr>
            <w:tcW w:w="5386" w:type="dxa"/>
            <w:vAlign w:val="center"/>
          </w:tcPr>
          <w:p w14:paraId="41D89325">
            <w:pPr>
              <w:keepNext w:val="0"/>
              <w:keepLines w:val="0"/>
              <w:pageBreakBefore w:val="0"/>
              <w:kinsoku/>
              <w:wordWrap/>
              <w:overflowPunct/>
              <w:topLinePunct w:val="0"/>
              <w:autoSpaceDE/>
              <w:autoSpaceDN/>
              <w:bidi w:val="0"/>
              <w:adjustRightInd/>
              <w:snapToGrid/>
              <w:spacing w:line="360" w:lineRule="auto"/>
              <w:ind w:right="0"/>
              <w:jc w:val="left"/>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制作的光影作品，符合科学性，美观性，方便操作</w:t>
            </w:r>
          </w:p>
          <w:p w14:paraId="3FB3478A">
            <w:pPr>
              <w:keepNext w:val="0"/>
              <w:keepLines w:val="0"/>
              <w:pageBreakBefore w:val="0"/>
              <w:kinsoku/>
              <w:wordWrap/>
              <w:overflowPunct/>
              <w:topLinePunct w:val="0"/>
              <w:autoSpaceDE/>
              <w:autoSpaceDN/>
              <w:bidi w:val="0"/>
              <w:adjustRightInd/>
              <w:snapToGrid/>
              <w:spacing w:line="360" w:lineRule="auto"/>
              <w:ind w:right="0"/>
              <w:jc w:val="left"/>
              <w:rPr>
                <w:rFonts w:ascii="黑体" w:hAnsi="黑体" w:eastAsia="黑体"/>
                <w:color w:val="000000" w:themeColor="text1"/>
                <w:sz w:val="24"/>
                <w14:textFill>
                  <w14:solidFill>
                    <w14:schemeClr w14:val="tx1"/>
                  </w14:solidFill>
                </w14:textFill>
              </w:rPr>
            </w:pPr>
          </w:p>
        </w:tc>
        <w:tc>
          <w:tcPr>
            <w:tcW w:w="3189" w:type="dxa"/>
            <w:vAlign w:val="center"/>
          </w:tcPr>
          <w:p w14:paraId="001807FB">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c>
          <w:tcPr>
            <w:tcW w:w="3190" w:type="dxa"/>
            <w:vAlign w:val="center"/>
          </w:tcPr>
          <w:p w14:paraId="5AF8EE24">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r>
      <w:tr w14:paraId="4289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center"/>
          </w:tcPr>
          <w:p w14:paraId="77211A2A">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科学思维</w:t>
            </w:r>
          </w:p>
        </w:tc>
        <w:tc>
          <w:tcPr>
            <w:tcW w:w="5386" w:type="dxa"/>
            <w:vAlign w:val="center"/>
          </w:tcPr>
          <w:p w14:paraId="2213990E">
            <w:pPr>
              <w:keepNext w:val="0"/>
              <w:keepLines w:val="0"/>
              <w:pageBreakBefore w:val="0"/>
              <w:kinsoku/>
              <w:wordWrap/>
              <w:overflowPunct/>
              <w:topLinePunct w:val="0"/>
              <w:autoSpaceDE/>
              <w:autoSpaceDN/>
              <w:bidi w:val="0"/>
              <w:adjustRightInd/>
              <w:snapToGrid/>
              <w:spacing w:line="360" w:lineRule="auto"/>
              <w:ind w:right="0"/>
              <w:jc w:val="left"/>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挑选材料的合理性，编写的主题内容的适切性</w:t>
            </w:r>
          </w:p>
          <w:p w14:paraId="45C8D47A">
            <w:pPr>
              <w:keepNext w:val="0"/>
              <w:keepLines w:val="0"/>
              <w:pageBreakBefore w:val="0"/>
              <w:kinsoku/>
              <w:wordWrap/>
              <w:overflowPunct/>
              <w:topLinePunct w:val="0"/>
              <w:autoSpaceDE/>
              <w:autoSpaceDN/>
              <w:bidi w:val="0"/>
              <w:adjustRightInd/>
              <w:snapToGrid/>
              <w:spacing w:line="360" w:lineRule="auto"/>
              <w:ind w:right="0"/>
              <w:jc w:val="left"/>
              <w:rPr>
                <w:rFonts w:ascii="黑体" w:hAnsi="黑体" w:eastAsia="黑体"/>
                <w:color w:val="000000" w:themeColor="text1"/>
                <w:sz w:val="24"/>
                <w14:textFill>
                  <w14:solidFill>
                    <w14:schemeClr w14:val="tx1"/>
                  </w14:solidFill>
                </w14:textFill>
              </w:rPr>
            </w:pPr>
          </w:p>
        </w:tc>
        <w:tc>
          <w:tcPr>
            <w:tcW w:w="3189" w:type="dxa"/>
            <w:vAlign w:val="center"/>
          </w:tcPr>
          <w:p w14:paraId="1193ECA6">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c>
          <w:tcPr>
            <w:tcW w:w="3190" w:type="dxa"/>
            <w:vAlign w:val="center"/>
          </w:tcPr>
          <w:p w14:paraId="2EBFD87F">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r>
      <w:tr w14:paraId="2BD7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Merge w:val="restart"/>
            <w:vAlign w:val="center"/>
          </w:tcPr>
          <w:p w14:paraId="4ED3E522">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态度责任</w:t>
            </w:r>
          </w:p>
        </w:tc>
        <w:tc>
          <w:tcPr>
            <w:tcW w:w="5386" w:type="dxa"/>
            <w:vAlign w:val="center"/>
          </w:tcPr>
          <w:p w14:paraId="5737E71F">
            <w:pPr>
              <w:keepNext w:val="0"/>
              <w:keepLines w:val="0"/>
              <w:pageBreakBefore w:val="0"/>
              <w:kinsoku/>
              <w:wordWrap/>
              <w:overflowPunct/>
              <w:topLinePunct w:val="0"/>
              <w:autoSpaceDE/>
              <w:autoSpaceDN/>
              <w:bidi w:val="0"/>
              <w:adjustRightInd/>
              <w:snapToGrid/>
              <w:spacing w:line="360" w:lineRule="auto"/>
              <w:ind w:right="0"/>
              <w:jc w:val="left"/>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团队合作默契，能认真倾听他人观点，表达自己观点，面对挫折不气馁，积极乐观。</w:t>
            </w:r>
          </w:p>
        </w:tc>
        <w:tc>
          <w:tcPr>
            <w:tcW w:w="3189" w:type="dxa"/>
            <w:vAlign w:val="center"/>
          </w:tcPr>
          <w:p w14:paraId="63E79E2B">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c>
          <w:tcPr>
            <w:tcW w:w="3190" w:type="dxa"/>
            <w:vAlign w:val="center"/>
          </w:tcPr>
          <w:p w14:paraId="35FFBF9E">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r>
      <w:tr w14:paraId="35BB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Merge w:val="continue"/>
            <w:vAlign w:val="center"/>
          </w:tcPr>
          <w:p w14:paraId="3E451D99">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p>
        </w:tc>
        <w:tc>
          <w:tcPr>
            <w:tcW w:w="5386" w:type="dxa"/>
            <w:vAlign w:val="center"/>
          </w:tcPr>
          <w:p w14:paraId="0C0D380C">
            <w:pPr>
              <w:keepNext w:val="0"/>
              <w:keepLines w:val="0"/>
              <w:pageBreakBefore w:val="0"/>
              <w:kinsoku/>
              <w:wordWrap/>
              <w:overflowPunct/>
              <w:topLinePunct w:val="0"/>
              <w:autoSpaceDE/>
              <w:autoSpaceDN/>
              <w:bidi w:val="0"/>
              <w:adjustRightInd/>
              <w:snapToGrid/>
              <w:spacing w:line="360" w:lineRule="auto"/>
              <w:ind w:right="0"/>
              <w:jc w:val="left"/>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能认真参与光影作品评测会的讨论，发现问题，乐于交流，合作探究，提出改进方法。</w:t>
            </w:r>
          </w:p>
        </w:tc>
        <w:tc>
          <w:tcPr>
            <w:tcW w:w="3189" w:type="dxa"/>
            <w:vAlign w:val="center"/>
          </w:tcPr>
          <w:p w14:paraId="1D3DC54D">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c>
          <w:tcPr>
            <w:tcW w:w="3190" w:type="dxa"/>
            <w:vAlign w:val="center"/>
          </w:tcPr>
          <w:p w14:paraId="03D2370B">
            <w:pPr>
              <w:keepNext w:val="0"/>
              <w:keepLines w:val="0"/>
              <w:pageBreakBefore w:val="0"/>
              <w:kinsoku/>
              <w:wordWrap/>
              <w:overflowPunct/>
              <w:topLinePunct w:val="0"/>
              <w:autoSpaceDE/>
              <w:autoSpaceDN/>
              <w:bidi w:val="0"/>
              <w:adjustRightInd/>
              <w:snapToGrid/>
              <w:spacing w:line="360" w:lineRule="auto"/>
              <w:ind w:right="0"/>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w:t>
            </w:r>
          </w:p>
        </w:tc>
      </w:tr>
    </w:tbl>
    <w:p w14:paraId="76C1BDED">
      <w:pPr>
        <w:keepNext w:val="0"/>
        <w:keepLines w:val="0"/>
        <w:pageBreakBefore w:val="0"/>
        <w:pBdr>
          <w:bottom w:val="single" w:color="auto" w:sz="4" w:space="0"/>
        </w:pBdr>
        <w:kinsoku/>
        <w:wordWrap/>
        <w:overflowPunct/>
        <w:topLinePunct w:val="0"/>
        <w:autoSpaceDE/>
        <w:autoSpaceDN/>
        <w:bidi w:val="0"/>
        <w:adjustRightInd/>
        <w:snapToGrid/>
        <w:spacing w:line="360" w:lineRule="auto"/>
        <w:ind w:right="0"/>
        <w:rPr>
          <w:rFonts w:hint="eastAsia" w:ascii="黑体" w:hAnsi="黑体" w:eastAsia="黑体"/>
          <w:b/>
          <w:color w:val="000000" w:themeColor="text1"/>
          <w:sz w:val="24"/>
          <w14:textFill>
            <w14:solidFill>
              <w14:schemeClr w14:val="tx1"/>
            </w14:solidFill>
          </w14:textFill>
        </w:rPr>
      </w:pPr>
      <w:r>
        <w:rPr>
          <w:rFonts w:hint="eastAsia" w:ascii="黑体" w:hAnsi="黑体" w:eastAsia="黑体"/>
          <w:b/>
          <w:color w:val="000000" w:themeColor="text1"/>
          <w:sz w:val="24"/>
          <w14:textFill>
            <w14:solidFill>
              <w14:schemeClr w14:val="tx1"/>
            </w14:solidFill>
          </w14:textFill>
        </w:rPr>
        <w:t>问题反馈：</w:t>
      </w:r>
    </w:p>
    <w:p w14:paraId="29127C04">
      <w:pPr>
        <w:keepNext w:val="0"/>
        <w:keepLines w:val="0"/>
        <w:pageBreakBefore w:val="0"/>
        <w:pBdr>
          <w:bottom w:val="single" w:color="auto" w:sz="4" w:space="0"/>
        </w:pBdr>
        <w:kinsoku/>
        <w:wordWrap/>
        <w:overflowPunct/>
        <w:topLinePunct w:val="0"/>
        <w:autoSpaceDE/>
        <w:autoSpaceDN/>
        <w:bidi w:val="0"/>
        <w:adjustRightInd/>
        <w:snapToGrid/>
        <w:spacing w:line="360" w:lineRule="auto"/>
        <w:ind w:right="0"/>
        <w:rPr>
          <w:rFonts w:hint="eastAsia" w:ascii="黑体" w:hAnsi="黑体" w:eastAsia="黑体"/>
          <w:b/>
          <w:color w:val="000000" w:themeColor="text1"/>
          <w:sz w:val="24"/>
          <w14:textFill>
            <w14:solidFill>
              <w14:schemeClr w14:val="tx1"/>
            </w14:solidFill>
          </w14:textFill>
        </w:rPr>
      </w:pPr>
    </w:p>
    <w:p w14:paraId="317CEA0E">
      <w:pPr>
        <w:keepNext w:val="0"/>
        <w:keepLines w:val="0"/>
        <w:pageBreakBefore w:val="0"/>
        <w:pBdr>
          <w:bottom w:val="single" w:color="auto" w:sz="4" w:space="0"/>
        </w:pBdr>
        <w:kinsoku/>
        <w:wordWrap/>
        <w:overflowPunct/>
        <w:topLinePunct w:val="0"/>
        <w:autoSpaceDE/>
        <w:autoSpaceDN/>
        <w:bidi w:val="0"/>
        <w:adjustRightInd/>
        <w:snapToGrid/>
        <w:spacing w:line="360" w:lineRule="auto"/>
        <w:ind w:right="0"/>
        <w:rPr>
          <w:rFonts w:hint="eastAsia" w:ascii="黑体" w:hAnsi="黑体" w:eastAsia="黑体"/>
          <w:b/>
          <w:color w:val="000000" w:themeColor="text1"/>
          <w:sz w:val="24"/>
          <w14:textFill>
            <w14:solidFill>
              <w14:schemeClr w14:val="tx1"/>
            </w14:solidFill>
          </w14:textFill>
        </w:rPr>
      </w:pPr>
    </w:p>
    <w:p w14:paraId="2AE708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Theme="minorEastAsia" w:hAnsiTheme="minorEastAsia" w:eastAsiaTheme="minorEastAsia"/>
          <w:color w:val="000000" w:themeColor="text1"/>
          <w:sz w:val="24"/>
          <w:lang w:val="en-US" w:eastAsia="zh-CN"/>
          <w14:textFill>
            <w14:solidFill>
              <w14:schemeClr w14:val="tx1"/>
            </w14:solidFill>
          </w14:textFill>
        </w:rPr>
      </w:pPr>
    </w:p>
    <w:p w14:paraId="4F275C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default" w:asciiTheme="minorEastAsia" w:hAnsiTheme="minorEastAsia" w:eastAsiaTheme="minorEastAsia"/>
          <w:color w:val="000000" w:themeColor="text1"/>
          <w:sz w:val="24"/>
          <w:lang w:val="en-US" w:eastAsia="zh-CN"/>
          <w14:textFill>
            <w14:solidFill>
              <w14:schemeClr w14:val="tx1"/>
            </w14:solidFill>
          </w14:textFill>
        </w:rPr>
        <w:t>在核心素养时代 ，教师面临的重大挑战就是打通学科知识到核心素养的通道。从教与学的方式来看，项目</w:t>
      </w:r>
      <w:r>
        <w:rPr>
          <w:rFonts w:hint="eastAsia" w:asciiTheme="minorEastAsia" w:hAnsiTheme="minorEastAsia"/>
          <w:color w:val="000000" w:themeColor="text1"/>
          <w:sz w:val="24"/>
          <w:lang w:val="en-US" w:eastAsia="zh-CN"/>
          <w14:textFill>
            <w14:solidFill>
              <w14:schemeClr w14:val="tx1"/>
            </w14:solidFill>
          </w14:textFill>
        </w:rPr>
        <w:t>化</w:t>
      </w:r>
      <w:r>
        <w:rPr>
          <w:rFonts w:hint="default" w:asciiTheme="minorEastAsia" w:hAnsiTheme="minorEastAsia" w:eastAsiaTheme="minorEastAsia"/>
          <w:color w:val="000000" w:themeColor="text1"/>
          <w:sz w:val="24"/>
          <w:lang w:val="en-US" w:eastAsia="zh-CN"/>
          <w14:textFill>
            <w14:solidFill>
              <w14:schemeClr w14:val="tx1"/>
            </w14:solidFill>
          </w14:textFill>
        </w:rPr>
        <w:t>学习是支持学生通过解决真实问题培养素养的一种有效模式</w:t>
      </w:r>
      <w:r>
        <w:rPr>
          <w:rFonts w:hint="eastAsia" w:asciiTheme="minorEastAsia" w:hAnsiTheme="minorEastAsia"/>
          <w:color w:val="000000" w:themeColor="text1"/>
          <w:sz w:val="24"/>
          <w:lang w:val="en-US" w:eastAsia="zh-CN"/>
          <w14:textFill>
            <w14:solidFill>
              <w14:schemeClr w14:val="tx1"/>
            </w14:solidFill>
          </w14:textFill>
        </w:rPr>
        <w:t>，</w:t>
      </w:r>
      <w:r>
        <w:rPr>
          <w:rFonts w:hint="default" w:asciiTheme="minorEastAsia" w:hAnsiTheme="minorEastAsia" w:eastAsiaTheme="minorEastAsia"/>
          <w:color w:val="000000" w:themeColor="text1"/>
          <w:sz w:val="24"/>
          <w:lang w:val="en-US" w:eastAsia="zh-CN"/>
          <w14:textFill>
            <w14:solidFill>
              <w14:schemeClr w14:val="tx1"/>
            </w14:solidFill>
          </w14:textFill>
        </w:rPr>
        <w:t>对学生核心素养的培养具有重大研究和实践意义。</w:t>
      </w:r>
      <w:r>
        <w:rPr>
          <w:color w:val="0000FF"/>
          <w:spacing w:val="13"/>
          <w:position w:val="6"/>
          <w:sz w:val="11"/>
          <w:szCs w:val="11"/>
        </w:rPr>
        <w:t>［</w:t>
      </w:r>
      <w:r>
        <w:rPr>
          <w:color w:val="0000FF"/>
          <w:spacing w:val="13"/>
          <w:position w:val="6"/>
          <w:sz w:val="15"/>
          <w:szCs w:val="15"/>
        </w:rPr>
        <w:t>3</w:t>
      </w:r>
      <w:r>
        <w:rPr>
          <w:color w:val="0000FF"/>
          <w:spacing w:val="13"/>
          <w:position w:val="6"/>
          <w:sz w:val="11"/>
          <w:szCs w:val="11"/>
        </w:rPr>
        <w:t>］</w:t>
      </w:r>
      <w:r>
        <w:rPr>
          <w:rFonts w:hint="default" w:asciiTheme="minorEastAsia" w:hAnsiTheme="minorEastAsia" w:eastAsiaTheme="minorEastAsia"/>
          <w:color w:val="000000" w:themeColor="text1"/>
          <w:sz w:val="24"/>
          <w:lang w:val="en-US" w:eastAsia="zh-CN"/>
          <w14:textFill>
            <w14:solidFill>
              <w14:schemeClr w14:val="tx1"/>
            </w14:solidFill>
          </w14:textFill>
        </w:rPr>
        <w:t>小学科学教师不仅自身要具备核心素养教育观</w:t>
      </w:r>
      <w:r>
        <w:rPr>
          <w:rFonts w:hint="eastAsia" w:asciiTheme="minorEastAsia" w:hAnsiTheme="minorEastAsia"/>
          <w:color w:val="000000" w:themeColor="text1"/>
          <w:sz w:val="24"/>
          <w:lang w:val="en-US" w:eastAsia="zh-CN"/>
          <w14:textFill>
            <w14:solidFill>
              <w14:schemeClr w14:val="tx1"/>
            </w14:solidFill>
          </w14:textFill>
        </w:rPr>
        <w:t>，</w:t>
      </w:r>
      <w:r>
        <w:rPr>
          <w:rFonts w:hint="default" w:asciiTheme="minorEastAsia" w:hAnsiTheme="minorEastAsia" w:eastAsiaTheme="minorEastAsia"/>
          <w:color w:val="000000" w:themeColor="text1"/>
          <w:sz w:val="24"/>
          <w:lang w:val="en-US" w:eastAsia="zh-CN"/>
          <w14:textFill>
            <w14:solidFill>
              <w14:schemeClr w14:val="tx1"/>
            </w14:solidFill>
          </w14:textFill>
        </w:rPr>
        <w:t>而且要不断地进行项目</w:t>
      </w:r>
      <w:r>
        <w:rPr>
          <w:rFonts w:hint="eastAsia" w:asciiTheme="minorEastAsia" w:hAnsiTheme="minorEastAsia"/>
          <w:color w:val="000000" w:themeColor="text1"/>
          <w:sz w:val="24"/>
          <w:lang w:val="en-US" w:eastAsia="zh-CN"/>
          <w14:textFill>
            <w14:solidFill>
              <w14:schemeClr w14:val="tx1"/>
            </w14:solidFill>
          </w14:textFill>
        </w:rPr>
        <w:t>化</w:t>
      </w:r>
      <w:r>
        <w:rPr>
          <w:rFonts w:hint="default" w:asciiTheme="minorEastAsia" w:hAnsiTheme="minorEastAsia" w:eastAsiaTheme="minorEastAsia"/>
          <w:color w:val="000000" w:themeColor="text1"/>
          <w:sz w:val="24"/>
          <w:lang w:val="en-US" w:eastAsia="zh-CN"/>
          <w14:textFill>
            <w14:solidFill>
              <w14:schemeClr w14:val="tx1"/>
            </w14:solidFill>
          </w14:textFill>
        </w:rPr>
        <w:t>学习的理论学习和教学实践</w:t>
      </w:r>
      <w:r>
        <w:rPr>
          <w:rFonts w:hint="eastAsia" w:asciiTheme="minorEastAsia" w:hAnsiTheme="minorEastAsia"/>
          <w:color w:val="000000" w:themeColor="text1"/>
          <w:sz w:val="24"/>
          <w:lang w:val="en-US" w:eastAsia="zh-CN"/>
          <w14:textFill>
            <w14:solidFill>
              <w14:schemeClr w14:val="tx1"/>
            </w14:solidFill>
          </w14:textFill>
        </w:rPr>
        <w:t>，</w:t>
      </w:r>
      <w:r>
        <w:rPr>
          <w:rFonts w:hint="default" w:asciiTheme="minorEastAsia" w:hAnsiTheme="minorEastAsia" w:eastAsiaTheme="minorEastAsia"/>
          <w:color w:val="000000" w:themeColor="text1"/>
          <w:sz w:val="24"/>
          <w:lang w:val="en-US" w:eastAsia="zh-CN"/>
          <w14:textFill>
            <w14:solidFill>
              <w14:schemeClr w14:val="tx1"/>
            </w14:solidFill>
          </w14:textFill>
        </w:rPr>
        <w:t>持续有效地发展学生的科学核心素养。</w:t>
      </w:r>
    </w:p>
    <w:p w14:paraId="6B8F02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default" w:asciiTheme="minorEastAsia" w:hAnsiTheme="minorEastAsia" w:eastAsiaTheme="minorEastAsia"/>
          <w:color w:val="000000" w:themeColor="text1"/>
          <w:sz w:val="24"/>
          <w:lang w:val="en-US" w:eastAsia="zh-CN"/>
          <w14:textFill>
            <w14:solidFill>
              <w14:schemeClr w14:val="tx1"/>
            </w14:solidFill>
          </w14:textFill>
        </w:rPr>
        <w:t>【参考文献】</w:t>
      </w:r>
    </w:p>
    <w:p w14:paraId="2322B5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eastAsia" w:ascii="宋体" w:hAnsi="宋体" w:eastAsia="宋体" w:cs="宋体"/>
          <w:sz w:val="24"/>
          <w:szCs w:val="24"/>
          <w:lang w:val="en-US" w:eastAsia="zh-CN"/>
        </w:rPr>
      </w:pPr>
      <w:r>
        <w:rPr>
          <w:rFonts w:hint="default" w:asciiTheme="minorEastAsia" w:hAnsiTheme="minorEastAsia" w:eastAsiaTheme="minorEastAsia"/>
          <w:color w:val="000000" w:themeColor="text1"/>
          <w:sz w:val="24"/>
          <w:lang w:val="en-US" w:eastAsia="zh-CN"/>
          <w14:textFill>
            <w14:solidFill>
              <w14:schemeClr w14:val="tx1"/>
            </w14:solidFill>
          </w14:textFill>
        </w:rPr>
        <w:t xml:space="preserve">［1］ </w:t>
      </w:r>
      <w:r>
        <w:rPr>
          <w:rFonts w:hint="eastAsia" w:ascii="宋体" w:hAnsi="宋体" w:eastAsia="宋体" w:cs="宋体"/>
          <w:sz w:val="24"/>
          <w:szCs w:val="24"/>
          <w:lang w:val="en-US" w:eastAsia="zh-CN"/>
        </w:rPr>
        <w:t xml:space="preserve">中华人民共和国教育部. 义务教育科学课程标准（2022年版）[S]. 北京师范大学出版社, 2022. </w:t>
      </w:r>
    </w:p>
    <w:p w14:paraId="59F3503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default" w:asciiTheme="minorEastAsia" w:hAnsiTheme="minorEastAsia" w:eastAsiaTheme="minorEastAsia"/>
          <w:color w:val="000000" w:themeColor="text1"/>
          <w:sz w:val="24"/>
          <w:lang w:val="en-US" w:eastAsia="zh-CN"/>
          <w14:textFill>
            <w14:solidFill>
              <w14:schemeClr w14:val="tx1"/>
            </w14:solidFill>
          </w14:textFill>
        </w:rPr>
        <w:t xml:space="preserve">［2］ 李佳涛 </w:t>
      </w:r>
      <w:r>
        <w:rPr>
          <w:rFonts w:hint="eastAsia" w:asciiTheme="minorEastAsia" w:hAnsiTheme="minorEastAsia"/>
          <w:color w:val="000000" w:themeColor="text1"/>
          <w:sz w:val="24"/>
          <w:lang w:val="en-US" w:eastAsia="zh-CN"/>
          <w14:textFill>
            <w14:solidFill>
              <w14:schemeClr w14:val="tx1"/>
            </w14:solidFill>
          </w14:textFill>
        </w:rPr>
        <w:t>.</w:t>
      </w:r>
      <w:r>
        <w:rPr>
          <w:rFonts w:hint="default" w:asciiTheme="minorEastAsia" w:hAnsiTheme="minorEastAsia" w:eastAsiaTheme="minorEastAsia"/>
          <w:color w:val="000000" w:themeColor="text1"/>
          <w:sz w:val="24"/>
          <w:lang w:val="en-US" w:eastAsia="zh-CN"/>
          <w14:textFill>
            <w14:solidFill>
              <w14:schemeClr w14:val="tx1"/>
            </w14:solidFill>
          </w14:textFill>
        </w:rPr>
        <w:t>崔鸿 ．指向核心素养的小学科学质量监测试题命制［J］．基础教育课程，2018（19）： 62-65.</w:t>
      </w:r>
    </w:p>
    <w:p w14:paraId="12FCC26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default" w:asciiTheme="minorEastAsia" w:hAnsiTheme="minorEastAsia" w:eastAsiaTheme="minorEastAsia"/>
          <w:color w:val="000000" w:themeColor="text1"/>
          <w:sz w:val="24"/>
          <w:lang w:val="en-US" w:eastAsia="zh-CN"/>
          <w14:textFill>
            <w14:solidFill>
              <w14:schemeClr w14:val="tx1"/>
            </w14:solidFill>
          </w14:textFill>
        </w:rPr>
        <w:t>［3］ 夏雪梅 ．指向核心素养的项目</w:t>
      </w:r>
      <w:r>
        <w:rPr>
          <w:rFonts w:hint="eastAsia" w:asciiTheme="minorEastAsia" w:hAnsiTheme="minorEastAsia"/>
          <w:color w:val="000000" w:themeColor="text1"/>
          <w:sz w:val="24"/>
          <w:lang w:val="en-US" w:eastAsia="zh-CN"/>
          <w14:textFill>
            <w14:solidFill>
              <w14:schemeClr w14:val="tx1"/>
            </w14:solidFill>
          </w14:textFill>
        </w:rPr>
        <w:t>化</w:t>
      </w:r>
      <w:r>
        <w:rPr>
          <w:rFonts w:hint="default" w:asciiTheme="minorEastAsia" w:hAnsiTheme="minorEastAsia" w:eastAsiaTheme="minorEastAsia"/>
          <w:color w:val="000000" w:themeColor="text1"/>
          <w:sz w:val="24"/>
          <w:lang w:val="en-US" w:eastAsia="zh-CN"/>
          <w14:textFill>
            <w14:solidFill>
              <w14:schemeClr w14:val="tx1"/>
            </w14:solidFill>
          </w14:textFill>
        </w:rPr>
        <w:t>学习评价［J］．中国教育学刊，2022（9）： 50-57.</w:t>
      </w:r>
    </w:p>
    <w:p w14:paraId="05B3D4F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宋体" w:hAnsi="宋体" w:eastAsia="宋体" w:cs="宋体"/>
          <w:sz w:val="24"/>
          <w:szCs w:val="24"/>
          <w:lang w:val="en-US" w:eastAsia="zh-CN"/>
        </w:rPr>
      </w:pPr>
      <w:r>
        <w:rPr>
          <w:rFonts w:hint="default" w:asciiTheme="minorEastAsia" w:hAnsiTheme="minorEastAsia" w:eastAsiaTheme="minorEastAsia"/>
          <w:color w:val="000000" w:themeColor="text1"/>
          <w:sz w:val="24"/>
          <w:lang w:val="en-US" w:eastAsia="zh-CN"/>
          <w14:textFill>
            <w14:solidFill>
              <w14:schemeClr w14:val="tx1"/>
            </w14:solidFill>
          </w14:textFill>
        </w:rPr>
        <w:t>［</w:t>
      </w:r>
      <w:r>
        <w:rPr>
          <w:rFonts w:hint="eastAsia" w:asciiTheme="minorEastAsia" w:hAnsiTheme="minorEastAsia"/>
          <w:color w:val="000000" w:themeColor="text1"/>
          <w:sz w:val="24"/>
          <w:lang w:val="en-US" w:eastAsia="zh-CN"/>
          <w14:textFill>
            <w14:solidFill>
              <w14:schemeClr w14:val="tx1"/>
            </w14:solidFill>
          </w14:textFill>
        </w:rPr>
        <w:t>4</w:t>
      </w:r>
      <w:r>
        <w:rPr>
          <w:rFonts w:hint="default" w:asciiTheme="minorEastAsia" w:hAnsiTheme="minorEastAsia" w:eastAsiaTheme="minorEastAsia"/>
          <w:color w:val="000000" w:themeColor="text1"/>
          <w:sz w:val="24"/>
          <w:lang w:val="en-US" w:eastAsia="zh-CN"/>
          <w14:textFill>
            <w14:solidFill>
              <w14:schemeClr w14:val="tx1"/>
            </w14:solidFill>
          </w14:textFill>
        </w:rPr>
        <w:t>］</w:t>
      </w:r>
      <w:r>
        <w:rPr>
          <w:rFonts w:hint="eastAsia" w:asciiTheme="minorEastAsia" w:hAnsiTheme="minorEastAsia"/>
          <w:color w:val="000000" w:themeColor="text1"/>
          <w:sz w:val="24"/>
          <w:lang w:val="en-US" w:eastAsia="zh-CN"/>
          <w14:textFill>
            <w14:solidFill>
              <w14:schemeClr w14:val="tx1"/>
            </w14:solidFill>
          </w14:textFill>
        </w:rPr>
        <w:t xml:space="preserve"> 陈明选 .陈金艳 ．基于互联网思维的小学科学探究活动设计［J］．中国电化教育，2020（10）： 97-105.</w:t>
      </w:r>
    </w:p>
    <w:p w14:paraId="46F00F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default" w:asciiTheme="minorEastAsia" w:hAnsiTheme="minorEastAsia" w:eastAsiaTheme="minorEastAsia"/>
          <w:color w:val="000000" w:themeColor="text1"/>
          <w:sz w:val="24"/>
          <w:lang w:val="en-US" w:eastAsia="zh-CN"/>
          <w14:textFill>
            <w14:solidFill>
              <w14:schemeClr w14:val="tx1"/>
            </w14:solidFill>
          </w14:textFill>
        </w:rPr>
      </w:pPr>
    </w:p>
    <w:p w14:paraId="106CAF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firstLine="480" w:firstLineChars="200"/>
        <w:textAlignment w:val="auto"/>
        <w:rPr>
          <w:rFonts w:hint="eastAsia" w:asciiTheme="minorEastAsia" w:hAnsiTheme="minorEastAsia" w:eastAsiaTheme="minorEastAsia"/>
          <w:color w:val="000000" w:themeColor="text1"/>
          <w:sz w:val="24"/>
          <w14:textFill>
            <w14:solidFill>
              <w14:schemeClr w14:val="tx1"/>
            </w14:solidFill>
          </w14:textFill>
        </w:rPr>
      </w:pPr>
    </w:p>
    <w:p w14:paraId="262F9F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firstLine="480" w:firstLineChars="200"/>
        <w:textAlignment w:val="auto"/>
        <w:rPr>
          <w:rFonts w:hint="eastAsia" w:ascii="宋体" w:hAnsi="宋体" w:eastAsia="宋体" w:cs="宋体"/>
          <w:sz w:val="24"/>
          <w:szCs w:val="24"/>
        </w:rPr>
      </w:pPr>
    </w:p>
    <w:p w14:paraId="0C3D73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right="0"/>
        <w:textAlignment w:val="auto"/>
        <w:rPr>
          <w:rFonts w:hint="eastAsia" w:ascii="宋体" w:hAnsi="宋体" w:eastAsia="宋体" w:cs="宋体"/>
          <w:sz w:val="24"/>
          <w:szCs w:val="24"/>
        </w:rPr>
      </w:pPr>
    </w:p>
    <w:p w14:paraId="5E903A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firstLine="480" w:firstLineChars="200"/>
        <w:textAlignment w:val="auto"/>
        <w:rPr>
          <w:rFonts w:hint="eastAsia" w:ascii="宋体" w:hAnsi="宋体" w:eastAsia="宋体" w:cs="宋体"/>
          <w:sz w:val="24"/>
          <w:szCs w:val="24"/>
        </w:rPr>
      </w:pPr>
    </w:p>
    <w:p w14:paraId="62C876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firstLine="480" w:firstLineChars="200"/>
        <w:textAlignment w:val="auto"/>
        <w:rPr>
          <w:rFonts w:hint="eastAsia" w:ascii="宋体" w:hAnsi="宋体" w:eastAsia="宋体" w:cs="宋体"/>
          <w:sz w:val="24"/>
          <w:szCs w:val="24"/>
          <w:lang w:eastAsia="zh-CN"/>
        </w:rPr>
      </w:pPr>
    </w:p>
    <w:p w14:paraId="7B82E86A">
      <w:pPr>
        <w:pStyle w:val="3"/>
        <w:keepNext w:val="0"/>
        <w:keepLines w:val="0"/>
        <w:pageBreakBefore w:val="0"/>
        <w:tabs>
          <w:tab w:val="left" w:pos="4810"/>
        </w:tabs>
        <w:kinsoku/>
        <w:wordWrap/>
        <w:overflowPunct/>
        <w:topLinePunct w:val="0"/>
        <w:autoSpaceDE/>
        <w:autoSpaceDN/>
        <w:bidi w:val="0"/>
        <w:adjustRightInd/>
        <w:snapToGrid/>
        <w:spacing w:before="48" w:line="301" w:lineRule="auto"/>
        <w:ind w:right="0" w:firstLine="720" w:firstLineChars="300"/>
        <w:jc w:val="both"/>
        <w:rPr>
          <w:rFonts w:hint="default" w:ascii="宋体" w:hAnsi="宋体" w:eastAsia="宋体" w:cs="宋体"/>
          <w:b w:val="0"/>
          <w:bCs w:val="0"/>
          <w:sz w:val="24"/>
          <w:szCs w:val="24"/>
          <w:lang w:val="en-US" w:eastAsia="zh-CN"/>
        </w:rPr>
      </w:pPr>
    </w:p>
    <w:p w14:paraId="141AF051">
      <w:pPr>
        <w:pStyle w:val="3"/>
        <w:keepNext w:val="0"/>
        <w:keepLines w:val="0"/>
        <w:pageBreakBefore w:val="0"/>
        <w:tabs>
          <w:tab w:val="left" w:pos="4810"/>
        </w:tabs>
        <w:kinsoku/>
        <w:wordWrap/>
        <w:overflowPunct/>
        <w:topLinePunct w:val="0"/>
        <w:autoSpaceDE/>
        <w:autoSpaceDN/>
        <w:bidi w:val="0"/>
        <w:adjustRightInd/>
        <w:snapToGrid/>
        <w:spacing w:before="48" w:line="301" w:lineRule="auto"/>
        <w:ind w:left="3" w:right="0" w:firstLine="395"/>
        <w:jc w:val="both"/>
        <w:rPr>
          <w:rFonts w:hint="eastAsia" w:ascii="宋体" w:hAnsi="宋体" w:eastAsia="宋体" w:cs="宋体"/>
          <w:b w:val="0"/>
          <w:bCs w:val="0"/>
          <w:sz w:val="24"/>
          <w:szCs w:val="24"/>
          <w:lang w:val="en-US" w:eastAsia="zh-CN"/>
        </w:rPr>
      </w:pPr>
    </w:p>
    <w:p w14:paraId="79B7BF57">
      <w:pPr>
        <w:keepNext w:val="0"/>
        <w:keepLines w:val="0"/>
        <w:pageBreakBefore w:val="0"/>
        <w:kinsoku/>
        <w:wordWrap/>
        <w:overflowPunct/>
        <w:topLinePunct w:val="0"/>
        <w:autoSpaceDE/>
        <w:autoSpaceDN/>
        <w:bidi w:val="0"/>
        <w:adjustRightInd/>
        <w:snapToGrid/>
        <w:ind w:right="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72099D"/>
    <w:rsid w:val="00C91C98"/>
    <w:rsid w:val="00FD27E8"/>
    <w:rsid w:val="01B666C0"/>
    <w:rsid w:val="025A529E"/>
    <w:rsid w:val="049F51EA"/>
    <w:rsid w:val="055609B8"/>
    <w:rsid w:val="060F2843"/>
    <w:rsid w:val="064E336B"/>
    <w:rsid w:val="06F4288E"/>
    <w:rsid w:val="07416A2C"/>
    <w:rsid w:val="08AF5C17"/>
    <w:rsid w:val="08C04285"/>
    <w:rsid w:val="0B002861"/>
    <w:rsid w:val="0B27418B"/>
    <w:rsid w:val="0BB73761"/>
    <w:rsid w:val="0BE5207C"/>
    <w:rsid w:val="0C596848"/>
    <w:rsid w:val="0CA5180B"/>
    <w:rsid w:val="0DB252EF"/>
    <w:rsid w:val="0E341099"/>
    <w:rsid w:val="0E4A78BA"/>
    <w:rsid w:val="0EEB090A"/>
    <w:rsid w:val="0F340C24"/>
    <w:rsid w:val="10066A65"/>
    <w:rsid w:val="10E5667A"/>
    <w:rsid w:val="10EB474A"/>
    <w:rsid w:val="118C11EC"/>
    <w:rsid w:val="11B00A36"/>
    <w:rsid w:val="1278771C"/>
    <w:rsid w:val="12A61E39"/>
    <w:rsid w:val="13675A6C"/>
    <w:rsid w:val="138A52B7"/>
    <w:rsid w:val="14CB202B"/>
    <w:rsid w:val="1783099B"/>
    <w:rsid w:val="18D56FD4"/>
    <w:rsid w:val="18EB2C9C"/>
    <w:rsid w:val="1A3345AB"/>
    <w:rsid w:val="1AC217DA"/>
    <w:rsid w:val="1B9F0216"/>
    <w:rsid w:val="1C7B495B"/>
    <w:rsid w:val="1C896A53"/>
    <w:rsid w:val="1CC12613"/>
    <w:rsid w:val="1D756FD8"/>
    <w:rsid w:val="1DCF0496"/>
    <w:rsid w:val="1DFB572F"/>
    <w:rsid w:val="1E103769"/>
    <w:rsid w:val="1F247119"/>
    <w:rsid w:val="2000527E"/>
    <w:rsid w:val="202F7912"/>
    <w:rsid w:val="203B0065"/>
    <w:rsid w:val="2072099D"/>
    <w:rsid w:val="21001695"/>
    <w:rsid w:val="2116462E"/>
    <w:rsid w:val="21E464DA"/>
    <w:rsid w:val="229B0896"/>
    <w:rsid w:val="232402E6"/>
    <w:rsid w:val="23E045EC"/>
    <w:rsid w:val="24B03D22"/>
    <w:rsid w:val="26D94B49"/>
    <w:rsid w:val="27644345"/>
    <w:rsid w:val="28BE09DB"/>
    <w:rsid w:val="28FE60D3"/>
    <w:rsid w:val="297B3FCB"/>
    <w:rsid w:val="2A306574"/>
    <w:rsid w:val="2A4B5348"/>
    <w:rsid w:val="2B1926A1"/>
    <w:rsid w:val="2B894753"/>
    <w:rsid w:val="2B9B40AD"/>
    <w:rsid w:val="2C2E4F21"/>
    <w:rsid w:val="2C4209CD"/>
    <w:rsid w:val="2C520C10"/>
    <w:rsid w:val="2CA3146B"/>
    <w:rsid w:val="2CAD4098"/>
    <w:rsid w:val="2CCB09C2"/>
    <w:rsid w:val="2CE33F5E"/>
    <w:rsid w:val="2CE51A84"/>
    <w:rsid w:val="306E3B3E"/>
    <w:rsid w:val="30773D10"/>
    <w:rsid w:val="30DC4F4C"/>
    <w:rsid w:val="313666F5"/>
    <w:rsid w:val="31D166A8"/>
    <w:rsid w:val="31DD48DC"/>
    <w:rsid w:val="337E053C"/>
    <w:rsid w:val="33B90386"/>
    <w:rsid w:val="33EF56EA"/>
    <w:rsid w:val="34656E52"/>
    <w:rsid w:val="36903D75"/>
    <w:rsid w:val="36B6623F"/>
    <w:rsid w:val="376A3770"/>
    <w:rsid w:val="38172D0E"/>
    <w:rsid w:val="38C34C43"/>
    <w:rsid w:val="3A465B2C"/>
    <w:rsid w:val="3AC84793"/>
    <w:rsid w:val="3AEA64B7"/>
    <w:rsid w:val="3D1D2B74"/>
    <w:rsid w:val="3D606F05"/>
    <w:rsid w:val="3DD1395F"/>
    <w:rsid w:val="3DEC0798"/>
    <w:rsid w:val="3E38578C"/>
    <w:rsid w:val="3E4D56DB"/>
    <w:rsid w:val="3EF24AD6"/>
    <w:rsid w:val="3F0163B3"/>
    <w:rsid w:val="3F3423F7"/>
    <w:rsid w:val="40880C4C"/>
    <w:rsid w:val="42556F28"/>
    <w:rsid w:val="431A1904"/>
    <w:rsid w:val="43906FFB"/>
    <w:rsid w:val="447F4114"/>
    <w:rsid w:val="45140D01"/>
    <w:rsid w:val="46024FFD"/>
    <w:rsid w:val="462C3E28"/>
    <w:rsid w:val="46701BA1"/>
    <w:rsid w:val="46765DD0"/>
    <w:rsid w:val="4698770F"/>
    <w:rsid w:val="46CB6EEA"/>
    <w:rsid w:val="46F506BE"/>
    <w:rsid w:val="478D4D9A"/>
    <w:rsid w:val="47B40579"/>
    <w:rsid w:val="485E04E5"/>
    <w:rsid w:val="48D32E8F"/>
    <w:rsid w:val="48E25D84"/>
    <w:rsid w:val="49E21F81"/>
    <w:rsid w:val="4AA76173"/>
    <w:rsid w:val="4AEC002A"/>
    <w:rsid w:val="4B2B0B52"/>
    <w:rsid w:val="4B2C5595"/>
    <w:rsid w:val="4C285091"/>
    <w:rsid w:val="4CF773C7"/>
    <w:rsid w:val="4D622825"/>
    <w:rsid w:val="4D9C7AE5"/>
    <w:rsid w:val="4E42314D"/>
    <w:rsid w:val="4F3501F1"/>
    <w:rsid w:val="50BD7B22"/>
    <w:rsid w:val="520C2D5F"/>
    <w:rsid w:val="52151C14"/>
    <w:rsid w:val="525F10E1"/>
    <w:rsid w:val="527A1452"/>
    <w:rsid w:val="534E4309"/>
    <w:rsid w:val="535350EA"/>
    <w:rsid w:val="54505185"/>
    <w:rsid w:val="547075D6"/>
    <w:rsid w:val="55A559A5"/>
    <w:rsid w:val="585A65D3"/>
    <w:rsid w:val="58A74EFF"/>
    <w:rsid w:val="594352B9"/>
    <w:rsid w:val="596A6210"/>
    <w:rsid w:val="5A0F515A"/>
    <w:rsid w:val="5AA220B4"/>
    <w:rsid w:val="5C936557"/>
    <w:rsid w:val="5FB75195"/>
    <w:rsid w:val="601B0D3D"/>
    <w:rsid w:val="60D84E80"/>
    <w:rsid w:val="619012B7"/>
    <w:rsid w:val="6241391E"/>
    <w:rsid w:val="644722BC"/>
    <w:rsid w:val="653D3504"/>
    <w:rsid w:val="65984BDE"/>
    <w:rsid w:val="666008EE"/>
    <w:rsid w:val="669845CF"/>
    <w:rsid w:val="67B22C7C"/>
    <w:rsid w:val="67C41CBB"/>
    <w:rsid w:val="69315862"/>
    <w:rsid w:val="6A0740E0"/>
    <w:rsid w:val="6B113469"/>
    <w:rsid w:val="6C9A56E0"/>
    <w:rsid w:val="6CD75FEC"/>
    <w:rsid w:val="6D150177"/>
    <w:rsid w:val="6EBE56B6"/>
    <w:rsid w:val="6ED529FF"/>
    <w:rsid w:val="709B37D5"/>
    <w:rsid w:val="716167CC"/>
    <w:rsid w:val="71755DD4"/>
    <w:rsid w:val="71AC3EEB"/>
    <w:rsid w:val="73124222"/>
    <w:rsid w:val="741915E0"/>
    <w:rsid w:val="744B56A6"/>
    <w:rsid w:val="7487479C"/>
    <w:rsid w:val="7491561A"/>
    <w:rsid w:val="74B33AC3"/>
    <w:rsid w:val="75587EE6"/>
    <w:rsid w:val="75A71183"/>
    <w:rsid w:val="760836BA"/>
    <w:rsid w:val="774D3A7A"/>
    <w:rsid w:val="77FF76BB"/>
    <w:rsid w:val="78160310"/>
    <w:rsid w:val="783B7D77"/>
    <w:rsid w:val="791F1447"/>
    <w:rsid w:val="798E530E"/>
    <w:rsid w:val="79F95F08"/>
    <w:rsid w:val="7A560E23"/>
    <w:rsid w:val="7A5E2B5E"/>
    <w:rsid w:val="7C9F38DE"/>
    <w:rsid w:val="7D63567A"/>
    <w:rsid w:val="7DEB7B49"/>
    <w:rsid w:val="7E6E2528"/>
    <w:rsid w:val="7F954211"/>
    <w:rsid w:val="7FBF303C"/>
    <w:rsid w:val="7FD36AE7"/>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19"/>
      <w:szCs w:val="19"/>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楷体" w:hAnsi="楷体" w:eastAsia="楷体" w:cs="楷体"/>
      <w:sz w:val="16"/>
      <w:szCs w:val="16"/>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4927</Words>
  <Characters>4990</Characters>
  <Lines>0</Lines>
  <Paragraphs>0</Paragraphs>
  <TotalTime>0</TotalTime>
  <ScaleCrop>false</ScaleCrop>
  <LinksUpToDate>false</LinksUpToDate>
  <CharactersWithSpaces>5237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2025-04-04T08:20:00Z</dcterms:created>
  <dc:creator>greeeen</dc:creator>
  <cp:lastModifiedBy>greeeen</cp:lastModifiedBy>
  <cp:lastPrinted>2025-04-07T00:42:00Z</cp:lastPrinted>
  <dcterms:modified xsi:type="dcterms:W3CDTF">2025-04-07T02:24:49Z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0F164607383F46E98BE6B63C1004D3A6_13</vt:lpwstr>
  </property>
  <property fmtid="{D5CDD505-2E9C-101B-9397-08002B2CF9AE}" pid="4" name="KSOTemplateDocerSaveRecord">
    <vt:lpwstr>eyJoZGlkIjoiMzAyNTUyYjAxZDQ5YTk5NjhhZDAzMTEyMWQxMmMwYzkiLCJ1c2VySWQiOiIzMjI3NTE2MjIifQ==</vt:lpwstr>
  </property>
</Properties>
</file>