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B3B5E">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rPr>
          <w:rFonts w:hint="eastAsia" w:ascii="黑体" w:hAnsi="黑体" w:eastAsia="黑体" w:cs="黑体"/>
          <w:sz w:val="24"/>
          <w:szCs w:val="24"/>
        </w:rPr>
      </w:pPr>
      <w:r>
        <w:rPr>
          <w:rFonts w:hint="eastAsia" w:ascii="黑体" w:hAnsi="黑体" w:eastAsia="黑体" w:cs="黑体"/>
          <w:sz w:val="24"/>
          <w:szCs w:val="24"/>
        </w:rPr>
        <w:t>从“语言形式”走向“情理内核”的教学探索</w:t>
      </w:r>
    </w:p>
    <w:p w14:paraId="24D3F352">
      <w:pPr>
        <w:keepNext w:val="0"/>
        <w:keepLines w:val="0"/>
        <w:pageBreakBefore w:val="0"/>
        <w:kinsoku/>
        <w:wordWrap/>
        <w:overflowPunct/>
        <w:topLinePunct w:val="0"/>
        <w:autoSpaceDE/>
        <w:autoSpaceDN/>
        <w:bidi w:val="0"/>
        <w:adjustRightInd/>
        <w:spacing w:line="360" w:lineRule="auto"/>
        <w:ind w:firstLine="480" w:firstLineChars="200"/>
        <w:jc w:val="center"/>
        <w:textAlignment w:val="auto"/>
        <w:rPr>
          <w:rFonts w:hint="eastAsia" w:ascii="黑体" w:hAnsi="黑体" w:eastAsia="黑体" w:cs="黑体"/>
          <w:sz w:val="24"/>
          <w:szCs w:val="24"/>
        </w:rPr>
      </w:pPr>
      <w:r>
        <w:rPr>
          <w:rFonts w:hint="eastAsia" w:ascii="黑体" w:hAnsi="黑体" w:eastAsia="黑体" w:cs="黑体"/>
          <w:sz w:val="24"/>
          <w:szCs w:val="24"/>
        </w:rPr>
        <w:t>——以《自然选择的证明》与《宇宙的边疆》为例</w:t>
      </w:r>
    </w:p>
    <w:p w14:paraId="0CF63487">
      <w:pPr>
        <w:pStyle w:val="2"/>
        <w:keepNext w:val="0"/>
        <w:keepLines w:val="0"/>
        <w:pageBreakBefore w:val="0"/>
        <w:kinsoku/>
        <w:wordWrap/>
        <w:overflowPunct/>
        <w:topLinePunct w:val="0"/>
        <w:autoSpaceDE/>
        <w:autoSpaceDN/>
        <w:bidi w:val="0"/>
        <w:adjustRightInd/>
        <w:spacing w:line="360" w:lineRule="auto"/>
        <w:textAlignment w:val="auto"/>
        <w:rPr>
          <w:rFonts w:hint="eastAsia" w:ascii="楷体" w:hAnsi="楷体" w:eastAsia="楷体" w:cs="黑体"/>
          <w:b w:val="0"/>
          <w:bCs w:val="0"/>
          <w:kern w:val="0"/>
          <w:sz w:val="21"/>
          <w:szCs w:val="21"/>
        </w:rPr>
      </w:pPr>
      <w:r>
        <w:rPr>
          <w:rFonts w:hint="eastAsia" w:ascii="楷体" w:hAnsi="楷体" w:eastAsia="楷体" w:cs="黑体"/>
          <w:b w:val="0"/>
          <w:bCs w:val="0"/>
          <w:kern w:val="0"/>
          <w:sz w:val="21"/>
          <w:szCs w:val="21"/>
        </w:rPr>
        <w:t>上海市零陵中学  段宁宁</w:t>
      </w:r>
    </w:p>
    <w:p w14:paraId="5CF63280">
      <w:pPr>
        <w:pStyle w:val="10"/>
        <w:keepNext w:val="0"/>
        <w:keepLines w:val="0"/>
        <w:pageBreakBefore w:val="0"/>
        <w:widowControl/>
        <w:kinsoku/>
        <w:wordWrap/>
        <w:overflowPunct/>
        <w:topLinePunct w:val="0"/>
        <w:autoSpaceDE/>
        <w:autoSpaceDN/>
        <w:bidi w:val="0"/>
        <w:adjustRightInd/>
        <w:spacing w:line="360" w:lineRule="auto"/>
        <w:textAlignment w:val="auto"/>
        <w:rPr>
          <w:sz w:val="21"/>
          <w:szCs w:val="21"/>
        </w:rPr>
      </w:pPr>
      <w:r>
        <w:rPr>
          <w:rFonts w:hint="eastAsia" w:cs="Songti SC" w:asciiTheme="minorEastAsia" w:hAnsiTheme="minorEastAsia" w:eastAsiaTheme="minorEastAsia"/>
          <w:b/>
          <w:bCs/>
          <w:sz w:val="21"/>
          <w:szCs w:val="21"/>
        </w:rPr>
        <w:t xml:space="preserve">[摘 要] </w:t>
      </w:r>
      <w:r>
        <w:rPr>
          <w:rFonts w:hint="eastAsia" w:cs="Songti SC" w:asciiTheme="minorEastAsia" w:hAnsiTheme="minorEastAsia" w:eastAsiaTheme="minorEastAsia"/>
          <w:sz w:val="21"/>
          <w:szCs w:val="21"/>
          <w:lang w:eastAsia="zh-Hans"/>
        </w:rPr>
        <w:t>本文以高中语文教材中《自然选择的证明》和《宇宙的边疆》两篇课文为例，探讨如何通过句式分析促进学生对科学与文化论著的理解，揭示语言形式与</w:t>
      </w:r>
      <w:r>
        <w:rPr>
          <w:rFonts w:hint="eastAsia" w:cs="Songti SC" w:asciiTheme="minorEastAsia" w:hAnsiTheme="minorEastAsia" w:eastAsiaTheme="minorEastAsia"/>
          <w:sz w:val="21"/>
          <w:szCs w:val="21"/>
        </w:rPr>
        <w:t>文本“</w:t>
      </w:r>
      <w:r>
        <w:rPr>
          <w:rFonts w:hint="eastAsia" w:cs="Songti SC" w:asciiTheme="minorEastAsia" w:hAnsiTheme="minorEastAsia" w:eastAsiaTheme="minorEastAsia"/>
          <w:sz w:val="21"/>
          <w:szCs w:val="21"/>
          <w:lang w:eastAsia="zh-Hans"/>
        </w:rPr>
        <w:t>情理内核</w:t>
      </w:r>
      <w:r>
        <w:rPr>
          <w:rFonts w:hint="eastAsia" w:cs="Songti SC" w:asciiTheme="minorEastAsia" w:hAnsiTheme="minorEastAsia" w:eastAsiaTheme="minorEastAsia"/>
          <w:sz w:val="21"/>
          <w:szCs w:val="21"/>
        </w:rPr>
        <w:t>”</w:t>
      </w:r>
      <w:r>
        <w:rPr>
          <w:rFonts w:hint="eastAsia" w:cs="Songti SC" w:asciiTheme="minorEastAsia" w:hAnsiTheme="minorEastAsia" w:eastAsiaTheme="minorEastAsia"/>
          <w:sz w:val="21"/>
          <w:szCs w:val="21"/>
          <w:lang w:eastAsia="zh-Hans"/>
        </w:rPr>
        <w:t>之间的深层联系。通过具体的课堂实践，文章分析了从句式角度进行教学实践的必要性，</w:t>
      </w:r>
      <w:r>
        <w:rPr>
          <w:rFonts w:hint="eastAsia" w:cs="Songti SC" w:asciiTheme="minorEastAsia" w:hAnsiTheme="minorEastAsia" w:eastAsiaTheme="minorEastAsia"/>
          <w:sz w:val="21"/>
          <w:szCs w:val="21"/>
        </w:rPr>
        <w:t>呈现</w:t>
      </w:r>
      <w:r>
        <w:rPr>
          <w:rFonts w:hint="eastAsia" w:cs="Songti SC" w:asciiTheme="minorEastAsia" w:hAnsiTheme="minorEastAsia" w:eastAsiaTheme="minorEastAsia"/>
          <w:sz w:val="21"/>
          <w:szCs w:val="21"/>
          <w:lang w:eastAsia="zh-Hans"/>
        </w:rPr>
        <w:t>了教学活动的设计方法，并对教学实效进行了总结与反思。</w:t>
      </w:r>
      <w:r>
        <w:rPr>
          <w:rFonts w:hint="eastAsia" w:cs="Songti SC" w:asciiTheme="minorEastAsia" w:hAnsiTheme="minorEastAsia" w:eastAsiaTheme="minorEastAsia"/>
          <w:sz w:val="21"/>
          <w:szCs w:val="21"/>
        </w:rPr>
        <w:t>实践</w:t>
      </w:r>
      <w:r>
        <w:rPr>
          <w:rFonts w:hint="eastAsia" w:cs="Songti SC" w:asciiTheme="minorEastAsia" w:hAnsiTheme="minorEastAsia" w:eastAsiaTheme="minorEastAsia"/>
          <w:sz w:val="21"/>
          <w:szCs w:val="21"/>
          <w:lang w:eastAsia="zh-Hans"/>
        </w:rPr>
        <w:t>表明，通过</w:t>
      </w:r>
      <w:r>
        <w:rPr>
          <w:rFonts w:hint="eastAsia" w:cs="Songti SC" w:asciiTheme="minorEastAsia" w:hAnsiTheme="minorEastAsia" w:eastAsiaTheme="minorEastAsia"/>
          <w:sz w:val="21"/>
          <w:szCs w:val="21"/>
        </w:rPr>
        <w:t>对句式结构的</w:t>
      </w:r>
      <w:r>
        <w:rPr>
          <w:rFonts w:hint="eastAsia" w:cs="Songti SC" w:asciiTheme="minorEastAsia" w:hAnsiTheme="minorEastAsia" w:eastAsiaTheme="minorEastAsia"/>
          <w:sz w:val="21"/>
          <w:szCs w:val="21"/>
          <w:lang w:eastAsia="zh-Hans"/>
        </w:rPr>
        <w:t>分析</w:t>
      </w:r>
      <w:r>
        <w:rPr>
          <w:rFonts w:hint="eastAsia" w:cs="Songti SC" w:asciiTheme="minorEastAsia" w:hAnsiTheme="minorEastAsia" w:eastAsiaTheme="minorEastAsia"/>
          <w:sz w:val="21"/>
          <w:szCs w:val="21"/>
        </w:rPr>
        <w:t>、</w:t>
      </w:r>
      <w:r>
        <w:rPr>
          <w:rFonts w:hint="eastAsia" w:cs="Songti SC" w:asciiTheme="minorEastAsia" w:hAnsiTheme="minorEastAsia" w:eastAsiaTheme="minorEastAsia"/>
          <w:sz w:val="21"/>
          <w:szCs w:val="21"/>
          <w:lang w:eastAsia="zh-Hans"/>
        </w:rPr>
        <w:t>对</w:t>
      </w:r>
      <w:r>
        <w:rPr>
          <w:rFonts w:hint="eastAsia" w:cs="Songti SC" w:asciiTheme="minorEastAsia" w:hAnsiTheme="minorEastAsia" w:eastAsiaTheme="minorEastAsia"/>
          <w:sz w:val="21"/>
          <w:szCs w:val="21"/>
        </w:rPr>
        <w:t>语言形式</w:t>
      </w:r>
      <w:r>
        <w:rPr>
          <w:rFonts w:hint="eastAsia" w:cs="Songti SC" w:asciiTheme="minorEastAsia" w:hAnsiTheme="minorEastAsia" w:eastAsiaTheme="minorEastAsia"/>
          <w:sz w:val="21"/>
          <w:szCs w:val="21"/>
          <w:lang w:eastAsia="zh-Hans"/>
        </w:rPr>
        <w:t>与写作内容、</w:t>
      </w:r>
      <w:r>
        <w:rPr>
          <w:rFonts w:hint="eastAsia" w:cs="Songti SC" w:asciiTheme="minorEastAsia" w:hAnsiTheme="minorEastAsia" w:eastAsiaTheme="minorEastAsia"/>
          <w:sz w:val="21"/>
          <w:szCs w:val="21"/>
        </w:rPr>
        <w:t>文本</w:t>
      </w:r>
      <w:r>
        <w:rPr>
          <w:rFonts w:hint="eastAsia" w:cs="Songti SC" w:asciiTheme="minorEastAsia" w:hAnsiTheme="minorEastAsia" w:eastAsiaTheme="minorEastAsia"/>
          <w:sz w:val="21"/>
          <w:szCs w:val="21"/>
          <w:lang w:eastAsia="zh-Hans"/>
        </w:rPr>
        <w:t>整体写作意图之间的关系进行探讨，</w:t>
      </w:r>
      <w:r>
        <w:rPr>
          <w:rFonts w:hint="eastAsia" w:cs="Songti SC" w:asciiTheme="minorEastAsia" w:hAnsiTheme="minorEastAsia" w:eastAsiaTheme="minorEastAsia"/>
          <w:sz w:val="21"/>
          <w:szCs w:val="21"/>
        </w:rPr>
        <w:t>提升了</w:t>
      </w:r>
      <w:r>
        <w:rPr>
          <w:rFonts w:hint="eastAsia" w:cs="Songti SC" w:asciiTheme="minorEastAsia" w:hAnsiTheme="minorEastAsia" w:eastAsiaTheme="minorEastAsia"/>
          <w:sz w:val="21"/>
          <w:szCs w:val="21"/>
          <w:lang w:eastAsia="zh-Hans"/>
        </w:rPr>
        <w:t>学生</w:t>
      </w:r>
      <w:r>
        <w:rPr>
          <w:rFonts w:hint="eastAsia" w:cs="Songti SC" w:asciiTheme="minorEastAsia" w:hAnsiTheme="minorEastAsia" w:eastAsiaTheme="minorEastAsia"/>
          <w:sz w:val="21"/>
          <w:szCs w:val="21"/>
        </w:rPr>
        <w:t>对科学文化论著</w:t>
      </w:r>
      <w:r>
        <w:rPr>
          <w:rFonts w:hint="eastAsia" w:cs="Songti SC" w:asciiTheme="minorEastAsia" w:hAnsiTheme="minorEastAsia" w:eastAsiaTheme="minorEastAsia"/>
          <w:sz w:val="21"/>
          <w:szCs w:val="21"/>
          <w:lang w:eastAsia="zh-Hans"/>
        </w:rPr>
        <w:t>的语言理解能力、逻辑思维能力。</w:t>
      </w:r>
    </w:p>
    <w:p w14:paraId="6033E0A8">
      <w:pPr>
        <w:pStyle w:val="10"/>
        <w:keepNext w:val="0"/>
        <w:keepLines w:val="0"/>
        <w:pageBreakBefore w:val="0"/>
        <w:widowControl/>
        <w:kinsoku/>
        <w:wordWrap/>
        <w:overflowPunct/>
        <w:topLinePunct w:val="0"/>
        <w:autoSpaceDE/>
        <w:autoSpaceDN/>
        <w:bidi w:val="0"/>
        <w:adjustRightInd/>
        <w:spacing w:line="360" w:lineRule="auto"/>
        <w:textAlignment w:val="auto"/>
        <w:rPr>
          <w:rFonts w:hint="eastAsia" w:cs="Songti SC" w:asciiTheme="minorEastAsia" w:hAnsiTheme="minorEastAsia" w:eastAsiaTheme="minorEastAsia"/>
          <w:sz w:val="21"/>
          <w:szCs w:val="21"/>
        </w:rPr>
      </w:pPr>
      <w:r>
        <w:rPr>
          <w:rFonts w:hint="eastAsia" w:cs="Songti SC" w:asciiTheme="minorEastAsia" w:hAnsiTheme="minorEastAsia" w:eastAsiaTheme="minorEastAsia"/>
          <w:b/>
          <w:bCs/>
          <w:sz w:val="21"/>
          <w:szCs w:val="21"/>
        </w:rPr>
        <w:t xml:space="preserve">[关键词] </w:t>
      </w:r>
      <w:r>
        <w:rPr>
          <w:rFonts w:hint="eastAsia" w:cs="Songti SC" w:asciiTheme="minorEastAsia" w:hAnsiTheme="minorEastAsia" w:eastAsiaTheme="minorEastAsia"/>
          <w:sz w:val="21"/>
          <w:szCs w:val="21"/>
          <w:lang w:eastAsia="zh-Hans"/>
        </w:rPr>
        <w:t>句式分析；</w:t>
      </w:r>
      <w:r>
        <w:rPr>
          <w:rFonts w:hint="eastAsia" w:cs="Songti SC" w:asciiTheme="minorEastAsia" w:hAnsiTheme="minorEastAsia" w:eastAsiaTheme="minorEastAsia"/>
          <w:sz w:val="21"/>
          <w:szCs w:val="21"/>
        </w:rPr>
        <w:t>语言</w:t>
      </w:r>
      <w:r>
        <w:rPr>
          <w:rFonts w:hint="eastAsia" w:cs="Songti SC" w:asciiTheme="minorEastAsia" w:hAnsiTheme="minorEastAsia" w:eastAsiaTheme="minorEastAsia"/>
          <w:sz w:val="21"/>
          <w:szCs w:val="21"/>
          <w:lang w:val="en-US" w:eastAsia="zh-CN"/>
        </w:rPr>
        <w:t>形式</w:t>
      </w:r>
      <w:r>
        <w:rPr>
          <w:rFonts w:hint="eastAsia" w:cs="Songti SC" w:asciiTheme="minorEastAsia" w:hAnsiTheme="minorEastAsia" w:eastAsiaTheme="minorEastAsia"/>
          <w:sz w:val="21"/>
          <w:szCs w:val="21"/>
          <w:lang w:eastAsia="zh-Hans"/>
        </w:rPr>
        <w:t>；</w:t>
      </w:r>
      <w:r>
        <w:rPr>
          <w:rFonts w:hint="eastAsia" w:cs="Songti SC" w:asciiTheme="minorEastAsia" w:hAnsiTheme="minorEastAsia" w:eastAsiaTheme="minorEastAsia"/>
          <w:sz w:val="21"/>
          <w:szCs w:val="21"/>
          <w:lang w:val="en-US" w:eastAsia="zh-CN"/>
        </w:rPr>
        <w:t>科学思维</w:t>
      </w:r>
      <w:bookmarkStart w:id="1" w:name="_GoBack"/>
      <w:bookmarkEnd w:id="1"/>
      <w:r>
        <w:rPr>
          <w:rFonts w:hint="eastAsia" w:cs="Songti SC" w:asciiTheme="minorEastAsia" w:hAnsiTheme="minorEastAsia" w:eastAsiaTheme="minorEastAsia"/>
          <w:sz w:val="21"/>
          <w:szCs w:val="21"/>
          <w:lang w:eastAsia="zh-Hans"/>
        </w:rPr>
        <w:t>；</w:t>
      </w:r>
      <w:r>
        <w:rPr>
          <w:rFonts w:hint="eastAsia" w:cs="Songti SC" w:asciiTheme="minorEastAsia" w:hAnsiTheme="minorEastAsia" w:eastAsiaTheme="minorEastAsia"/>
          <w:sz w:val="21"/>
          <w:szCs w:val="21"/>
        </w:rPr>
        <w:t>科学文化论著研习</w:t>
      </w:r>
    </w:p>
    <w:p w14:paraId="1E3318EF">
      <w:pPr>
        <w:keepNext w:val="0"/>
        <w:keepLines w:val="0"/>
        <w:pageBreakBefore w:val="0"/>
        <w:kinsoku/>
        <w:wordWrap/>
        <w:overflowPunct/>
        <w:topLinePunct w:val="0"/>
        <w:autoSpaceDE/>
        <w:autoSpaceDN/>
        <w:bidi w:val="0"/>
        <w:adjustRightInd/>
        <w:spacing w:line="360" w:lineRule="auto"/>
        <w:ind w:firstLine="420" w:firstLineChars="200"/>
        <w:textAlignment w:val="auto"/>
        <w:rPr>
          <w:sz w:val="21"/>
          <w:szCs w:val="21"/>
        </w:rPr>
      </w:pPr>
      <w:r>
        <w:rPr>
          <w:rFonts w:hint="eastAsia" w:ascii="宋体" w:hAnsi="宋体" w:cs="宋体"/>
          <w:szCs w:val="21"/>
        </w:rPr>
        <w:t>高中语文教学中，科学与文化论著研习任务群占据着重要地位。作为现代文学与科学的桥梁，自然科学论著和科普文章不仅传递科学知识，还通过独特的语言形式帮助读者理解复杂的科学思维。尤其在自然科学论著的教学中，</w:t>
      </w:r>
      <w:bookmarkStart w:id="0" w:name="OLE_LINK2"/>
      <w:r>
        <w:rPr>
          <w:rFonts w:hint="eastAsia" w:ascii="宋体" w:hAnsi="宋体" w:cs="宋体"/>
          <w:szCs w:val="21"/>
        </w:rPr>
        <w:t>语言形式的使用对于展示科学推理、激发学生的思考</w:t>
      </w:r>
      <w:bookmarkEnd w:id="0"/>
      <w:r>
        <w:rPr>
          <w:rFonts w:hint="eastAsia" w:ascii="宋体" w:hAnsi="宋体" w:cs="宋体"/>
          <w:szCs w:val="21"/>
        </w:rPr>
        <w:t>至关重要。本文将以统编版高中语文教材中《自然选择的证明》和《宇宙的边疆》两篇文章为例，探讨不同句式结构如何支撑科学推理与作者情感的传达，揭示从“语言形式”到“情理内核”的探究过程。</w:t>
      </w:r>
    </w:p>
    <w:p w14:paraId="413E7FAC">
      <w:pPr>
        <w:pStyle w:val="8"/>
        <w:keepNext w:val="0"/>
        <w:keepLines w:val="0"/>
        <w:pageBreakBefore w:val="0"/>
        <w:numPr>
          <w:ilvl w:val="0"/>
          <w:numId w:val="1"/>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立足课标，确定教学方向</w:t>
      </w:r>
    </w:p>
    <w:p w14:paraId="3094469B">
      <w:pPr>
        <w:pStyle w:val="7"/>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sz w:val="21"/>
          <w:szCs w:val="21"/>
          <w:lang w:eastAsia="zh-CN"/>
        </w:rPr>
      </w:pPr>
      <w:r>
        <w:rPr>
          <w:rFonts w:hint="eastAsia"/>
          <w:sz w:val="21"/>
          <w:szCs w:val="21"/>
          <w:lang w:eastAsia="zh-CN"/>
        </w:rPr>
        <w:t>统编高中语文教材选择性必修下册第四单元为自然科学论著单元，选编了《自然选择的证明》《宇宙的边疆》《天文学上的旷世之争》等篇目，属于“科学与文化论著研习”任务群。</w:t>
      </w:r>
      <w:r>
        <w:rPr>
          <w:sz w:val="21"/>
          <w:szCs w:val="21"/>
          <w:lang w:eastAsia="zh-CN"/>
        </w:rPr>
        <w:t>根据《普通高中语文课程标准（</w:t>
      </w:r>
      <w:r>
        <w:rPr>
          <w:rFonts w:hint="eastAsia"/>
          <w:sz w:val="21"/>
          <w:szCs w:val="21"/>
          <w:lang w:eastAsia="zh-CN"/>
        </w:rPr>
        <w:t>2020年修订</w:t>
      </w:r>
      <w:r>
        <w:rPr>
          <w:sz w:val="21"/>
          <w:szCs w:val="21"/>
          <w:lang w:eastAsia="zh-CN"/>
        </w:rPr>
        <w:t>版）》的</w:t>
      </w:r>
      <w:r>
        <w:rPr>
          <w:rFonts w:hint="eastAsia"/>
          <w:sz w:val="21"/>
          <w:szCs w:val="21"/>
          <w:lang w:eastAsia="zh-CN"/>
        </w:rPr>
        <w:t>教学提示</w:t>
      </w:r>
      <w:r>
        <w:rPr>
          <w:sz w:val="21"/>
          <w:szCs w:val="21"/>
          <w:lang w:eastAsia="zh-CN"/>
        </w:rPr>
        <w:t>，</w:t>
      </w:r>
      <w:r>
        <w:rPr>
          <w:rFonts w:hint="eastAsia"/>
          <w:sz w:val="21"/>
          <w:szCs w:val="21"/>
          <w:lang w:eastAsia="zh-CN"/>
        </w:rPr>
        <w:t>该</w:t>
      </w:r>
      <w:r>
        <w:rPr>
          <w:sz w:val="21"/>
          <w:szCs w:val="21"/>
          <w:lang w:eastAsia="zh-CN"/>
        </w:rPr>
        <w:t>任务群</w:t>
      </w:r>
      <w:r>
        <w:rPr>
          <w:rFonts w:hint="eastAsia"/>
          <w:sz w:val="21"/>
          <w:szCs w:val="21"/>
          <w:lang w:eastAsia="zh-CN"/>
        </w:rPr>
        <w:t>教学除应关注对文本中基本概念和观点的了解，对文本结构脉络、论证逻辑的理清之外，还需</w:t>
      </w:r>
      <w:r>
        <w:rPr>
          <w:rFonts w:hint="eastAsia" w:ascii="楷体" w:hAnsi="楷体" w:eastAsia="楷体" w:cs="楷体"/>
          <w:sz w:val="21"/>
          <w:szCs w:val="21"/>
          <w:lang w:eastAsia="zh-CN"/>
        </w:rPr>
        <w:t>“引导学生体会和把握科学与文化论著表达的特点，提高阅读、理解科学与文化论著的能力。”</w:t>
      </w:r>
    </w:p>
    <w:p w14:paraId="74326D5D">
      <w:pPr>
        <w:pStyle w:val="7"/>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spacing w:val="9"/>
          <w:sz w:val="21"/>
          <w:szCs w:val="21"/>
          <w:lang w:eastAsia="zh-CN"/>
        </w:rPr>
      </w:pPr>
      <w:r>
        <w:rPr>
          <w:rFonts w:hint="eastAsia"/>
          <w:sz w:val="21"/>
          <w:szCs w:val="21"/>
          <w:lang w:eastAsia="zh-CN"/>
        </w:rPr>
        <w:t>对应到教材，本单元的单元导语指出，师生应在学习中“</w:t>
      </w:r>
      <w:r>
        <w:rPr>
          <w:rFonts w:hint="eastAsia" w:ascii="楷体" w:hAnsi="楷体" w:eastAsia="楷体" w:cs="楷体"/>
          <w:sz w:val="21"/>
          <w:szCs w:val="21"/>
          <w:lang w:eastAsia="zh-CN"/>
        </w:rPr>
        <w:t>体会自然科学论著的表述方式和语言特点，学习科学的思维方式和研究方法</w:t>
      </w:r>
      <w:r>
        <w:rPr>
          <w:rFonts w:hint="eastAsia"/>
          <w:sz w:val="21"/>
          <w:szCs w:val="21"/>
          <w:lang w:eastAsia="zh-CN"/>
        </w:rPr>
        <w:t>”</w:t>
      </w:r>
      <w:r>
        <w:rPr>
          <w:rFonts w:hint="eastAsia" w:ascii="楷体" w:hAnsi="楷体" w:eastAsia="楷体" w:cs="楷体"/>
          <w:sz w:val="21"/>
          <w:szCs w:val="21"/>
          <w:lang w:eastAsia="zh-CN"/>
        </w:rPr>
        <w:t>，</w:t>
      </w:r>
      <w:r>
        <w:rPr>
          <w:rFonts w:hint="eastAsia"/>
          <w:sz w:val="21"/>
          <w:szCs w:val="21"/>
          <w:lang w:eastAsia="zh-CN"/>
        </w:rPr>
        <w:t>《自然选择的证明》《宇宙的边疆》两篇文本的课后学习提示也提出：</w:t>
      </w:r>
      <w:r>
        <w:rPr>
          <w:rFonts w:hint="eastAsia" w:ascii="楷体" w:hAnsi="楷体" w:eastAsia="楷体" w:cs="楷体"/>
          <w:sz w:val="21"/>
          <w:szCs w:val="21"/>
          <w:lang w:eastAsia="zh-CN"/>
        </w:rPr>
        <w:t>“这两篇文章分属学术论著和科普作品，表达方式、语言风格都有所不同，学习时要注意比较和思考。”</w:t>
      </w:r>
      <w:r>
        <w:rPr>
          <w:rFonts w:hint="eastAsia"/>
          <w:spacing w:val="9"/>
          <w:sz w:val="21"/>
          <w:szCs w:val="21"/>
          <w:lang w:eastAsia="zh-CN"/>
        </w:rPr>
        <w:t>可见在科学文化论著的学习中，品读语言仍是推动学生把握文本丰富复杂的信息、理解作者的严密逻辑，进而对作品所体现的周到全面的分析、条理清晰的思维形成充分感受的重要手段。</w:t>
      </w:r>
    </w:p>
    <w:p w14:paraId="1ACE3469">
      <w:pPr>
        <w:pStyle w:val="7"/>
        <w:keepNext w:val="0"/>
        <w:keepLines w:val="0"/>
        <w:pageBreakBefore w:val="0"/>
        <w:kinsoku/>
        <w:wordWrap/>
        <w:overflowPunct/>
        <w:topLinePunct w:val="0"/>
        <w:autoSpaceDE/>
        <w:autoSpaceDN/>
        <w:bidi w:val="0"/>
        <w:adjustRightInd/>
        <w:spacing w:line="360" w:lineRule="auto"/>
        <w:ind w:firstLine="456" w:firstLineChars="200"/>
        <w:textAlignment w:val="auto"/>
        <w:rPr>
          <w:rFonts w:hint="eastAsia" w:ascii="楷体" w:hAnsi="楷体" w:eastAsia="楷体" w:cs="楷体"/>
          <w:spacing w:val="9"/>
          <w:sz w:val="21"/>
          <w:szCs w:val="21"/>
          <w:lang w:eastAsia="zh-CN"/>
        </w:rPr>
      </w:pPr>
      <w:r>
        <w:rPr>
          <w:rFonts w:hint="eastAsia"/>
          <w:spacing w:val="9"/>
          <w:sz w:val="21"/>
          <w:szCs w:val="21"/>
          <w:lang w:eastAsia="zh-CN"/>
        </w:rPr>
        <w:t>本单元研习任务即围绕“如何阅读自然科学论著”给出提示，可以通过把握句式结构来掌握句意、体会文本的语言特点：</w:t>
      </w:r>
      <w:r>
        <w:rPr>
          <w:rFonts w:hint="eastAsia" w:ascii="楷体" w:hAnsi="楷体" w:eastAsia="楷体" w:cs="楷体"/>
          <w:spacing w:val="9"/>
          <w:sz w:val="21"/>
          <w:szCs w:val="21"/>
          <w:lang w:eastAsia="zh-CN"/>
        </w:rPr>
        <w:t>“自然科学论著的语言讲求严密、准确，复杂的思路常常用长句子来表述。阅读长句子，要把握句子的基本成分或结构层次，理解句中的重要概念，进而掌握句子所要表达的意思。”</w:t>
      </w:r>
    </w:p>
    <w:p w14:paraId="65FBB6F3">
      <w:pPr>
        <w:pStyle w:val="8"/>
        <w:keepNext w:val="0"/>
        <w:keepLines w:val="0"/>
        <w:pageBreakBefore w:val="0"/>
        <w:numPr>
          <w:ilvl w:val="0"/>
          <w:numId w:val="1"/>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基于学情，确定教学目标</w:t>
      </w:r>
    </w:p>
    <w:p w14:paraId="2131A0A7">
      <w:pPr>
        <w:keepNext w:val="0"/>
        <w:keepLines w:val="0"/>
        <w:pageBreakBefore w:val="0"/>
        <w:kinsoku/>
        <w:wordWrap/>
        <w:overflowPunct/>
        <w:topLinePunct w:val="0"/>
        <w:autoSpaceDE/>
        <w:autoSpaceDN/>
        <w:bidi w:val="0"/>
        <w:adjustRightInd/>
        <w:spacing w:line="360" w:lineRule="auto"/>
        <w:ind w:firstLine="456" w:firstLineChars="200"/>
        <w:textAlignment w:val="auto"/>
        <w:rPr>
          <w:rFonts w:cs="宋体"/>
          <w:spacing w:val="9"/>
          <w:szCs w:val="21"/>
        </w:rPr>
      </w:pPr>
      <w:r>
        <w:rPr>
          <w:rFonts w:hint="eastAsia" w:cs="宋体"/>
          <w:spacing w:val="9"/>
          <w:szCs w:val="21"/>
        </w:rPr>
        <w:t>根据以上教学提示，研究《自然选择的证明》与《宇宙的边疆》选文的语言特征，可以发现，前者的句式结构以长句为主，长单句、多重复句的出现频次较高，作者通过长句的运用不仅构建了复杂严密的推理结构，而且通过各个分句之间的递进、条件、因果关系等层次结构使其论证过程更加条理化；相较而言，后者的句式结构以短句为主，结构简单，深入浅出，具有较强专业性的同时讲究科普作品的可读性，也符合电视解说词的表达特点。除此以外，《自然选择的证明》通过严密的长句展现了作者对自然选择理论的坚定信念及反驳“特创论”的鲜明立场；而《宇宙的边疆》的短句展现了作者对宇宙无穷奥秘的敬畏与和对生命的感慨。因而，两篇文本的句式特征及其中蕴含的情理不尽相同。</w:t>
      </w:r>
    </w:p>
    <w:p w14:paraId="327479A2">
      <w:pPr>
        <w:keepNext w:val="0"/>
        <w:keepLines w:val="0"/>
        <w:pageBreakBefore w:val="0"/>
        <w:kinsoku/>
        <w:wordWrap/>
        <w:overflowPunct/>
        <w:topLinePunct w:val="0"/>
        <w:autoSpaceDE/>
        <w:autoSpaceDN/>
        <w:bidi w:val="0"/>
        <w:adjustRightInd/>
        <w:spacing w:line="360" w:lineRule="auto"/>
        <w:ind w:firstLine="456" w:firstLineChars="200"/>
        <w:jc w:val="left"/>
        <w:textAlignment w:val="auto"/>
      </w:pPr>
      <w:r>
        <w:rPr>
          <w:rFonts w:hint="eastAsia" w:ascii="宋体" w:hAnsi="宋体" w:cs="宋体"/>
          <w:spacing w:val="9"/>
          <w:szCs w:val="21"/>
        </w:rPr>
        <w:t>高三学生已比较熟悉说明文、议论文等文体，对说明、论述、阐释的一般方法基本掌握，对归纳和演绎、假说和证明等思想方法和思维过程也有一定了解。但学生对于《自然选择的证明》这样专业性、理论性强的经典科学论著的阅读经验不足，难以掌握这类文本在思维和表达上的综合性，在初读时文本时普遍存在畏难情绪。就其文本的语言表达而言，学生对长句的句意理解上存在明显的障碍，深入探究文本表达特点的难度较大。</w:t>
      </w:r>
    </w:p>
    <w:p w14:paraId="4F647FDE">
      <w:pPr>
        <w:pStyle w:val="7"/>
        <w:keepNext w:val="0"/>
        <w:keepLines w:val="0"/>
        <w:pageBreakBefore w:val="0"/>
        <w:kinsoku/>
        <w:wordWrap/>
        <w:overflowPunct/>
        <w:topLinePunct w:val="0"/>
        <w:autoSpaceDE/>
        <w:autoSpaceDN/>
        <w:bidi w:val="0"/>
        <w:adjustRightInd/>
        <w:spacing w:line="360" w:lineRule="auto"/>
        <w:ind w:firstLine="456" w:firstLineChars="200"/>
        <w:textAlignment w:val="auto"/>
        <w:rPr>
          <w:rFonts w:hint="eastAsia"/>
          <w:spacing w:val="9"/>
          <w:sz w:val="21"/>
          <w:szCs w:val="21"/>
          <w:lang w:eastAsia="zh-CN"/>
        </w:rPr>
      </w:pPr>
      <w:r>
        <w:rPr>
          <w:rFonts w:hint="eastAsia"/>
          <w:spacing w:val="9"/>
          <w:sz w:val="21"/>
          <w:szCs w:val="21"/>
          <w:lang w:eastAsia="zh-CN"/>
        </w:rPr>
        <w:t>在这一背景下，引导学生关注科学论著文本的句式特征，在读懂句意的基础上，进而思考作者选用不同句式以表情达意的意图所在，是在本课教学设计中需要注意重点和难点。由此可以确定我们的教学目标：通过分析《自然选择的证明》句式特征，读懂句意，归纳读懂长句的方法，感受长句背后缜密的逻辑思维；通过将《自然选择的证明》与《宇宙的边疆》的句式结构进行比较分析，进而归纳作者倾注在不同句式背后蕴含的更为深层的多方考量。</w:t>
      </w:r>
    </w:p>
    <w:p w14:paraId="26DEE6F4">
      <w:pPr>
        <w:pStyle w:val="8"/>
        <w:keepNext w:val="0"/>
        <w:keepLines w:val="0"/>
        <w:pageBreakBefore w:val="0"/>
        <w:numPr>
          <w:ilvl w:val="0"/>
          <w:numId w:val="1"/>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关键学习任务设计及实施策略</w:t>
      </w:r>
    </w:p>
    <w:p w14:paraId="2C1D7343">
      <w:pPr>
        <w:pStyle w:val="8"/>
        <w:keepNext w:val="0"/>
        <w:keepLines w:val="0"/>
        <w:pageBreakBefore w:val="0"/>
        <w:numPr>
          <w:ilvl w:val="0"/>
          <w:numId w:val="2"/>
        </w:numPr>
        <w:kinsoku/>
        <w:wordWrap/>
        <w:overflowPunct/>
        <w:topLinePunct w:val="0"/>
        <w:autoSpaceDE/>
        <w:autoSpaceDN/>
        <w:bidi w:val="0"/>
        <w:adjustRightInd/>
        <w:spacing w:after="0" w:afterAutospacing="0" w:line="360" w:lineRule="auto"/>
        <w:ind w:firstLineChars="0"/>
        <w:jc w:val="both"/>
        <w:textAlignment w:val="auto"/>
        <w:rPr>
          <w:rFonts w:hint="eastAsia" w:hAnsi="宋体" w:cs="宋体"/>
          <w:b/>
          <w:bCs/>
          <w:spacing w:val="9"/>
          <w:lang w:eastAsia="zh-CN"/>
        </w:rPr>
      </w:pPr>
      <w:r>
        <w:rPr>
          <w:rFonts w:hint="eastAsia" w:cs="Songti SC Bold" w:asciiTheme="minorEastAsia" w:hAnsiTheme="minorEastAsia" w:eastAsiaTheme="minorEastAsia"/>
          <w:b/>
          <w:bCs/>
          <w:sz w:val="24"/>
          <w:szCs w:val="24"/>
          <w:lang w:eastAsia="zh-CN"/>
        </w:rPr>
        <w:t>问句观察及分类，初步感知句式特征及作用</w:t>
      </w:r>
    </w:p>
    <w:p w14:paraId="70F221F7">
      <w:pPr>
        <w:keepNext w:val="0"/>
        <w:keepLines w:val="0"/>
        <w:pageBreakBefore w:val="0"/>
        <w:widowControl/>
        <w:kinsoku/>
        <w:wordWrap/>
        <w:overflowPunct/>
        <w:topLinePunct w:val="0"/>
        <w:autoSpaceDE/>
        <w:autoSpaceDN/>
        <w:bidi w:val="0"/>
        <w:adjustRightInd/>
        <w:spacing w:line="360" w:lineRule="auto"/>
        <w:ind w:left="420"/>
        <w:jc w:val="left"/>
        <w:textAlignment w:val="auto"/>
        <w:rPr>
          <w:rFonts w:ascii="宋体" w:hAnsi="宋体" w:cs="宋体"/>
          <w:b/>
          <w:bCs/>
          <w:spacing w:val="9"/>
          <w:szCs w:val="21"/>
        </w:rPr>
      </w:pPr>
      <w:r>
        <w:rPr>
          <w:rFonts w:hint="eastAsia" w:ascii="宋体" w:hAnsi="宋体" w:cs="宋体"/>
          <w:b/>
          <w:bCs/>
          <w:spacing w:val="9"/>
          <w:szCs w:val="21"/>
        </w:rPr>
        <w:t>课堂学习开始之前，教师以典型段落为例设计预习。</w:t>
      </w:r>
    </w:p>
    <w:p w14:paraId="2557194F">
      <w:pPr>
        <w:keepNext w:val="0"/>
        <w:keepLines w:val="0"/>
        <w:pageBreakBefore w:val="0"/>
        <w:widowControl/>
        <w:kinsoku/>
        <w:wordWrap/>
        <w:overflowPunct/>
        <w:topLinePunct w:val="0"/>
        <w:autoSpaceDE/>
        <w:autoSpaceDN/>
        <w:bidi w:val="0"/>
        <w:adjustRightInd/>
        <w:spacing w:line="360" w:lineRule="auto"/>
        <w:ind w:left="420" w:firstLineChars="0"/>
        <w:jc w:val="left"/>
        <w:textAlignment w:val="auto"/>
        <w:rPr>
          <w:rFonts w:hint="eastAsia" w:ascii="宋体" w:hAnsi="宋体" w:cs="宋体"/>
          <w:spacing w:val="9"/>
          <w:szCs w:val="21"/>
        </w:rPr>
      </w:pPr>
      <w:r>
        <w:rPr>
          <w:rFonts w:hint="eastAsia" w:ascii="宋体" w:hAnsi="宋体" w:cs="宋体"/>
          <w:b/>
          <w:bCs/>
          <w:spacing w:val="9"/>
          <w:szCs w:val="21"/>
        </w:rPr>
        <w:t>预习任务：</w:t>
      </w:r>
      <w:r>
        <w:rPr>
          <w:rFonts w:hint="eastAsia" w:ascii="宋体" w:hAnsi="宋体" w:cs="宋体"/>
          <w:b w:val="0"/>
          <w:bCs w:val="0"/>
          <w:spacing w:val="9"/>
          <w:szCs w:val="21"/>
        </w:rPr>
        <w:t>梳理</w:t>
      </w:r>
      <w:r>
        <w:rPr>
          <w:rFonts w:hint="eastAsia" w:ascii="宋体" w:hAnsi="宋体" w:cs="宋体"/>
          <w:spacing w:val="9"/>
          <w:szCs w:val="21"/>
        </w:rPr>
        <w:t>《自然选择的证明》第二段中出现问句类型、句意重点、表达作用，归纳句子的共性和差异。</w:t>
      </w:r>
    </w:p>
    <w:p w14:paraId="7EBD8A9A">
      <w:pPr>
        <w:keepNext w:val="0"/>
        <w:keepLines w:val="0"/>
        <w:pageBreakBefore w:val="0"/>
        <w:widowControl/>
        <w:kinsoku/>
        <w:wordWrap/>
        <w:overflowPunct/>
        <w:topLinePunct w:val="0"/>
        <w:autoSpaceDE/>
        <w:autoSpaceDN/>
        <w:bidi w:val="0"/>
        <w:adjustRightInd/>
        <w:spacing w:line="360" w:lineRule="auto"/>
        <w:ind w:firstLine="684" w:firstLineChars="300"/>
        <w:jc w:val="left"/>
        <w:textAlignment w:val="auto"/>
        <w:rPr>
          <w:rFonts w:hint="eastAsia" w:ascii="宋体" w:hAnsi="宋体" w:cs="宋体"/>
          <w:spacing w:val="9"/>
          <w:szCs w:val="21"/>
        </w:rPr>
      </w:pPr>
      <w:r>
        <w:rPr>
          <w:rFonts w:hint="eastAsia" w:ascii="宋体" w:hAnsi="宋体" w:cs="宋体"/>
          <w:spacing w:val="9"/>
          <w:szCs w:val="21"/>
        </w:rPr>
        <w:t>预习任务旨在引导学生关注文本中问句的表达作用，初步感知作者缜密的运思过程，为之后的课堂学习中从“问句特征分析”迁移到“长句特征分析”这一任务做准备。也借助此学习任务帮助学生熟悉文本的主要概念、基本观点、作者立场，整体感知文本内容和结构。</w:t>
      </w:r>
    </w:p>
    <w:p w14:paraId="62C1ED3E">
      <w:pPr>
        <w:keepNext w:val="0"/>
        <w:keepLines w:val="0"/>
        <w:pageBreakBefore w:val="0"/>
        <w:widowControl/>
        <w:kinsoku/>
        <w:wordWrap/>
        <w:overflowPunct/>
        <w:topLinePunct w:val="0"/>
        <w:autoSpaceDE/>
        <w:autoSpaceDN/>
        <w:bidi w:val="0"/>
        <w:adjustRightInd/>
        <w:spacing w:line="360" w:lineRule="auto"/>
        <w:ind w:firstLine="684" w:firstLineChars="300"/>
        <w:jc w:val="left"/>
        <w:textAlignment w:val="auto"/>
        <w:rPr>
          <w:rFonts w:hint="eastAsia" w:ascii="宋体" w:hAnsi="宋体" w:cs="宋体"/>
          <w:b/>
          <w:bCs/>
          <w:spacing w:val="9"/>
          <w:szCs w:val="21"/>
        </w:rPr>
      </w:pPr>
      <w:r>
        <w:rPr>
          <w:rFonts w:hint="eastAsia" w:ascii="宋体" w:hAnsi="宋体" w:cs="宋体"/>
          <w:spacing w:val="9"/>
          <w:szCs w:val="21"/>
        </w:rPr>
        <w:t>教师可借助结构化表格</w:t>
      </w:r>
      <w:r>
        <w:t>学习</w:t>
      </w:r>
      <w:r>
        <w:rPr>
          <w:rFonts w:hint="eastAsia"/>
        </w:rPr>
        <w:t>支架帮助学生</w:t>
      </w:r>
      <w:r>
        <w:t>搭建思维阶梯</w:t>
      </w:r>
      <w:r>
        <w:rPr>
          <w:rFonts w:hint="eastAsia"/>
        </w:rPr>
        <w:t>，示例如下：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2359"/>
        <w:gridCol w:w="1231"/>
        <w:gridCol w:w="1203"/>
        <w:gridCol w:w="2595"/>
      </w:tblGrid>
      <w:tr w14:paraId="508A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0" w:type="auto"/>
          </w:tcPr>
          <w:p w14:paraId="51D844EA">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序号</w:t>
            </w:r>
          </w:p>
        </w:tc>
        <w:tc>
          <w:tcPr>
            <w:tcW w:w="2358" w:type="dxa"/>
          </w:tcPr>
          <w:p w14:paraId="39F20566">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问句</w:t>
            </w:r>
          </w:p>
        </w:tc>
        <w:tc>
          <w:tcPr>
            <w:tcW w:w="1231" w:type="dxa"/>
          </w:tcPr>
          <w:p w14:paraId="34AA566D">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问句类型</w:t>
            </w:r>
          </w:p>
        </w:tc>
        <w:tc>
          <w:tcPr>
            <w:tcW w:w="0" w:type="auto"/>
          </w:tcPr>
          <w:p w14:paraId="1465224B">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句意重点</w:t>
            </w:r>
          </w:p>
        </w:tc>
        <w:tc>
          <w:tcPr>
            <w:tcW w:w="0" w:type="auto"/>
          </w:tcPr>
          <w:p w14:paraId="5759A08E">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表达作用</w:t>
            </w:r>
          </w:p>
        </w:tc>
      </w:tr>
      <w:tr w14:paraId="64C7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0" w:type="auto"/>
          </w:tcPr>
          <w:p w14:paraId="4D1198F9">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例1</w:t>
            </w:r>
          </w:p>
        </w:tc>
        <w:tc>
          <w:tcPr>
            <w:tcW w:w="2358" w:type="dxa"/>
          </w:tcPr>
          <w:p w14:paraId="4A676745">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r>
              <w:rPr>
                <w:rFonts w:hint="eastAsia" w:ascii="宋体" w:hAnsi="宋体" w:eastAsia="宋体" w:cs="宋体"/>
                <w:kern w:val="0"/>
                <w:szCs w:val="21"/>
                <w:lang w:bidi="ar"/>
              </w:rPr>
              <w:t>如果动植物确有变异......即所谓最适者生存呢？</w:t>
            </w:r>
          </w:p>
        </w:tc>
        <w:tc>
          <w:tcPr>
            <w:tcW w:w="1231" w:type="dxa"/>
          </w:tcPr>
          <w:p w14:paraId="56CC5CD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r>
              <w:rPr>
                <w:rFonts w:hint="eastAsia" w:ascii="宋体" w:hAnsi="宋体" w:cs="宋体"/>
              </w:rPr>
              <w:t>(假设性)</w:t>
            </w:r>
            <w:r>
              <w:t>反问句</w:t>
            </w:r>
          </w:p>
        </w:tc>
        <w:tc>
          <w:tcPr>
            <w:tcW w:w="0" w:type="auto"/>
          </w:tcPr>
          <w:p w14:paraId="040A68B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r>
              <w:t>微小变异的累积必然性</w:t>
            </w:r>
          </w:p>
        </w:tc>
        <w:tc>
          <w:tcPr>
            <w:tcW w:w="0" w:type="auto"/>
          </w:tcPr>
          <w:p w14:paraId="37A41AAA">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r>
              <w:t>以逻辑归谬反驳特创论，</w:t>
            </w:r>
            <w:r>
              <w:rPr>
                <w:rFonts w:hint="eastAsia"/>
              </w:rPr>
              <w:t>提出关键概念，</w:t>
            </w:r>
            <w:r>
              <w:t>强化论证权威性</w:t>
            </w:r>
          </w:p>
        </w:tc>
      </w:tr>
      <w:tr w14:paraId="78E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0" w:type="auto"/>
          </w:tcPr>
          <w:p w14:paraId="3B60539B">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2</w:t>
            </w:r>
          </w:p>
        </w:tc>
        <w:tc>
          <w:tcPr>
            <w:tcW w:w="2358" w:type="dxa"/>
          </w:tcPr>
          <w:p w14:paraId="194E389C">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1231" w:type="dxa"/>
          </w:tcPr>
          <w:p w14:paraId="456B3C67">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0" w:type="auto"/>
          </w:tcPr>
          <w:p w14:paraId="40C15731">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0" w:type="auto"/>
          </w:tcPr>
          <w:p w14:paraId="2542A6EA">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r>
      <w:tr w14:paraId="53FB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0" w:type="auto"/>
          </w:tcPr>
          <w:p w14:paraId="502FCD5D">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3</w:t>
            </w:r>
          </w:p>
        </w:tc>
        <w:tc>
          <w:tcPr>
            <w:tcW w:w="2358" w:type="dxa"/>
          </w:tcPr>
          <w:p w14:paraId="21096F0E">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1231" w:type="dxa"/>
          </w:tcPr>
          <w:p w14:paraId="3528D10C">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0" w:type="auto"/>
          </w:tcPr>
          <w:p w14:paraId="2E9814B1">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c>
          <w:tcPr>
            <w:tcW w:w="0" w:type="auto"/>
          </w:tcPr>
          <w:p w14:paraId="0237D086">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r>
      <w:tr w14:paraId="1832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0" w:type="auto"/>
          </w:tcPr>
          <w:p w14:paraId="216D03E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归纳</w:t>
            </w:r>
          </w:p>
          <w:p w14:paraId="4EF1414C">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spacing w:val="9"/>
              </w:rPr>
            </w:pPr>
            <w:r>
              <w:rPr>
                <w:rFonts w:hint="eastAsia" w:ascii="宋体" w:hAnsi="宋体" w:cs="宋体"/>
                <w:spacing w:val="9"/>
              </w:rPr>
              <w:t>（共性、差异）</w:t>
            </w:r>
          </w:p>
        </w:tc>
        <w:tc>
          <w:tcPr>
            <w:tcW w:w="0" w:type="auto"/>
            <w:gridSpan w:val="4"/>
          </w:tcPr>
          <w:p w14:paraId="0DFF5A29">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spacing w:val="9"/>
              </w:rPr>
            </w:pPr>
          </w:p>
        </w:tc>
      </w:tr>
    </w:tbl>
    <w:p w14:paraId="223F79B5">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cs="Songti SC Bold" w:asciiTheme="minorEastAsia" w:hAnsiTheme="minorEastAsia" w:eastAsiaTheme="minorEastAsia"/>
          <w:b/>
          <w:bCs/>
        </w:rPr>
      </w:pPr>
      <w:r>
        <w:rPr>
          <w:rFonts w:hint="eastAsia"/>
        </w:rPr>
        <w:t>表格学习支架中预设学生问句的分析维度（问句类型、句意重点、表达作用），以帮助学生明确预习具体要求、降低预习难度，同时借以引导学生在预习阶段即建立“形式—功能”的初步关联。分析问句的句意重点也促使学生主动拆解问句的句式成分，缓解因句式复杂导致的畏难心理，为课堂深度探究长句特征及功能奠基。</w:t>
      </w:r>
    </w:p>
    <w:p w14:paraId="51E8FAEB">
      <w:pPr>
        <w:pStyle w:val="8"/>
        <w:keepNext w:val="0"/>
        <w:keepLines w:val="0"/>
        <w:pageBreakBefore w:val="0"/>
        <w:numPr>
          <w:ilvl w:val="0"/>
          <w:numId w:val="2"/>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长句分析及比较，深入明晰句式特征与功能</w:t>
      </w:r>
    </w:p>
    <w:p w14:paraId="491318AB">
      <w:pPr>
        <w:pStyle w:val="8"/>
        <w:keepNext w:val="0"/>
        <w:keepLines w:val="0"/>
        <w:pageBreakBefore w:val="0"/>
        <w:kinsoku/>
        <w:wordWrap/>
        <w:overflowPunct/>
        <w:topLinePunct w:val="0"/>
        <w:autoSpaceDE/>
        <w:autoSpaceDN/>
        <w:bidi w:val="0"/>
        <w:adjustRightInd/>
        <w:spacing w:after="0" w:afterAutospacing="0" w:line="360" w:lineRule="auto"/>
        <w:ind w:left="420" w:firstLine="0" w:firstLineChars="0"/>
        <w:jc w:val="both"/>
        <w:textAlignment w:val="auto"/>
        <w:rPr>
          <w:rFonts w:hAnsi="宋体" w:cs="宋体"/>
          <w:b/>
          <w:bCs/>
          <w:sz w:val="21"/>
          <w:lang w:eastAsia="zh-CN"/>
        </w:rPr>
      </w:pPr>
      <w:r>
        <w:rPr>
          <w:rFonts w:hint="eastAsia" w:hAnsi="宋体" w:cs="宋体"/>
          <w:b/>
          <w:bCs/>
          <w:sz w:val="21"/>
          <w:lang w:eastAsia="zh-CN"/>
        </w:rPr>
        <w:t>课堂学习过程中，教师围绕文中的长句，逐步引导学生从读懂句意到把握长句的表达意图。</w:t>
      </w:r>
    </w:p>
    <w:p w14:paraId="287300D8">
      <w:pPr>
        <w:pStyle w:val="8"/>
        <w:keepNext w:val="0"/>
        <w:keepLines w:val="0"/>
        <w:pageBreakBefore w:val="0"/>
        <w:kinsoku/>
        <w:wordWrap/>
        <w:overflowPunct/>
        <w:topLinePunct w:val="0"/>
        <w:autoSpaceDE/>
        <w:autoSpaceDN/>
        <w:bidi w:val="0"/>
        <w:adjustRightInd/>
        <w:spacing w:after="0" w:afterAutospacing="0" w:line="360" w:lineRule="auto"/>
        <w:ind w:left="420" w:firstLine="0" w:firstLineChars="0"/>
        <w:jc w:val="both"/>
        <w:textAlignment w:val="auto"/>
        <w:rPr>
          <w:rFonts w:hint="eastAsia" w:hAnsi="宋体" w:cs="宋体"/>
          <w:b/>
          <w:bCs/>
          <w:sz w:val="21"/>
          <w:lang w:eastAsia="zh-CN"/>
        </w:rPr>
      </w:pPr>
      <w:r>
        <w:rPr>
          <w:rFonts w:hint="eastAsia" w:hAnsi="宋体" w:cs="宋体"/>
          <w:b/>
          <w:bCs/>
          <w:sz w:val="21"/>
          <w:lang w:eastAsia="zh-CN"/>
        </w:rPr>
        <w:t>学习活动一：长句梳理与解构</w:t>
      </w:r>
    </w:p>
    <w:p w14:paraId="1B17FEE2">
      <w:pPr>
        <w:keepNext w:val="0"/>
        <w:keepLines w:val="0"/>
        <w:pageBreakBefore w:val="0"/>
        <w:kinsoku/>
        <w:wordWrap/>
        <w:overflowPunct/>
        <w:topLinePunct w:val="0"/>
        <w:autoSpaceDE/>
        <w:autoSpaceDN/>
        <w:bidi w:val="0"/>
        <w:adjustRightInd/>
        <w:spacing w:line="360" w:lineRule="auto"/>
        <w:ind w:firstLine="420" w:firstLineChars="200"/>
        <w:jc w:val="left"/>
        <w:textAlignment w:val="auto"/>
        <w:rPr>
          <w:rFonts w:hint="default" w:ascii="宋体" w:hAnsi="宋体" w:eastAsia="宋体" w:cs="宋体"/>
          <w:szCs w:val="21"/>
          <w:lang w:val="en-US" w:eastAsia="zh-CN"/>
        </w:rPr>
      </w:pPr>
      <w:r>
        <w:rPr>
          <w:rFonts w:hint="eastAsia" w:ascii="宋体" w:hAnsi="宋体" w:cs="宋体"/>
          <w:szCs w:val="21"/>
        </w:rPr>
        <w:t>分组合作，梳理文中有理解难度的长句，观察其句式的特征，结合预习活动中的学习经验，派出代表讨论交流如何读懂这些句子。</w:t>
      </w:r>
      <w:r>
        <w:rPr>
          <w:rFonts w:hint="eastAsia" w:ascii="宋体" w:hAnsi="宋体" w:cs="宋体"/>
          <w:szCs w:val="21"/>
          <w:lang w:val="en-US" w:eastAsia="zh-CN"/>
        </w:rPr>
        <w:t>例句分析示例如下：</w:t>
      </w:r>
    </w:p>
    <w:p w14:paraId="39A7D4E8">
      <w:pPr>
        <w:keepNext w:val="0"/>
        <w:keepLines w:val="0"/>
        <w:pageBreakBefore w:val="0"/>
        <w:numPr>
          <w:ilvl w:val="0"/>
          <w:numId w:val="3"/>
        </w:numPr>
        <w:kinsoku/>
        <w:wordWrap/>
        <w:overflowPunct/>
        <w:topLinePunct w:val="0"/>
        <w:autoSpaceDE/>
        <w:autoSpaceDN/>
        <w:bidi w:val="0"/>
        <w:adjustRightInd/>
        <w:spacing w:line="360" w:lineRule="auto"/>
        <w:textAlignment w:val="auto"/>
        <w:rPr>
          <w:rFonts w:hint="eastAsia" w:ascii="楷体" w:hAnsi="楷体" w:eastAsia="楷体" w:cs="楷体"/>
          <w:szCs w:val="21"/>
        </w:rPr>
      </w:pPr>
      <w:r>
        <w:rPr>
          <w:rFonts w:hint="eastAsia" w:ascii="宋体" w:hAnsi="宋体" w:cs="宋体"/>
          <w:szCs w:val="21"/>
        </w:rPr>
        <w:t>选取典型长单句，引导学生标注主谓宾主干及修饰成分，归纳“抓主干、析限定”的</w:t>
      </w:r>
      <w:r>
        <w:rPr>
          <w:rFonts w:hint="eastAsia" w:ascii="宋体" w:hAnsi="宋体" w:cs="宋体"/>
          <w:szCs w:val="21"/>
          <w:lang w:val="en-US" w:eastAsia="zh-CN"/>
        </w:rPr>
        <w:t>句意</w:t>
      </w:r>
      <w:r>
        <w:rPr>
          <w:rFonts w:hint="eastAsia" w:ascii="宋体" w:hAnsi="宋体" w:cs="宋体"/>
          <w:szCs w:val="21"/>
        </w:rPr>
        <w:t>解读策略。例如：</w:t>
      </w:r>
    </w:p>
    <w:p w14:paraId="58FA29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楷体" w:hAnsi="楷体" w:eastAsia="楷体" w:cs="楷体"/>
          <w:szCs w:val="21"/>
        </w:rPr>
      </w:pPr>
      <w:r>
        <w:rPr>
          <w:rFonts w:hint="eastAsia" w:ascii="楷体" w:hAnsi="楷体" w:eastAsia="楷体" w:cs="楷体"/>
          <w:szCs w:val="21"/>
        </w:rPr>
        <w:t>根据【同属内的所有物种都是从一个共同祖先而来，并且继承了很多共同的性状】（限定）这一观点（状语），</w:t>
      </w:r>
      <w:r>
        <w:rPr>
          <w:rFonts w:hint="eastAsia" w:ascii="楷体" w:hAnsi="楷体" w:eastAsia="楷体" w:cs="楷体"/>
          <w:szCs w:val="21"/>
          <w:u w:val="double"/>
        </w:rPr>
        <w:t>我们</w:t>
      </w:r>
      <w:r>
        <w:rPr>
          <w:rFonts w:hint="eastAsia" w:ascii="楷体" w:hAnsi="楷体" w:eastAsia="楷体" w:cs="楷体"/>
          <w:szCs w:val="21"/>
        </w:rPr>
        <w:t>（主语）就可以</w:t>
      </w:r>
      <w:r>
        <w:rPr>
          <w:rFonts w:hint="eastAsia" w:ascii="楷体" w:hAnsi="楷体" w:eastAsia="楷体" w:cs="楷体"/>
          <w:szCs w:val="21"/>
          <w:u w:val="single"/>
        </w:rPr>
        <w:t>理解</w:t>
      </w:r>
      <w:r>
        <w:rPr>
          <w:rFonts w:hint="eastAsia" w:ascii="楷体" w:hAnsi="楷体" w:eastAsia="楷体" w:cs="楷体"/>
          <w:szCs w:val="21"/>
        </w:rPr>
        <w:t>（谓语）</w:t>
      </w:r>
      <w:r>
        <w:rPr>
          <w:rFonts w:hint="eastAsia" w:ascii="楷体" w:hAnsi="楷体" w:eastAsia="楷体" w:cs="楷体"/>
          <w:szCs w:val="21"/>
          <w:u w:val="wave"/>
        </w:rPr>
        <w:t>为什么边缘物种虽处于极不相同的生活条件下，但仍具有几乎相同的本能。</w:t>
      </w:r>
      <w:r>
        <w:rPr>
          <w:rFonts w:hint="eastAsia" w:ascii="楷体" w:hAnsi="楷体" w:eastAsia="楷体" w:cs="楷体"/>
          <w:szCs w:val="21"/>
        </w:rPr>
        <w:t>（宾语从句）</w:t>
      </w:r>
    </w:p>
    <w:p w14:paraId="21A6AC35">
      <w:pPr>
        <w:keepNext w:val="0"/>
        <w:keepLines w:val="0"/>
        <w:pageBreakBefore w:val="0"/>
        <w:numPr>
          <w:ilvl w:val="0"/>
          <w:numId w:val="3"/>
        </w:numPr>
        <w:kinsoku/>
        <w:wordWrap/>
        <w:overflowPunct/>
        <w:topLinePunct w:val="0"/>
        <w:autoSpaceDE/>
        <w:autoSpaceDN/>
        <w:bidi w:val="0"/>
        <w:adjustRightInd/>
        <w:spacing w:line="360" w:lineRule="auto"/>
        <w:textAlignment w:val="auto"/>
        <w:rPr>
          <w:szCs w:val="21"/>
        </w:rPr>
      </w:pPr>
      <w:r>
        <w:rPr>
          <w:rFonts w:hint="eastAsia" w:ascii="宋体" w:hAnsi="宋体" w:cs="宋体"/>
          <w:szCs w:val="21"/>
        </w:rPr>
        <w:t>选取多重复句，引导学生</w:t>
      </w:r>
      <w:r>
        <w:rPr>
          <w:rFonts w:hint="eastAsia"/>
          <w:szCs w:val="21"/>
        </w:rPr>
        <w:t>梳理出句子的层次，借助关联词，逐层分析正确把握各分句之间并列、递进、选择、顺承、转折、因果、假设、条件等的语意关系。</w:t>
      </w:r>
      <w:r>
        <w:rPr>
          <w:rFonts w:hint="eastAsia" w:ascii="宋体" w:hAnsi="宋体" w:cs="宋体"/>
          <w:szCs w:val="21"/>
        </w:rPr>
        <w:t>例如：</w:t>
      </w:r>
    </w:p>
    <w:p w14:paraId="747786B3">
      <w:pPr>
        <w:keepNext w:val="0"/>
        <w:keepLines w:val="0"/>
        <w:pageBreakBefore w:val="0"/>
        <w:kinsoku/>
        <w:wordWrap/>
        <w:overflowPunct/>
        <w:topLinePunct w:val="0"/>
        <w:autoSpaceDE/>
        <w:autoSpaceDN/>
        <w:bidi w:val="0"/>
        <w:adjustRightInd/>
        <w:spacing w:line="360" w:lineRule="auto"/>
        <w:ind w:left="420" w:leftChars="200"/>
        <w:textAlignment w:val="auto"/>
      </w:pPr>
      <w:r>
        <w:rPr>
          <w:rFonts w:hint="eastAsia" w:ascii="楷体" w:hAnsi="楷体" w:eastAsia="楷体" w:cs="楷体"/>
          <w:szCs w:val="21"/>
        </w:rPr>
        <w:t>如果动植物确有变异，|||不管这一变异是多么微小和缓慢，||只要其变异或个体差异在某一方面有益于自身发展，|它们为什么不会通过自然选择将其保存和积聚起来，即所谓最适者生存呢？</w:t>
      </w:r>
    </w:p>
    <w:p w14:paraId="47FD2C60">
      <w:pPr>
        <w:keepNext w:val="0"/>
        <w:keepLines w:val="0"/>
        <w:pageBreakBefore w:val="0"/>
        <w:kinsoku/>
        <w:wordWrap/>
        <w:overflowPunct/>
        <w:topLinePunct w:val="0"/>
        <w:autoSpaceDE/>
        <w:autoSpaceDN/>
        <w:bidi w:val="0"/>
        <w:adjustRightInd/>
        <w:spacing w:line="360" w:lineRule="auto"/>
        <w:ind w:firstLine="420" w:firstLineChars="200"/>
        <w:textAlignment w:val="auto"/>
      </w:pPr>
      <w:r>
        <w:rPr>
          <w:rFonts w:hint="eastAsia"/>
          <w:szCs w:val="21"/>
        </w:rPr>
        <w:t>通过标记可视化的句子成分、句间关系，引导学生调动既有学习经验与方法解决新问题，将推理、论证中抽象“逻辑严密性”转化为可操作的语法分析，</w:t>
      </w:r>
      <w:r>
        <w:rPr>
          <w:rFonts w:hint="eastAsia" w:ascii="宋体" w:hAnsi="宋体" w:cs="宋体"/>
          <w:spacing w:val="9"/>
          <w:szCs w:val="21"/>
        </w:rPr>
        <w:t>激发学生的主动探究意识，</w:t>
      </w:r>
      <w:r>
        <w:rPr>
          <w:rFonts w:hint="eastAsia"/>
          <w:szCs w:val="21"/>
        </w:rPr>
        <w:t>帮助学生建立“形式—功能”映射关系，如多重条件状语体现科学推理的严谨。小组合作互学的形式既便于学生交流观察心得，也便于教师对不同小组的学生进行个性化指导。</w:t>
      </w:r>
    </w:p>
    <w:p w14:paraId="30FF1082">
      <w:pPr>
        <w:keepNext w:val="0"/>
        <w:keepLines w:val="0"/>
        <w:pageBreakBefore w:val="0"/>
        <w:kinsoku/>
        <w:wordWrap/>
        <w:overflowPunct/>
        <w:topLinePunct w:val="0"/>
        <w:autoSpaceDE/>
        <w:autoSpaceDN/>
        <w:bidi w:val="0"/>
        <w:adjustRightInd/>
        <w:spacing w:line="360" w:lineRule="auto"/>
        <w:ind w:firstLine="420"/>
        <w:textAlignment w:val="auto"/>
        <w:rPr>
          <w:rFonts w:hint="eastAsia" w:ascii="宋体" w:hAnsi="宋体" w:cs="宋体"/>
          <w:b/>
          <w:bCs/>
          <w:kern w:val="0"/>
          <w:szCs w:val="21"/>
        </w:rPr>
      </w:pPr>
      <w:r>
        <w:rPr>
          <w:rFonts w:hint="eastAsia" w:ascii="宋体" w:hAnsi="宋体" w:cs="宋体"/>
          <w:b/>
          <w:bCs/>
          <w:kern w:val="0"/>
          <w:szCs w:val="21"/>
        </w:rPr>
        <w:t>学习活动二：长句改短，短句改长，双文本比较句式效果</w:t>
      </w:r>
    </w:p>
    <w:p w14:paraId="64508D65">
      <w:pPr>
        <w:pStyle w:val="17"/>
        <w:keepNext w:val="0"/>
        <w:keepLines w:val="0"/>
        <w:pageBreakBefore w:val="0"/>
        <w:kinsoku/>
        <w:wordWrap/>
        <w:overflowPunct/>
        <w:topLinePunct w:val="0"/>
        <w:autoSpaceDE/>
        <w:autoSpaceDN/>
        <w:bidi w:val="0"/>
        <w:adjustRightInd/>
        <w:spacing w:line="360" w:lineRule="auto"/>
        <w:ind w:firstLine="420" w:firstLineChars="200"/>
        <w:textAlignment w:val="auto"/>
        <w:rPr>
          <w:rFonts w:ascii="Calibri" w:hAnsi="Calibri" w:cs="Times New Roman"/>
          <w:sz w:val="21"/>
          <w:szCs w:val="21"/>
          <w:lang w:eastAsia="zh-CN"/>
        </w:rPr>
      </w:pPr>
      <w:r>
        <w:rPr>
          <w:rFonts w:hint="eastAsia" w:ascii="Calibri" w:hAnsi="Calibri" w:cs="Times New Roman"/>
          <w:sz w:val="21"/>
          <w:szCs w:val="21"/>
          <w:lang w:eastAsia="zh-CN"/>
        </w:rPr>
        <w:t>将《自然选择的证明》中的多重复句改写为短句群、《宇宙的边疆》短句群改为长句，比较改前改后句式效果，凸显句式选择对理性论证逻辑链完整与感性表达的差异化句式功能。</w:t>
      </w:r>
    </w:p>
    <w:p w14:paraId="23968173">
      <w:pPr>
        <w:pStyle w:val="17"/>
        <w:keepNext w:val="0"/>
        <w:keepLines w:val="0"/>
        <w:pageBreakBefore w:val="0"/>
        <w:numPr>
          <w:ilvl w:val="0"/>
          <w:numId w:val="4"/>
        </w:numPr>
        <w:kinsoku/>
        <w:wordWrap/>
        <w:overflowPunct/>
        <w:topLinePunct w:val="0"/>
        <w:autoSpaceDE/>
        <w:autoSpaceDN/>
        <w:bidi w:val="0"/>
        <w:adjustRightInd/>
        <w:spacing w:line="360" w:lineRule="auto"/>
        <w:ind w:firstLineChars="200"/>
        <w:textAlignment w:val="auto"/>
        <w:rPr>
          <w:rFonts w:ascii="Calibri" w:hAnsi="Calibri" w:cs="Times New Roman"/>
          <w:b/>
          <w:bCs/>
          <w:sz w:val="21"/>
          <w:szCs w:val="21"/>
          <w:lang w:eastAsia="zh-CN"/>
        </w:rPr>
      </w:pPr>
      <w:r>
        <w:rPr>
          <w:rFonts w:hint="eastAsia" w:ascii="Calibri" w:hAnsi="Calibri" w:cs="Times New Roman"/>
          <w:b/>
          <w:bCs/>
          <w:sz w:val="21"/>
          <w:szCs w:val="21"/>
          <w:lang w:eastAsia="zh-CN"/>
        </w:rPr>
        <w:t>《自然选择的证明》长句改短举例。</w:t>
      </w:r>
    </w:p>
    <w:p w14:paraId="4E530BE6">
      <w:pPr>
        <w:pStyle w:val="17"/>
        <w:keepNext w:val="0"/>
        <w:keepLines w:val="0"/>
        <w:pageBreakBefore w:val="0"/>
        <w:kinsoku/>
        <w:wordWrap/>
        <w:overflowPunct/>
        <w:topLinePunct w:val="0"/>
        <w:autoSpaceDE/>
        <w:autoSpaceDN/>
        <w:bidi w:val="0"/>
        <w:adjustRightInd/>
        <w:spacing w:line="360" w:lineRule="auto"/>
        <w:ind w:firstLine="630" w:firstLineChars="300"/>
        <w:textAlignment w:val="auto"/>
        <w:rPr>
          <w:rFonts w:ascii="Calibri" w:hAnsi="Calibri" w:cs="Times New Roman"/>
          <w:sz w:val="21"/>
          <w:szCs w:val="21"/>
          <w:lang w:eastAsia="zh-CN"/>
        </w:rPr>
      </w:pPr>
      <w:r>
        <w:rPr>
          <w:rFonts w:hint="eastAsia" w:ascii="楷体" w:hAnsi="楷体" w:eastAsia="楷体" w:cs="楷体"/>
          <w:sz w:val="21"/>
          <w:szCs w:val="21"/>
          <w:lang w:eastAsia="zh-CN"/>
        </w:rPr>
        <w:t>“动植物确有微小和缓慢的变异。动植物的变异或个体差异在某一方面有益于自身发展。最适者生存即动植物会通过自然选择将其保存和积聚起来。”</w:t>
      </w:r>
      <w:r>
        <w:rPr>
          <w:rFonts w:hint="eastAsia" w:ascii="Calibri" w:hAnsi="Calibri" w:cs="Times New Roman"/>
          <w:sz w:val="21"/>
          <w:szCs w:val="21"/>
          <w:lang w:eastAsia="zh-CN"/>
        </w:rPr>
        <w:t>与原句相比，</w:t>
      </w:r>
      <w:r>
        <w:rPr>
          <w:rFonts w:hint="eastAsia" w:ascii="Calibri" w:hAnsi="Calibri" w:cs="Times New Roman"/>
          <w:sz w:val="21"/>
          <w:szCs w:val="21"/>
          <w:lang w:val="en-US" w:eastAsia="zh-CN"/>
        </w:rPr>
        <w:t>改</w:t>
      </w:r>
      <w:r>
        <w:rPr>
          <w:rFonts w:hint="eastAsia" w:ascii="Calibri" w:hAnsi="Calibri" w:cs="Times New Roman"/>
          <w:sz w:val="21"/>
          <w:szCs w:val="21"/>
          <w:lang w:eastAsia="zh-CN"/>
        </w:rPr>
        <w:t>句关联词缺失导致推理逻辑断裂，句与句之间的递进关系被弱化，证明长句对科学推理的必要性。</w:t>
      </w:r>
    </w:p>
    <w:p w14:paraId="4182DD31">
      <w:pPr>
        <w:pStyle w:val="17"/>
        <w:keepNext w:val="0"/>
        <w:keepLines w:val="0"/>
        <w:pageBreakBefore w:val="0"/>
        <w:numPr>
          <w:ilvl w:val="0"/>
          <w:numId w:val="4"/>
        </w:numPr>
        <w:kinsoku/>
        <w:wordWrap/>
        <w:overflowPunct/>
        <w:topLinePunct w:val="0"/>
        <w:autoSpaceDE/>
        <w:autoSpaceDN/>
        <w:bidi w:val="0"/>
        <w:adjustRightInd/>
        <w:spacing w:line="360" w:lineRule="auto"/>
        <w:ind w:firstLineChars="200"/>
        <w:textAlignment w:val="auto"/>
        <w:rPr>
          <w:rFonts w:ascii="Calibri" w:hAnsi="Calibri" w:cs="Times New Roman"/>
          <w:b/>
          <w:bCs/>
          <w:sz w:val="21"/>
          <w:szCs w:val="21"/>
          <w:lang w:eastAsia="zh-CN"/>
        </w:rPr>
      </w:pPr>
      <w:r>
        <w:rPr>
          <w:rFonts w:hint="eastAsia" w:ascii="Calibri" w:hAnsi="Calibri" w:cs="Times New Roman"/>
          <w:b/>
          <w:bCs/>
          <w:sz w:val="21"/>
          <w:szCs w:val="21"/>
          <w:lang w:eastAsia="zh-CN"/>
        </w:rPr>
        <w:t>《宇宙的边疆》原句改长举例。</w:t>
      </w:r>
    </w:p>
    <w:p w14:paraId="719972BE">
      <w:pPr>
        <w:pStyle w:val="17"/>
        <w:keepNext w:val="0"/>
        <w:keepLines w:val="0"/>
        <w:pageBreakBefore w:val="0"/>
        <w:kinsoku/>
        <w:wordWrap/>
        <w:overflowPunct/>
        <w:topLinePunct w:val="0"/>
        <w:autoSpaceDE/>
        <w:autoSpaceDN/>
        <w:bidi w:val="0"/>
        <w:adjustRightInd/>
        <w:spacing w:line="360" w:lineRule="auto"/>
        <w:ind w:firstLine="630" w:firstLineChars="300"/>
        <w:textAlignment w:val="auto"/>
        <w:rPr>
          <w:rFonts w:hint="eastAsia"/>
          <w:lang w:eastAsia="zh-CN"/>
        </w:rPr>
      </w:pPr>
      <w:r>
        <w:rPr>
          <w:rFonts w:hint="eastAsia" w:ascii="楷体" w:hAnsi="楷体" w:eastAsia="楷体" w:cs="楷体"/>
          <w:sz w:val="21"/>
          <w:szCs w:val="21"/>
          <w:lang w:eastAsia="zh-CN"/>
        </w:rPr>
        <w:t>“人类有幸来到这个蓝天中充满氧气、海洋里碧波荡漾、森林里凉意怡人、草地上柔软舒适的生机勃勃的行星——地球。”</w:t>
      </w:r>
      <w:r>
        <w:rPr>
          <w:rFonts w:hint="eastAsia" w:ascii="Calibri" w:hAnsi="Calibri" w:cs="Times New Roman"/>
          <w:sz w:val="21"/>
          <w:szCs w:val="21"/>
          <w:lang w:eastAsia="zh-CN"/>
        </w:rPr>
        <w:t>与改句相比，原</w:t>
      </w:r>
      <w:r>
        <w:rPr>
          <w:rFonts w:hint="eastAsia" w:cs="Times New Roman"/>
          <w:sz w:val="21"/>
          <w:szCs w:val="21"/>
          <w:lang w:eastAsia="zh-CN"/>
        </w:rPr>
        <w:t>短句</w:t>
      </w:r>
      <w:r>
        <w:rPr>
          <w:rFonts w:hint="eastAsia" w:ascii="Calibri" w:hAnsi="Calibri" w:cs="Times New Roman"/>
          <w:sz w:val="21"/>
          <w:szCs w:val="21"/>
          <w:lang w:eastAsia="zh-CN"/>
        </w:rPr>
        <w:t>罗列“蓝天、海洋、森林、草地等”等事物，以修饰词突出这些事物的特征，从而表现地球“生机勃勃”的特点，突出人类来到地球上的幸运。句意</w:t>
      </w:r>
      <w:r>
        <w:rPr>
          <w:rFonts w:hint="eastAsia" w:cs="Times New Roman"/>
          <w:sz w:val="21"/>
          <w:szCs w:val="21"/>
          <w:lang w:eastAsia="zh-CN"/>
        </w:rPr>
        <w:t>更</w:t>
      </w:r>
      <w:r>
        <w:rPr>
          <w:rFonts w:hint="eastAsia" w:ascii="Calibri" w:hAnsi="Calibri" w:cs="Times New Roman"/>
          <w:sz w:val="21"/>
          <w:szCs w:val="21"/>
          <w:lang w:eastAsia="zh-CN"/>
        </w:rPr>
        <w:t>明晰，节奏感</w:t>
      </w:r>
      <w:r>
        <w:rPr>
          <w:rFonts w:hint="eastAsia" w:cs="Times New Roman"/>
          <w:sz w:val="21"/>
          <w:szCs w:val="21"/>
          <w:lang w:eastAsia="zh-CN"/>
        </w:rPr>
        <w:t>更</w:t>
      </w:r>
      <w:r>
        <w:rPr>
          <w:rFonts w:hint="eastAsia" w:ascii="Calibri" w:hAnsi="Calibri" w:cs="Times New Roman"/>
          <w:sz w:val="21"/>
          <w:szCs w:val="21"/>
          <w:lang w:eastAsia="zh-CN"/>
        </w:rPr>
        <w:t>强，</w:t>
      </w:r>
      <w:r>
        <w:rPr>
          <w:rFonts w:hint="eastAsia" w:ascii="Calibri" w:hAnsi="Calibri" w:cs="Times New Roman"/>
          <w:sz w:val="21"/>
          <w:szCs w:val="21"/>
          <w:lang w:val="en-US" w:eastAsia="zh-CN"/>
        </w:rPr>
        <w:t>抒情张力</w:t>
      </w:r>
      <w:r>
        <w:rPr>
          <w:rFonts w:hint="eastAsia" w:cs="Times New Roman"/>
          <w:sz w:val="21"/>
          <w:szCs w:val="21"/>
          <w:lang w:eastAsia="zh-CN"/>
        </w:rPr>
        <w:t>更</w:t>
      </w:r>
      <w:r>
        <w:rPr>
          <w:rFonts w:hint="eastAsia" w:ascii="Calibri" w:hAnsi="Calibri" w:cs="Times New Roman"/>
          <w:sz w:val="21"/>
          <w:szCs w:val="21"/>
          <w:lang w:eastAsia="zh-CN"/>
        </w:rPr>
        <w:t>鲜明。改写</w:t>
      </w:r>
      <w:r>
        <w:rPr>
          <w:rFonts w:hint="eastAsia" w:ascii="Calibri" w:hAnsi="Calibri" w:cs="Times New Roman"/>
          <w:sz w:val="21"/>
          <w:szCs w:val="21"/>
          <w:lang w:val="en-US" w:eastAsia="zh-CN"/>
        </w:rPr>
        <w:t>为长句后</w:t>
      </w:r>
      <w:r>
        <w:rPr>
          <w:rFonts w:hint="eastAsia" w:ascii="Calibri" w:hAnsi="Calibri" w:cs="Times New Roman"/>
          <w:sz w:val="21"/>
          <w:szCs w:val="21"/>
          <w:lang w:eastAsia="zh-CN"/>
        </w:rPr>
        <w:t>因信息过载弱化了情感冲击，印证短句在科普作品中的感染力优势。</w:t>
      </w:r>
    </w:p>
    <w:p w14:paraId="77A4B0BF">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Calibri" w:hAnsi="Calibri" w:cs="Times New Roman"/>
          <w:sz w:val="21"/>
          <w:szCs w:val="21"/>
          <w:lang w:val="en-US" w:eastAsia="zh-CN"/>
        </w:rPr>
      </w:pPr>
      <w:r>
        <w:rPr>
          <w:rFonts w:hint="eastAsia" w:ascii="Calibri" w:hAnsi="Calibri" w:cs="Times New Roman"/>
          <w:color w:val="auto"/>
          <w:sz w:val="21"/>
          <w:szCs w:val="21"/>
          <w:lang w:val="en-US" w:eastAsia="zh-CN"/>
        </w:rPr>
        <w:t>设计这一比较阅读活动包含两个层面的比较：一是比较同一文本中长句与短句在表达效果上的差异，直观呈现不同句式在逻辑严密性和情感表达方面的不同作用；二是比较两篇文本在文体特点和表达目的上的差异，分析作者如何根据学术论著与科普作品的不同需求选择句式。通过这样的双重比较，使学生清晰认识长句、短句在不同文本（文体）中的各自优势，建立</w:t>
      </w:r>
      <w:r>
        <w:rPr>
          <w:rFonts w:hint="eastAsia" w:ascii="Calibri" w:hAnsi="Calibri" w:cs="Times New Roman"/>
          <w:sz w:val="21"/>
          <w:szCs w:val="21"/>
          <w:lang w:val="en-US" w:eastAsia="zh-CN"/>
        </w:rPr>
        <w:t>“语言形式适配表达功能”的深层认知。同时，比较学习法既是教师引导学生将抽象的语言风格差异转化为具体的对比操作，如对比句长、关联词使用、修饰语添加等，帮助学生分析科学文本的一种思维工具，也是学生需要切实掌握的一种学习方法。</w:t>
      </w:r>
    </w:p>
    <w:p w14:paraId="650CE7D6">
      <w:pPr>
        <w:pStyle w:val="8"/>
        <w:keepNext w:val="0"/>
        <w:keepLines w:val="0"/>
        <w:pageBreakBefore w:val="0"/>
        <w:numPr>
          <w:ilvl w:val="0"/>
          <w:numId w:val="2"/>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多维影响因素探究与归纳</w:t>
      </w:r>
    </w:p>
    <w:p w14:paraId="0CBE5816">
      <w:pPr>
        <w:pStyle w:val="8"/>
        <w:keepNext w:val="0"/>
        <w:keepLines w:val="0"/>
        <w:pageBreakBefore w:val="0"/>
        <w:kinsoku/>
        <w:wordWrap/>
        <w:overflowPunct/>
        <w:topLinePunct w:val="0"/>
        <w:autoSpaceDE/>
        <w:autoSpaceDN/>
        <w:bidi w:val="0"/>
        <w:adjustRightInd/>
        <w:spacing w:after="0" w:afterAutospacing="0" w:line="360" w:lineRule="auto"/>
        <w:ind w:firstLine="422" w:firstLineChars="200"/>
        <w:textAlignment w:val="auto"/>
        <w:rPr>
          <w:rFonts w:hint="eastAsia" w:hAnsi="宋体" w:cs="宋体"/>
          <w:sz w:val="21"/>
          <w:lang w:eastAsia="zh-CN"/>
        </w:rPr>
      </w:pPr>
      <w:r>
        <w:rPr>
          <w:rFonts w:hint="eastAsia" w:hAnsi="宋体" w:cs="宋体"/>
          <w:b/>
          <w:bCs/>
          <w:sz w:val="21"/>
          <w:lang w:eastAsia="zh-CN"/>
        </w:rPr>
        <w:t>学习活动：</w:t>
      </w:r>
      <w:r>
        <w:rPr>
          <w:rFonts w:hint="eastAsia" w:hAnsi="宋体" w:cs="宋体"/>
          <w:sz w:val="21"/>
          <w:lang w:eastAsia="zh-CN"/>
        </w:rPr>
        <w:t>结合《自然选择的证明》《宇宙的边疆》两篇文章，</w:t>
      </w:r>
      <w:r>
        <w:rPr>
          <w:lang w:eastAsia="zh-CN"/>
        </w:rPr>
        <w:t>分组填写双文本对比表格，归纳句式策略的多维动因</w:t>
      </w:r>
      <w:r>
        <w:rPr>
          <w:rFonts w:hint="eastAsia" w:hAnsi="宋体" w:cs="宋体"/>
          <w:sz w:val="21"/>
          <w:lang w:eastAsia="zh-CN"/>
        </w:rPr>
        <w:t>。</w:t>
      </w:r>
    </w:p>
    <w:p w14:paraId="6609708D">
      <w:pPr>
        <w:pStyle w:val="8"/>
        <w:keepNext w:val="0"/>
        <w:keepLines w:val="0"/>
        <w:pageBreakBefore w:val="0"/>
        <w:kinsoku/>
        <w:wordWrap/>
        <w:overflowPunct/>
        <w:topLinePunct w:val="0"/>
        <w:autoSpaceDE/>
        <w:autoSpaceDN/>
        <w:bidi w:val="0"/>
        <w:adjustRightInd/>
        <w:spacing w:after="0" w:afterAutospacing="0" w:line="360" w:lineRule="auto"/>
        <w:ind w:firstLine="420" w:firstLineChars="200"/>
        <w:textAlignment w:val="auto"/>
        <w:rPr>
          <w:rFonts w:hint="eastAsia" w:hAnsi="宋体" w:cs="宋体"/>
          <w:sz w:val="21"/>
          <w:lang w:eastAsia="zh-CN"/>
        </w:rPr>
      </w:pPr>
      <w:r>
        <w:rPr>
          <w:rFonts w:hint="eastAsia" w:hAnsi="宋体" w:cs="宋体"/>
          <w:sz w:val="21"/>
          <w:lang w:eastAsia="zh-CN"/>
        </w:rPr>
        <w:t>教师可借助提示学生借助归因矩阵作为“整合框架”，帮助学生归纳句式选择背后的创作理性，示例如下：</w:t>
      </w:r>
    </w:p>
    <w:tbl>
      <w:tblPr>
        <w:tblStyle w:val="11"/>
        <w:tblpPr w:leftFromText="180" w:rightFromText="180" w:vertAnchor="text" w:horzAnchor="page" w:tblpX="2012" w:tblpY="83"/>
        <w:tblOverlap w:val="never"/>
        <w:tblW w:w="0" w:type="auto"/>
        <w:tblInd w:w="0" w:type="dxa"/>
        <w:tblLayout w:type="autofit"/>
        <w:tblCellMar>
          <w:top w:w="0" w:type="dxa"/>
          <w:left w:w="0" w:type="dxa"/>
          <w:bottom w:w="0" w:type="dxa"/>
          <w:right w:w="0" w:type="dxa"/>
        </w:tblCellMar>
      </w:tblPr>
      <w:tblGrid>
        <w:gridCol w:w="1762"/>
        <w:gridCol w:w="1064"/>
        <w:gridCol w:w="1064"/>
        <w:gridCol w:w="1064"/>
        <w:gridCol w:w="1064"/>
        <w:gridCol w:w="1064"/>
        <w:gridCol w:w="1064"/>
        <w:gridCol w:w="448"/>
      </w:tblGrid>
      <w:tr w14:paraId="156496A3">
        <w:tblPrEx>
          <w:tblCellMar>
            <w:top w:w="0" w:type="dxa"/>
            <w:left w:w="0" w:type="dxa"/>
            <w:bottom w:w="0" w:type="dxa"/>
            <w:right w:w="0" w:type="dxa"/>
          </w:tblCellMar>
        </w:tblPrEx>
        <w:trPr>
          <w:trHeight w:val="471" w:hRule="atLeast"/>
        </w:trPr>
        <w:tc>
          <w:tcPr>
            <w:tcW w:w="0" w:type="auto"/>
            <w:tcBorders>
              <w:top w:val="single" w:color="000000" w:sz="4" w:space="0"/>
              <w:left w:val="single" w:color="000000" w:sz="4" w:space="0"/>
              <w:bottom w:val="single" w:color="000000" w:sz="4" w:space="0"/>
              <w:right w:val="single" w:color="000000" w:sz="4" w:space="0"/>
              <w:tl2br w:val="single" w:color="000000" w:sz="4" w:space="0"/>
            </w:tcBorders>
            <w:shd w:val="clear" w:color="auto" w:fill="FFFFFF"/>
            <w:tcMar>
              <w:top w:w="72" w:type="dxa"/>
              <w:left w:w="144" w:type="dxa"/>
              <w:bottom w:w="72" w:type="dxa"/>
              <w:right w:w="144" w:type="dxa"/>
            </w:tcMar>
          </w:tcPr>
          <w:p w14:paraId="625A884F">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r>
              <w:rPr>
                <w:bCs/>
                <w:color w:val="000000"/>
                <w:sz w:val="21"/>
                <w:szCs w:val="21"/>
              </w:rPr>
              <w:t>篇目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749AC46">
            <w:pPr>
              <w:pStyle w:val="10"/>
              <w:keepNext w:val="0"/>
              <w:keepLines w:val="0"/>
              <w:pageBreakBefore w:val="0"/>
              <w:widowControl/>
              <w:kinsoku/>
              <w:wordWrap/>
              <w:overflowPunct/>
              <w:topLinePunct w:val="0"/>
              <w:autoSpaceDE/>
              <w:autoSpaceDN/>
              <w:bidi w:val="0"/>
              <w:adjustRightInd/>
              <w:spacing w:line="360" w:lineRule="auto"/>
              <w:jc w:val="center"/>
              <w:textAlignment w:val="auto"/>
              <w:rPr>
                <w:rFonts w:eastAsiaTheme="minorEastAsia"/>
                <w:bCs/>
                <w:color w:val="000000"/>
                <w:sz w:val="21"/>
                <w:szCs w:val="21"/>
              </w:rPr>
            </w:pPr>
            <w:r>
              <w:rPr>
                <w:rFonts w:hint="eastAsia"/>
                <w:bCs/>
                <w:color w:val="000000"/>
                <w:sz w:val="21"/>
                <w:szCs w:val="21"/>
              </w:rPr>
              <w:t>影响因素1</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55C831E0">
            <w:pPr>
              <w:pStyle w:val="10"/>
              <w:keepNext w:val="0"/>
              <w:keepLines w:val="0"/>
              <w:pageBreakBefore w:val="0"/>
              <w:widowControl/>
              <w:kinsoku/>
              <w:wordWrap/>
              <w:overflowPunct/>
              <w:topLinePunct w:val="0"/>
              <w:autoSpaceDE/>
              <w:autoSpaceDN/>
              <w:bidi w:val="0"/>
              <w:adjustRightInd/>
              <w:spacing w:line="360" w:lineRule="auto"/>
              <w:jc w:val="center"/>
              <w:textAlignment w:val="auto"/>
              <w:rPr>
                <w:rFonts w:eastAsiaTheme="minorEastAsia"/>
                <w:bCs/>
                <w:color w:val="000000"/>
                <w:sz w:val="21"/>
                <w:szCs w:val="21"/>
              </w:rPr>
            </w:pPr>
            <w:r>
              <w:rPr>
                <w:rFonts w:hint="eastAsia"/>
                <w:bCs/>
                <w:color w:val="000000"/>
                <w:sz w:val="21"/>
                <w:szCs w:val="21"/>
              </w:rPr>
              <w:t>影响因素2</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5D6D180A">
            <w:pPr>
              <w:keepNext w:val="0"/>
              <w:keepLines w:val="0"/>
              <w:pageBreakBefore w:val="0"/>
              <w:widowControl/>
              <w:kinsoku/>
              <w:wordWrap/>
              <w:overflowPunct/>
              <w:topLinePunct w:val="0"/>
              <w:autoSpaceDE/>
              <w:autoSpaceDN/>
              <w:bidi w:val="0"/>
              <w:adjustRightInd/>
              <w:spacing w:line="360" w:lineRule="auto"/>
              <w:jc w:val="center"/>
              <w:textAlignment w:val="auto"/>
              <w:rPr>
                <w:rFonts w:eastAsiaTheme="minorEastAsia"/>
                <w:bCs/>
                <w:color w:val="000000"/>
                <w:szCs w:val="21"/>
              </w:rPr>
            </w:pPr>
            <w:r>
              <w:rPr>
                <w:rFonts w:hint="eastAsia"/>
                <w:bCs/>
                <w:color w:val="000000"/>
                <w:szCs w:val="21"/>
              </w:rPr>
              <w:t>影响因素3</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25473BA5">
            <w:pPr>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Cs w:val="21"/>
              </w:rPr>
            </w:pPr>
            <w:r>
              <w:rPr>
                <w:rFonts w:hint="eastAsia"/>
                <w:bCs/>
                <w:color w:val="000000"/>
                <w:szCs w:val="21"/>
              </w:rPr>
              <w:t>影响因素4</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3E420C5E">
            <w:pPr>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Cs w:val="21"/>
              </w:rPr>
            </w:pPr>
            <w:r>
              <w:rPr>
                <w:rFonts w:hint="eastAsia"/>
                <w:bCs/>
                <w:color w:val="000000"/>
                <w:szCs w:val="21"/>
              </w:rPr>
              <w:t>影响因素5</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830E12F">
            <w:pPr>
              <w:keepNext w:val="0"/>
              <w:keepLines w:val="0"/>
              <w:pageBreakBefore w:val="0"/>
              <w:widowControl/>
              <w:kinsoku/>
              <w:wordWrap/>
              <w:overflowPunct/>
              <w:topLinePunct w:val="0"/>
              <w:autoSpaceDE/>
              <w:autoSpaceDN/>
              <w:bidi w:val="0"/>
              <w:adjustRightInd/>
              <w:spacing w:line="360" w:lineRule="auto"/>
              <w:jc w:val="center"/>
              <w:textAlignment w:val="auto"/>
              <w:rPr>
                <w:rFonts w:eastAsiaTheme="minorEastAsia"/>
                <w:bCs/>
                <w:color w:val="000000"/>
                <w:szCs w:val="21"/>
              </w:rPr>
            </w:pPr>
            <w:r>
              <w:rPr>
                <w:rFonts w:hint="eastAsia"/>
                <w:bCs/>
                <w:color w:val="000000"/>
                <w:szCs w:val="21"/>
              </w:rPr>
              <w:t>影响因素6</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0912F243">
            <w:pPr>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Cs w:val="21"/>
              </w:rPr>
            </w:pPr>
            <w:r>
              <w:rPr>
                <w:rFonts w:hint="eastAsia"/>
                <w:bCs/>
                <w:color w:val="000000"/>
                <w:szCs w:val="21"/>
              </w:rPr>
              <w:t>...</w:t>
            </w:r>
          </w:p>
        </w:tc>
      </w:tr>
      <w:tr w14:paraId="2BFC5DE2">
        <w:tblPrEx>
          <w:tblCellMar>
            <w:top w:w="0" w:type="dxa"/>
            <w:left w:w="0" w:type="dxa"/>
            <w:bottom w:w="0" w:type="dxa"/>
            <w:right w:w="0"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201C09DA">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r>
              <w:rPr>
                <w:bCs/>
                <w:color w:val="000000"/>
                <w:sz w:val="21"/>
                <w:szCs w:val="21"/>
              </w:rPr>
              <w:t>《自然选择的证明》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107184E">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8F830C7">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7AA23AB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6557A5C">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29A031B4">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05D9765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62A2830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r>
      <w:tr w14:paraId="25CB3851">
        <w:tblPrEx>
          <w:tblCellMar>
            <w:top w:w="0" w:type="dxa"/>
            <w:left w:w="0" w:type="dxa"/>
            <w:bottom w:w="0" w:type="dxa"/>
            <w:right w:w="0" w:type="dxa"/>
          </w:tblCellMar>
        </w:tblPrEx>
        <w:trPr>
          <w:trHeight w:val="48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104AB99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r>
              <w:rPr>
                <w:bCs/>
                <w:color w:val="000000"/>
                <w:sz w:val="21"/>
                <w:szCs w:val="21"/>
              </w:rPr>
              <w:t>《宇宙的边疆》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0C60155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594C9F94">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53C1E5A7">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329FD346">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43DE4016">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4991017B">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72" w:type="dxa"/>
              <w:left w:w="144" w:type="dxa"/>
              <w:bottom w:w="72" w:type="dxa"/>
              <w:right w:w="144" w:type="dxa"/>
            </w:tcMar>
          </w:tcPr>
          <w:p w14:paraId="73668D52">
            <w:pPr>
              <w:pStyle w:val="10"/>
              <w:keepNext w:val="0"/>
              <w:keepLines w:val="0"/>
              <w:pageBreakBefore w:val="0"/>
              <w:widowControl/>
              <w:kinsoku/>
              <w:wordWrap/>
              <w:overflowPunct/>
              <w:topLinePunct w:val="0"/>
              <w:autoSpaceDE/>
              <w:autoSpaceDN/>
              <w:bidi w:val="0"/>
              <w:adjustRightInd/>
              <w:spacing w:line="360" w:lineRule="auto"/>
              <w:jc w:val="center"/>
              <w:textAlignment w:val="auto"/>
              <w:rPr>
                <w:bCs/>
                <w:color w:val="000000"/>
                <w:sz w:val="21"/>
                <w:szCs w:val="21"/>
              </w:rPr>
            </w:pPr>
          </w:p>
        </w:tc>
      </w:tr>
    </w:tbl>
    <w:p w14:paraId="70518030">
      <w:pPr>
        <w:pStyle w:val="8"/>
        <w:keepNext w:val="0"/>
        <w:keepLines w:val="0"/>
        <w:pageBreakBefore w:val="0"/>
        <w:kinsoku/>
        <w:wordWrap/>
        <w:overflowPunct/>
        <w:topLinePunct w:val="0"/>
        <w:autoSpaceDE/>
        <w:autoSpaceDN/>
        <w:bidi w:val="0"/>
        <w:adjustRightInd/>
        <w:spacing w:after="0" w:afterAutospacing="0" w:line="360" w:lineRule="auto"/>
        <w:ind w:firstLine="420" w:firstLineChars="200"/>
        <w:textAlignment w:val="auto"/>
        <w:rPr>
          <w:lang w:eastAsia="zh-CN"/>
        </w:rPr>
      </w:pPr>
      <w:r>
        <w:rPr>
          <w:rFonts w:hAnsi="宋体" w:cs="宋体"/>
          <w:sz w:val="21"/>
          <w:lang w:eastAsia="zh-CN"/>
        </w:rPr>
        <w:t>提供表格学习支架，便于学生自主梳理、进行知识的自我构建，培养学生获取信息和归纳总结的能力</w:t>
      </w:r>
      <w:r>
        <w:rPr>
          <w:rFonts w:hint="eastAsia" w:hAnsi="宋体" w:cs="宋体"/>
          <w:sz w:val="21"/>
          <w:lang w:eastAsia="zh-CN"/>
        </w:rPr>
        <w:t>，学生如考虑不充分，教师给予提示后再总结：</w:t>
      </w:r>
      <w:r>
        <w:rPr>
          <w:rFonts w:hint="eastAsia"/>
          <w:lang w:eastAsia="zh-CN"/>
        </w:rPr>
        <w:t>句式的选择不仅仅是语言上的技巧，更是写作者基于写作内容、创作意图、读者定位、写作文体等多种因素，在综合判断之后的一种策略性选择。</w:t>
      </w:r>
    </w:p>
    <w:p w14:paraId="755287CA">
      <w:pPr>
        <w:pStyle w:val="8"/>
        <w:keepNext w:val="0"/>
        <w:keepLines w:val="0"/>
        <w:pageBreakBefore w:val="0"/>
        <w:kinsoku/>
        <w:wordWrap/>
        <w:overflowPunct/>
        <w:topLinePunct w:val="0"/>
        <w:autoSpaceDE/>
        <w:autoSpaceDN/>
        <w:bidi w:val="0"/>
        <w:adjustRightInd/>
        <w:spacing w:after="0" w:afterAutospacing="0" w:line="360" w:lineRule="auto"/>
        <w:ind w:firstLine="400" w:firstLineChars="200"/>
        <w:textAlignment w:val="auto"/>
        <w:rPr>
          <w:lang w:eastAsia="zh-CN"/>
        </w:rPr>
      </w:pPr>
      <w:r>
        <w:rPr>
          <w:rFonts w:hint="eastAsia"/>
          <w:lang w:eastAsia="zh-CN"/>
        </w:rPr>
        <w:t>由此，通过多维度归因，促使学生超越表层的句式差异比较，深入理解科学论著文本中“逻辑缜密性”与“情感说服力”如何通过语言形式达成统一，实现从“语言形式分析”到“文本情理内核”的跨越。</w:t>
      </w:r>
    </w:p>
    <w:p w14:paraId="634314B6">
      <w:pPr>
        <w:pStyle w:val="8"/>
        <w:keepNext w:val="0"/>
        <w:keepLines w:val="0"/>
        <w:pageBreakBefore w:val="0"/>
        <w:numPr>
          <w:ilvl w:val="0"/>
          <w:numId w:val="1"/>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课后跟进与能力迁移</w:t>
      </w:r>
    </w:p>
    <w:p w14:paraId="0F3B7DC1">
      <w:pPr>
        <w:pStyle w:val="8"/>
        <w:keepNext w:val="0"/>
        <w:keepLines w:val="0"/>
        <w:pageBreakBefore w:val="0"/>
        <w:kinsoku/>
        <w:wordWrap/>
        <w:overflowPunct/>
        <w:topLinePunct w:val="0"/>
        <w:autoSpaceDE/>
        <w:autoSpaceDN/>
        <w:bidi w:val="0"/>
        <w:adjustRightInd/>
        <w:spacing w:after="0" w:afterAutospacing="0" w:line="360" w:lineRule="auto"/>
        <w:ind w:firstLine="400" w:firstLineChars="200"/>
        <w:textAlignment w:val="auto"/>
        <w:rPr>
          <w:rFonts w:hint="eastAsia"/>
          <w:lang w:eastAsia="zh-CN"/>
        </w:rPr>
      </w:pPr>
      <w:r>
        <w:rPr>
          <w:rFonts w:hint="eastAsia"/>
          <w:lang w:eastAsia="zh-CN"/>
        </w:rPr>
        <w:t>课后教师可布置学生结合课堂所学完成如下作业：</w:t>
      </w:r>
    </w:p>
    <w:p w14:paraId="763ECFE8">
      <w:pPr>
        <w:pStyle w:val="8"/>
        <w:keepNext w:val="0"/>
        <w:keepLines w:val="0"/>
        <w:pageBreakBefore w:val="0"/>
        <w:widowControl/>
        <w:numPr>
          <w:ilvl w:val="0"/>
          <w:numId w:val="5"/>
        </w:numPr>
        <w:kinsoku/>
        <w:wordWrap/>
        <w:overflowPunct/>
        <w:topLinePunct w:val="0"/>
        <w:autoSpaceDE/>
        <w:autoSpaceDN/>
        <w:bidi w:val="0"/>
        <w:adjustRightInd/>
        <w:snapToGrid/>
        <w:spacing w:after="0" w:afterAutospacing="0" w:line="360" w:lineRule="auto"/>
        <w:ind w:firstLine="425" w:firstLineChars="0"/>
        <w:textAlignment w:val="auto"/>
        <w:rPr>
          <w:lang w:eastAsia="zh-CN"/>
        </w:rPr>
      </w:pPr>
      <w:r>
        <w:rPr>
          <w:rFonts w:hint="eastAsia"/>
          <w:lang w:eastAsia="zh-CN"/>
        </w:rPr>
        <w:t>从《自然选择的证明》中选取3个未分析的长单句及多重复句，标注</w:t>
      </w:r>
      <w:r>
        <w:rPr>
          <w:rFonts w:hint="eastAsia"/>
          <w:lang w:val="en-US" w:eastAsia="zh-CN"/>
        </w:rPr>
        <w:t>句子</w:t>
      </w:r>
      <w:r>
        <w:rPr>
          <w:rFonts w:hint="eastAsia"/>
          <w:lang w:eastAsia="zh-CN"/>
        </w:rPr>
        <w:t>主干成分与逻辑关联词，并阐释修饰语对论证严谨性的强化作用。</w:t>
      </w:r>
    </w:p>
    <w:p w14:paraId="275CE5F2">
      <w:pPr>
        <w:pStyle w:val="8"/>
        <w:keepNext w:val="0"/>
        <w:keepLines w:val="0"/>
        <w:pageBreakBefore w:val="0"/>
        <w:widowControl/>
        <w:numPr>
          <w:ilvl w:val="0"/>
          <w:numId w:val="0"/>
        </w:numPr>
        <w:kinsoku/>
        <w:wordWrap/>
        <w:overflowPunct/>
        <w:topLinePunct w:val="0"/>
        <w:autoSpaceDE/>
        <w:autoSpaceDN/>
        <w:bidi w:val="0"/>
        <w:adjustRightInd/>
        <w:snapToGrid/>
        <w:spacing w:after="0" w:afterAutospacing="0" w:line="360" w:lineRule="auto"/>
        <w:ind w:firstLine="402" w:firstLineChars="200"/>
        <w:textAlignment w:val="auto"/>
        <w:rPr>
          <w:rFonts w:hint="default"/>
          <w:lang w:val="en-US" w:eastAsia="zh-CN"/>
        </w:rPr>
      </w:pPr>
      <w:r>
        <w:rPr>
          <w:rFonts w:hint="eastAsia"/>
          <w:b/>
          <w:bCs/>
          <w:lang w:val="en-US" w:eastAsia="zh-CN"/>
        </w:rPr>
        <w:t>设计意图说明</w:t>
      </w:r>
      <w:r>
        <w:rPr>
          <w:rFonts w:hint="eastAsia"/>
          <w:lang w:val="en-US" w:eastAsia="zh-CN"/>
        </w:rPr>
        <w:t>：此项作业为知识巩固性作业，针对课堂观察中到的学生忽视长句中修饰语限定功能的问题，通过同类句式的重复训练，强化长句的解读策略，通过落实任务推动知识内化，弥补课堂实践不足。</w:t>
      </w:r>
    </w:p>
    <w:p w14:paraId="0F9882C6">
      <w:pPr>
        <w:pStyle w:val="8"/>
        <w:keepNext w:val="0"/>
        <w:keepLines w:val="0"/>
        <w:pageBreakBefore w:val="0"/>
        <w:widowControl/>
        <w:numPr>
          <w:ilvl w:val="0"/>
          <w:numId w:val="5"/>
        </w:numPr>
        <w:kinsoku/>
        <w:wordWrap/>
        <w:overflowPunct/>
        <w:topLinePunct w:val="0"/>
        <w:autoSpaceDE/>
        <w:autoSpaceDN/>
        <w:bidi w:val="0"/>
        <w:adjustRightInd/>
        <w:snapToGrid/>
        <w:spacing w:after="0" w:afterAutospacing="0" w:line="360" w:lineRule="auto"/>
        <w:ind w:firstLine="425" w:firstLineChars="0"/>
        <w:textAlignment w:val="auto"/>
        <w:rPr>
          <w:lang w:eastAsia="zh-CN"/>
        </w:rPr>
      </w:pPr>
      <w:r>
        <w:rPr>
          <w:rFonts w:hint="eastAsia"/>
          <w:lang w:eastAsia="zh-CN"/>
        </w:rPr>
        <w:t>完成《巨大的文体空间》第⑨段语言特色分析题（原题</w:t>
      </w:r>
      <w:r>
        <w:rPr>
          <w:rFonts w:hint="eastAsia"/>
          <w:lang w:val="en-US" w:eastAsia="zh-CN"/>
        </w:rPr>
        <w:t>如下</w:t>
      </w:r>
      <w:r>
        <w:rPr>
          <w:rFonts w:hint="eastAsia"/>
          <w:lang w:eastAsia="zh-CN"/>
        </w:rPr>
        <w:t>），要求结合“学术文章”的文体特征，</w:t>
      </w:r>
      <w:r>
        <w:rPr>
          <w:rFonts w:hint="eastAsia"/>
          <w:lang w:val="en-US" w:eastAsia="zh-CN"/>
        </w:rPr>
        <w:t>分析该文的语言特色</w:t>
      </w:r>
      <w:r>
        <w:rPr>
          <w:rFonts w:hint="eastAsia"/>
          <w:lang w:eastAsia="zh-CN"/>
        </w:rPr>
        <w:t>。</w:t>
      </w:r>
    </w:p>
    <w:p w14:paraId="6A0B292E">
      <w:pPr>
        <w:pStyle w:val="8"/>
        <w:keepNext w:val="0"/>
        <w:keepLines w:val="0"/>
        <w:pageBreakBefore w:val="0"/>
        <w:widowControl/>
        <w:numPr>
          <w:ilvl w:val="0"/>
          <w:numId w:val="0"/>
        </w:numPr>
        <w:kinsoku/>
        <w:wordWrap/>
        <w:overflowPunct/>
        <w:topLinePunct w:val="0"/>
        <w:autoSpaceDE/>
        <w:autoSpaceDN/>
        <w:bidi w:val="0"/>
        <w:adjustRightInd/>
        <w:snapToGrid/>
        <w:spacing w:after="0" w:afterAutospacing="0" w:line="360" w:lineRule="auto"/>
        <w:ind w:firstLine="402" w:firstLineChars="200"/>
        <w:textAlignment w:val="auto"/>
        <w:rPr>
          <w:rFonts w:hint="default"/>
          <w:color w:val="0000FF"/>
          <w:lang w:val="en-US" w:eastAsia="zh-CN"/>
        </w:rPr>
      </w:pPr>
      <w:r>
        <w:rPr>
          <w:rFonts w:hint="eastAsia"/>
          <w:b/>
          <w:bCs/>
          <w:lang w:val="en-US" w:eastAsia="zh-CN"/>
        </w:rPr>
        <w:t>设计意图说明</w:t>
      </w:r>
      <w:r>
        <w:rPr>
          <w:rFonts w:hint="eastAsia"/>
          <w:lang w:val="en-US" w:eastAsia="zh-CN"/>
        </w:rPr>
        <w:t>：此项作业为能力迁移性作业，突破课堂“文本静态分析”的局限，借助高考模拟真题创设陌生语境，要求学生自主辨识不同文体（科学文本与散文）的句式策略差异，深化学生的问题意识，实现从“方法模仿”到“策略迁移”的能力跃升，达成课堂难以完全实现的能力提升目标，呼应《课标》提出的“在真实的语言运用情境中评估学生核心素养”。</w:t>
      </w:r>
    </w:p>
    <w:p w14:paraId="2A1AFF8B">
      <w:pPr>
        <w:pStyle w:val="8"/>
        <w:keepNext w:val="0"/>
        <w:keepLines w:val="0"/>
        <w:pageBreakBefore w:val="0"/>
        <w:kinsoku/>
        <w:wordWrap/>
        <w:overflowPunct/>
        <w:topLinePunct w:val="0"/>
        <w:autoSpaceDE/>
        <w:autoSpaceDN/>
        <w:bidi w:val="0"/>
        <w:adjustRightInd/>
        <w:spacing w:after="0" w:afterAutospacing="0" w:line="360" w:lineRule="auto"/>
        <w:ind w:firstLine="402" w:firstLineChars="200"/>
        <w:textAlignment w:val="auto"/>
        <w:rPr>
          <w:lang w:eastAsia="zh-CN"/>
        </w:rPr>
      </w:pPr>
      <w:r>
        <w:rPr>
          <w:rFonts w:hint="eastAsia"/>
          <w:b/>
          <w:bCs/>
          <w:lang w:val="en-US" w:eastAsia="zh-CN"/>
        </w:rPr>
        <w:t>附选题（部分选文）</w:t>
      </w:r>
      <w:r>
        <w:rPr>
          <w:rFonts w:hint="eastAsia"/>
          <w:lang w:val="en-US" w:eastAsia="zh-CN"/>
        </w:rPr>
        <w:t>：</w:t>
      </w:r>
      <w:r>
        <w:rPr>
          <w:rFonts w:hint="eastAsia"/>
          <w:lang w:eastAsia="zh-CN"/>
        </w:rPr>
        <w:t>作为一篇学术文章，本文的语言别具特色，请以第⑨段为例加以分析。（4分）</w:t>
      </w:r>
    </w:p>
    <w:p w14:paraId="20AEC342">
      <w:pPr>
        <w:keepNext w:val="0"/>
        <w:keepLines w:val="0"/>
        <w:pageBreakBefore w:val="0"/>
        <w:kinsoku/>
        <w:wordWrap/>
        <w:overflowPunct/>
        <w:topLinePunct w:val="0"/>
        <w:autoSpaceDE/>
        <w:autoSpaceDN/>
        <w:bidi w:val="0"/>
        <w:adjustRightInd/>
        <w:spacing w:line="360" w:lineRule="auto"/>
        <w:ind w:firstLine="420"/>
        <w:textAlignment w:val="auto"/>
        <w:rPr>
          <w:rFonts w:hint="eastAsia" w:ascii="楷体" w:hAnsi="楷体" w:eastAsia="楷体" w:cs="楷体"/>
          <w:szCs w:val="21"/>
        </w:rPr>
      </w:pPr>
      <w:r>
        <w:rPr>
          <w:rFonts w:hint="eastAsia" w:ascii="楷体" w:hAnsi="楷体" w:eastAsia="楷体" w:cs="楷体"/>
          <w:szCs w:val="21"/>
        </w:rPr>
        <w:t>⑨散文仿佛是低调的，居于文学的边缘，面目模糊，疆域不定。散文慷慨地接纳了众多文体放弃的素材，拾遗补阙，神情轻松地敲一敲边鼓，或者充当断后的收容队。另一方面，由于散文的无拘无束，因而可以自由穿行于各个历史角落，察觉各种隐密的动向和不为人知的萌芽。这是散文充当文化先锋的时刻。从断后的收容到文化先锋，散文可能赢得巨大的空间——当然，也可能在巨大的空间之中迷途不返。</w:t>
      </w:r>
    </w:p>
    <w:p w14:paraId="2B0B65D8">
      <w:pPr>
        <w:pStyle w:val="8"/>
        <w:keepNext w:val="0"/>
        <w:keepLines w:val="0"/>
        <w:pageBreakBefore w:val="0"/>
        <w:numPr>
          <w:ilvl w:val="0"/>
          <w:numId w:val="1"/>
        </w:numPr>
        <w:kinsoku/>
        <w:wordWrap/>
        <w:overflowPunct/>
        <w:topLinePunct w:val="0"/>
        <w:autoSpaceDE/>
        <w:autoSpaceDN/>
        <w:bidi w:val="0"/>
        <w:adjustRightInd/>
        <w:spacing w:after="0" w:afterAutospacing="0" w:line="360" w:lineRule="auto"/>
        <w:ind w:firstLineChars="0"/>
        <w:jc w:val="both"/>
        <w:textAlignment w:val="auto"/>
        <w:rPr>
          <w:rFonts w:hint="eastAsia" w:cs="Songti SC Bold" w:asciiTheme="minorEastAsia" w:hAnsiTheme="minorEastAsia" w:eastAsiaTheme="minorEastAsia"/>
          <w:b/>
          <w:bCs/>
          <w:sz w:val="24"/>
          <w:szCs w:val="24"/>
          <w:lang w:eastAsia="zh-CN"/>
        </w:rPr>
      </w:pPr>
      <w:r>
        <w:rPr>
          <w:rFonts w:hint="eastAsia" w:cs="Songti SC Bold" w:asciiTheme="minorEastAsia" w:hAnsiTheme="minorEastAsia" w:eastAsiaTheme="minorEastAsia"/>
          <w:b/>
          <w:bCs/>
          <w:sz w:val="24"/>
          <w:szCs w:val="24"/>
          <w:lang w:eastAsia="zh-CN"/>
        </w:rPr>
        <w:t>教学实效的呈现与</w:t>
      </w:r>
      <w:r>
        <w:rPr>
          <w:rFonts w:hint="eastAsia" w:cs="Songti SC Bold" w:asciiTheme="minorEastAsia" w:hAnsiTheme="minorEastAsia" w:eastAsiaTheme="minorEastAsia"/>
          <w:b/>
          <w:bCs/>
          <w:sz w:val="24"/>
          <w:szCs w:val="24"/>
          <w:lang w:val="en-US" w:eastAsia="zh-CN"/>
        </w:rPr>
        <w:t>反思</w:t>
      </w:r>
    </w:p>
    <w:p w14:paraId="7A1EEFAA">
      <w:pPr>
        <w:pStyle w:val="8"/>
        <w:keepNext w:val="0"/>
        <w:keepLines w:val="0"/>
        <w:pageBreakBefore w:val="0"/>
        <w:numPr>
          <w:ilvl w:val="0"/>
          <w:numId w:val="0"/>
        </w:numPr>
        <w:kinsoku/>
        <w:wordWrap/>
        <w:overflowPunct/>
        <w:topLinePunct w:val="0"/>
        <w:autoSpaceDE/>
        <w:autoSpaceDN/>
        <w:bidi w:val="0"/>
        <w:adjustRightInd/>
        <w:spacing w:after="0" w:afterAutospacing="0" w:line="360" w:lineRule="auto"/>
        <w:ind w:left="425" w:leftChars="0"/>
        <w:textAlignment w:val="auto"/>
        <w:rPr>
          <w:sz w:val="21"/>
          <w:lang w:eastAsia="zh-CN"/>
        </w:rPr>
      </w:pPr>
      <w:r>
        <w:rPr>
          <w:rFonts w:hint="eastAsia"/>
          <w:lang w:eastAsia="zh-CN"/>
        </w:rPr>
        <w:t>笔者结合具体课堂表现和学习支架的使用情况</w:t>
      </w:r>
      <w:r>
        <w:rPr>
          <w:rFonts w:hint="eastAsia"/>
          <w:lang w:val="en-US" w:eastAsia="zh-CN"/>
        </w:rPr>
        <w:t>及学习目标的达成情况</w:t>
      </w:r>
      <w:r>
        <w:rPr>
          <w:rFonts w:hint="eastAsia"/>
          <w:lang w:eastAsia="zh-CN"/>
        </w:rPr>
        <w:t>，反思实际课堂教学中的各个环节，</w:t>
      </w:r>
      <w:r>
        <w:rPr>
          <w:rFonts w:hint="eastAsia"/>
          <w:lang w:val="en-US" w:eastAsia="zh-CN"/>
        </w:rPr>
        <w:t>总结</w:t>
      </w:r>
      <w:r>
        <w:rPr>
          <w:rFonts w:hint="eastAsia"/>
          <w:lang w:eastAsia="zh-CN"/>
        </w:rPr>
        <w:t>如下：</w:t>
      </w:r>
    </w:p>
    <w:p w14:paraId="3BBFCA20">
      <w:pPr>
        <w:pStyle w:val="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rPr>
          <w:rFonts w:hint="eastAsia"/>
          <w:b/>
          <w:bCs/>
        </w:rPr>
      </w:pPr>
      <w:r>
        <w:rPr>
          <w:rFonts w:hint="eastAsia"/>
          <w:b/>
          <w:bCs/>
        </w:rPr>
        <w:t>学生</w:t>
      </w:r>
      <w:r>
        <w:rPr>
          <w:rFonts w:hint="eastAsia"/>
          <w:b/>
          <w:bCs/>
          <w:lang w:val="en-US" w:eastAsia="zh-CN"/>
        </w:rPr>
        <w:t>的课堂</w:t>
      </w:r>
      <w:r>
        <w:rPr>
          <w:rFonts w:hint="eastAsia"/>
          <w:b/>
          <w:bCs/>
        </w:rPr>
        <w:t>学习表现</w:t>
      </w:r>
      <w:r>
        <w:rPr>
          <w:rFonts w:hint="eastAsia"/>
          <w:b/>
          <w:bCs/>
          <w:lang w:val="en-US" w:eastAsia="zh-CN"/>
        </w:rPr>
        <w:t>分析</w:t>
      </w:r>
    </w:p>
    <w:p w14:paraId="0DA32208">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color w:val="auto"/>
          <w:lang w:val="en-US" w:eastAsia="zh-CN"/>
        </w:rPr>
        <w:t>就学生的学习活动表现而言，大部分学生能够顺利推进并达成学习目标。然而，部分学习过程中也出现了一些障碍，如在课前分析问句的表达作用时，只能笼统地堆砌反问、设问句的一般作用，并不能结合科学论著这一具体语境特点进行分析；在课堂具体实践中，绝大部分学生较易掌握长单句的成分划分，但对于复杂的多重复句，部分学生容易混淆句间的逻辑关系；</w:t>
      </w:r>
      <w:r>
        <w:rPr>
          <w:rFonts w:hint="eastAsia"/>
          <w:color w:val="auto"/>
        </w:rPr>
        <w:t>在</w:t>
      </w:r>
      <w:r>
        <w:rPr>
          <w:rFonts w:hint="eastAsia"/>
          <w:color w:val="auto"/>
          <w:lang w:val="en-US" w:eastAsia="zh-CN"/>
        </w:rPr>
        <w:t>更为深入的双文本的句式影响动因的探究与归纳中</w:t>
      </w:r>
      <w:r>
        <w:rPr>
          <w:rFonts w:hint="eastAsia"/>
          <w:color w:val="auto"/>
        </w:rPr>
        <w:t>，</w:t>
      </w:r>
      <w:r>
        <w:rPr>
          <w:rFonts w:hint="eastAsia"/>
          <w:color w:val="auto"/>
          <w:lang w:val="en-US" w:eastAsia="zh-CN"/>
        </w:rPr>
        <w:t>仅半数</w:t>
      </w:r>
      <w:r>
        <w:rPr>
          <w:rFonts w:hint="eastAsia"/>
          <w:color w:val="auto"/>
        </w:rPr>
        <w:t>学生能</w:t>
      </w:r>
      <w:r>
        <w:rPr>
          <w:rFonts w:hint="eastAsia"/>
          <w:color w:val="auto"/>
          <w:lang w:val="en-US" w:eastAsia="zh-CN"/>
        </w:rPr>
        <w:t>有效结合文体</w:t>
      </w:r>
      <w:r>
        <w:rPr>
          <w:rFonts w:hint="eastAsia"/>
          <w:color w:val="auto"/>
        </w:rPr>
        <w:t>特性阐释句式选择动因，体现出</w:t>
      </w:r>
      <w:r>
        <w:rPr>
          <w:rFonts w:hint="eastAsia"/>
          <w:color w:val="auto"/>
          <w:lang w:val="en-US" w:eastAsia="zh-CN"/>
        </w:rPr>
        <w:t>其余部分</w:t>
      </w:r>
      <w:r>
        <w:rPr>
          <w:rFonts w:hint="eastAsia"/>
          <w:color w:val="auto"/>
        </w:rPr>
        <w:t>学生在深度思考上的局限性。</w:t>
      </w:r>
      <w:r>
        <w:rPr>
          <w:rFonts w:hint="eastAsia"/>
          <w:color w:val="auto"/>
          <w:sz w:val="21"/>
          <w:lang w:eastAsia="zh-CN"/>
        </w:rPr>
        <w:t>在课后作业题一中，绝大部分学生能</w:t>
      </w:r>
      <w:r>
        <w:rPr>
          <w:rFonts w:hint="eastAsia"/>
          <w:color w:val="auto"/>
          <w:sz w:val="21"/>
          <w:lang w:val="en-US" w:eastAsia="zh-CN"/>
        </w:rPr>
        <w:t>够</w:t>
      </w:r>
      <w:r>
        <w:rPr>
          <w:rFonts w:hint="eastAsia"/>
          <w:color w:val="auto"/>
          <w:sz w:val="21"/>
          <w:lang w:eastAsia="zh-CN"/>
        </w:rPr>
        <w:t>运用</w:t>
      </w:r>
      <w:r>
        <w:rPr>
          <w:rFonts w:hint="eastAsia"/>
          <w:color w:val="auto"/>
          <w:sz w:val="21"/>
          <w:lang w:val="en-US" w:eastAsia="zh-CN"/>
        </w:rPr>
        <w:t>所学</w:t>
      </w:r>
      <w:r>
        <w:rPr>
          <w:rFonts w:hint="eastAsia"/>
          <w:color w:val="auto"/>
          <w:sz w:val="21"/>
          <w:lang w:eastAsia="zh-CN"/>
        </w:rPr>
        <w:t>“抓主干、析限定”</w:t>
      </w:r>
      <w:r>
        <w:rPr>
          <w:rFonts w:hint="eastAsia"/>
          <w:color w:val="auto"/>
          <w:sz w:val="21"/>
          <w:lang w:val="en-US" w:eastAsia="zh-CN"/>
        </w:rPr>
        <w:t>的</w:t>
      </w:r>
      <w:r>
        <w:rPr>
          <w:rFonts w:hint="eastAsia"/>
          <w:color w:val="auto"/>
          <w:sz w:val="21"/>
          <w:lang w:eastAsia="zh-CN"/>
        </w:rPr>
        <w:t>策略拆解句子，</w:t>
      </w:r>
      <w:r>
        <w:rPr>
          <w:rFonts w:hint="eastAsia"/>
          <w:color w:val="auto"/>
          <w:sz w:val="21"/>
          <w:lang w:val="en-US" w:eastAsia="zh-CN"/>
        </w:rPr>
        <w:t>仅半数</w:t>
      </w:r>
      <w:r>
        <w:rPr>
          <w:rFonts w:hint="eastAsia"/>
          <w:color w:val="auto"/>
          <w:sz w:val="21"/>
          <w:lang w:eastAsia="zh-CN"/>
        </w:rPr>
        <w:t>学生能进一步解释限定词的推理作用，</w:t>
      </w:r>
      <w:r>
        <w:rPr>
          <w:rFonts w:hint="eastAsia"/>
          <w:color w:val="auto"/>
          <w:sz w:val="21"/>
          <w:lang w:val="en-US" w:eastAsia="zh-CN"/>
        </w:rPr>
        <w:t>也</w:t>
      </w:r>
      <w:r>
        <w:rPr>
          <w:rFonts w:hint="eastAsia"/>
          <w:color w:val="auto"/>
          <w:sz w:val="21"/>
          <w:lang w:eastAsia="zh-CN"/>
        </w:rPr>
        <w:t>反映出部分学生并未完全掌握句式与论证严密性的关系。</w:t>
      </w:r>
      <w:r>
        <w:rPr>
          <w:rFonts w:hint="eastAsia"/>
          <w:color w:val="auto"/>
          <w:lang w:val="en-US" w:eastAsia="zh-CN"/>
        </w:rPr>
        <w:t>除此以外，由于整体课程内容安排较多，探究部分不能给学生留足时间，学生讨论过</w:t>
      </w:r>
      <w:r>
        <w:rPr>
          <w:rFonts w:hint="eastAsia"/>
          <w:lang w:val="en-US" w:eastAsia="zh-CN"/>
        </w:rPr>
        <w:t>程并不充分，也使得学生在归因环节的学习活动略显仓促。</w:t>
      </w:r>
    </w:p>
    <w:p w14:paraId="41AD6DE4">
      <w:pPr>
        <w:pStyle w:val="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422" w:firstLineChars="200"/>
        <w:textAlignment w:val="auto"/>
        <w:rPr>
          <w:rFonts w:hint="eastAsia" w:eastAsia="宋体" w:cs="Times New Roman"/>
          <w:b/>
          <w:bCs/>
        </w:rPr>
      </w:pPr>
      <w:r>
        <w:rPr>
          <w:rFonts w:hint="eastAsia" w:eastAsia="宋体" w:cs="Times New Roman"/>
          <w:b/>
          <w:bCs/>
        </w:rPr>
        <w:t>课堂</w:t>
      </w:r>
      <w:r>
        <w:rPr>
          <w:rFonts w:hint="eastAsia" w:eastAsia="宋体" w:cs="Times New Roman"/>
          <w:b/>
          <w:bCs/>
          <w:lang w:val="en-US" w:eastAsia="zh-CN"/>
        </w:rPr>
        <w:t>环节设计及学习工具的有效性分析</w:t>
      </w:r>
    </w:p>
    <w:p w14:paraId="702FF374">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color w:val="auto"/>
        </w:rPr>
      </w:pPr>
      <w:r>
        <w:rPr>
          <w:rFonts w:hint="eastAsia"/>
          <w:color w:val="auto"/>
          <w:lang w:val="en-US" w:eastAsia="zh-CN"/>
        </w:rPr>
        <w:t>在学习活动的设计及学习工具的使用上，</w:t>
      </w:r>
      <w:r>
        <w:rPr>
          <w:rFonts w:hint="eastAsia"/>
          <w:color w:val="auto"/>
        </w:rPr>
        <w:t>本次教学</w:t>
      </w:r>
      <w:r>
        <w:rPr>
          <w:rFonts w:hint="eastAsia"/>
          <w:color w:val="auto"/>
          <w:lang w:val="en-US" w:eastAsia="zh-CN"/>
        </w:rPr>
        <w:t>通过问句观察与分类、长句分析与比较、多维影响因素探究与归纳等关键学习任务的设计，分别</w:t>
      </w:r>
      <w:r>
        <w:rPr>
          <w:rFonts w:hint="eastAsia"/>
          <w:color w:val="auto"/>
        </w:rPr>
        <w:t>验证了</w:t>
      </w:r>
      <w:r>
        <w:rPr>
          <w:rFonts w:hint="eastAsia"/>
          <w:color w:val="auto"/>
          <w:lang w:val="en-US" w:eastAsia="zh-CN"/>
        </w:rPr>
        <w:t>结构化表格工具、比较思维工具、归因矩阵表格的有效性。预习</w:t>
      </w:r>
      <w:r>
        <w:rPr>
          <w:rFonts w:hint="eastAsia"/>
          <w:color w:val="auto"/>
        </w:rPr>
        <w:t>阶段的结构化表格通过预设学生问句的分析维度（问句类型、句意重点、表达作用）</w:t>
      </w:r>
      <w:r>
        <w:rPr>
          <w:rFonts w:hint="eastAsia"/>
          <w:color w:val="auto"/>
          <w:lang w:eastAsia="zh-CN"/>
        </w:rPr>
        <w:t>，</w:t>
      </w:r>
      <w:r>
        <w:rPr>
          <w:rFonts w:hint="eastAsia"/>
          <w:color w:val="auto"/>
        </w:rPr>
        <w:t>将抽象的语言风格感知转化为可操作任务，</w:t>
      </w:r>
      <w:r>
        <w:rPr>
          <w:rFonts w:hint="eastAsia"/>
          <w:color w:val="auto"/>
          <w:lang w:val="en-US" w:eastAsia="zh-CN"/>
        </w:rPr>
        <w:t>切实</w:t>
      </w:r>
      <w:r>
        <w:rPr>
          <w:rFonts w:hint="eastAsia"/>
          <w:color w:val="auto"/>
        </w:rPr>
        <w:t>帮助</w:t>
      </w:r>
      <w:r>
        <w:rPr>
          <w:rFonts w:hint="eastAsia"/>
          <w:color w:val="auto"/>
          <w:lang w:val="en-US" w:eastAsia="zh-CN"/>
        </w:rPr>
        <w:t>了一部分</w:t>
      </w:r>
      <w:r>
        <w:rPr>
          <w:rFonts w:hint="eastAsia"/>
          <w:color w:val="auto"/>
        </w:rPr>
        <w:t>学困生实现有效预习；课堂中的“长句改短”</w:t>
      </w:r>
      <w:r>
        <w:rPr>
          <w:rFonts w:hint="eastAsia"/>
          <w:color w:val="auto"/>
          <w:lang w:val="en-US" w:eastAsia="zh-CN"/>
        </w:rPr>
        <w:t>及“短句改长”的双重</w:t>
      </w:r>
      <w:r>
        <w:rPr>
          <w:rFonts w:hint="eastAsia"/>
          <w:color w:val="auto"/>
        </w:rPr>
        <w:t>对比</w:t>
      </w:r>
      <w:r>
        <w:rPr>
          <w:rFonts w:hint="eastAsia"/>
          <w:color w:val="auto"/>
          <w:lang w:val="en-US" w:eastAsia="zh-CN"/>
        </w:rPr>
        <w:t>学习</w:t>
      </w:r>
      <w:r>
        <w:rPr>
          <w:rFonts w:hint="eastAsia"/>
          <w:color w:val="auto"/>
        </w:rPr>
        <w:t>活动通过制造认知冲突，</w:t>
      </w:r>
      <w:r>
        <w:rPr>
          <w:rFonts w:hint="eastAsia"/>
          <w:color w:val="auto"/>
          <w:lang w:val="en-US" w:eastAsia="zh-CN"/>
        </w:rPr>
        <w:t>便于</w:t>
      </w:r>
      <w:r>
        <w:rPr>
          <w:rFonts w:hint="eastAsia"/>
          <w:color w:val="auto"/>
        </w:rPr>
        <w:t>学生</w:t>
      </w:r>
      <w:r>
        <w:rPr>
          <w:rFonts w:hint="eastAsia"/>
          <w:color w:val="auto"/>
          <w:lang w:val="en-US" w:eastAsia="zh-CN"/>
        </w:rPr>
        <w:t>能更为</w:t>
      </w:r>
      <w:r>
        <w:rPr>
          <w:rFonts w:hint="eastAsia"/>
          <w:color w:val="auto"/>
        </w:rPr>
        <w:t>直观</w:t>
      </w:r>
      <w:r>
        <w:rPr>
          <w:rFonts w:hint="eastAsia"/>
          <w:color w:val="auto"/>
          <w:lang w:val="en-US" w:eastAsia="zh-CN"/>
        </w:rPr>
        <w:t>有效地理解、比较不同句式的表达效果及其表达意图；归因矩阵的设计促进了学生从写作目的、读者定位等角度进行深层思考，基本达成学生对于“语言形式——情理内核”的认识。同时，</w:t>
      </w:r>
      <w:r>
        <w:rPr>
          <w:rFonts w:hint="eastAsia"/>
          <w:color w:val="auto"/>
        </w:rPr>
        <w:t>小组互学</w:t>
      </w:r>
      <w:r>
        <w:rPr>
          <w:rFonts w:hint="eastAsia"/>
          <w:color w:val="auto"/>
          <w:lang w:val="en-US" w:eastAsia="zh-CN"/>
        </w:rPr>
        <w:t>的形式激发了学生的主动探究和合作探究意识，既丰富了学生的课堂参与形式，也提高了课堂的学习效率。</w:t>
      </w:r>
    </w:p>
    <w:p w14:paraId="1851B43B">
      <w:pPr>
        <w:pStyle w:val="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422" w:firstLineChars="200"/>
        <w:jc w:val="left"/>
        <w:textAlignment w:val="auto"/>
        <w:rPr>
          <w:rFonts w:hint="default"/>
          <w:b/>
          <w:bCs/>
          <w:lang w:val="en-US" w:eastAsia="zh-CN"/>
        </w:rPr>
      </w:pPr>
      <w:r>
        <w:rPr>
          <w:rFonts w:hint="eastAsia"/>
          <w:b/>
          <w:bCs/>
          <w:lang w:val="en-US" w:eastAsia="zh-CN"/>
        </w:rPr>
        <w:t>学习目标的达成情况的反思与改进</w:t>
      </w:r>
    </w:p>
    <w:p w14:paraId="525640A3">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sz w:val="21"/>
          <w:lang w:eastAsia="zh-CN"/>
        </w:rPr>
      </w:pPr>
      <w:r>
        <w:rPr>
          <w:rFonts w:hint="eastAsia"/>
          <w:lang w:val="en-US" w:eastAsia="zh-CN"/>
        </w:rPr>
        <w:t>反思课前预设的学习目标，结合课堂实际与课后跟进练习的完成情况可知，大部分学生能通过分析《自然选择的证明》句式特征，读懂长句句意，归纳读懂长句的方法，感受到长句背后缜密的逻辑思维，对于少数未能熟练掌握句式分析方法的学生，有待教师借助课后作业的讲评进一步落实；在双文本的句式结构进行比较分析中，一部分学生因缺乏明确评价维度如科学推理的完整性、情感强度等，使得讨论易偏离核心目标，类似情况也出现在课后练习二中，启发笔者在后续教学，在提问环节尽可能明确分析角度或方向，使学生更聚焦讨论核心；对于个别学生在归因环节仅从“写作目的”和“文体特征”解释句式差异，从而忽略其他影响因素的现象，教师应当深化学生的文体意识以及强化其对于不同文体的特征辨析能</w:t>
      </w:r>
      <w:r>
        <w:rPr>
          <w:rFonts w:hint="eastAsia" w:eastAsia="宋体" w:cs="Times New Roman"/>
          <w:lang w:val="en-US" w:eastAsia="zh-CN"/>
        </w:rPr>
        <w:t>力，培养其全面深入的思考能力。</w:t>
      </w:r>
    </w:p>
    <w:p w14:paraId="52CA4913">
      <w:pPr>
        <w:pStyle w:val="8"/>
        <w:keepNext w:val="0"/>
        <w:keepLines w:val="0"/>
        <w:pageBreakBefore w:val="0"/>
        <w:kinsoku/>
        <w:wordWrap/>
        <w:overflowPunct/>
        <w:topLinePunct w:val="0"/>
        <w:autoSpaceDE/>
        <w:autoSpaceDN/>
        <w:bidi w:val="0"/>
        <w:adjustRightInd/>
        <w:spacing w:after="0" w:afterAutospacing="0" w:line="360" w:lineRule="auto"/>
        <w:ind w:firstLine="420" w:firstLineChars="200"/>
        <w:jc w:val="left"/>
        <w:textAlignment w:val="auto"/>
        <w:rPr>
          <w:rFonts w:hint="eastAsia"/>
          <w:sz w:val="21"/>
          <w:lang w:eastAsia="zh-CN"/>
        </w:rPr>
      </w:pPr>
      <w:r>
        <w:rPr>
          <w:rFonts w:hint="eastAsia"/>
          <w:sz w:val="21"/>
          <w:lang w:eastAsia="zh-CN"/>
        </w:rPr>
        <w:t>综上，通过对《自然选择的证明》和《宇宙的边疆》两篇文章的句式教学探索，我们可以深刻理解语言形式与科学思维、情感表达之间的深层关系。对科学与文化论著这类文本而言，语言形式是科学思维的载体，是科学推理传达的重要工具。句式不仅是语言选择，更是思维方式与写作立场的体现。</w:t>
      </w:r>
      <w:r>
        <w:rPr>
          <w:rFonts w:hint="eastAsia"/>
          <w:sz w:val="21"/>
          <w:lang w:val="en-US" w:eastAsia="zh-CN"/>
        </w:rPr>
        <w:t>教师可</w:t>
      </w:r>
      <w:r>
        <w:rPr>
          <w:rFonts w:hint="eastAsia"/>
          <w:sz w:val="21"/>
          <w:lang w:eastAsia="zh-CN"/>
        </w:rPr>
        <w:t>从文本的角度解析语言结构、从作者的创作意图角度审视句式安排、并从读者自我的感悟出发理解句式与情感的交融。这一教学策略可以帮助学生在阅读和</w:t>
      </w:r>
      <w:r>
        <w:rPr>
          <w:rFonts w:hint="eastAsia"/>
          <w:sz w:val="21"/>
          <w:lang w:val="en-US" w:eastAsia="zh-CN"/>
        </w:rPr>
        <w:t>比较</w:t>
      </w:r>
      <w:r>
        <w:rPr>
          <w:rFonts w:hint="eastAsia"/>
          <w:sz w:val="21"/>
          <w:lang w:eastAsia="zh-CN"/>
        </w:rPr>
        <w:t>中形成较为全面的思维方式，不仅关注科学内容的呈现，更能理解作者背后的思想深度与情感色彩，真正实现语言表达与思想传达的共振。</w:t>
      </w:r>
    </w:p>
    <w:p w14:paraId="1C21B394">
      <w:pPr>
        <w:pStyle w:val="8"/>
        <w:keepNext w:val="0"/>
        <w:keepLines w:val="0"/>
        <w:pageBreakBefore w:val="0"/>
        <w:kinsoku/>
        <w:wordWrap/>
        <w:overflowPunct/>
        <w:topLinePunct w:val="0"/>
        <w:autoSpaceDE/>
        <w:autoSpaceDN/>
        <w:bidi w:val="0"/>
        <w:adjustRightInd/>
        <w:spacing w:after="0" w:afterAutospacing="0" w:line="360" w:lineRule="auto"/>
        <w:ind w:firstLine="420" w:firstLineChars="200"/>
        <w:jc w:val="left"/>
        <w:textAlignment w:val="auto"/>
        <w:rPr>
          <w:rFonts w:hint="eastAsia"/>
          <w:sz w:val="21"/>
          <w:lang w:eastAsia="zh-CN"/>
        </w:rPr>
      </w:pPr>
    </w:p>
    <w:p w14:paraId="2AE80D94">
      <w:pPr>
        <w:pStyle w:val="8"/>
        <w:keepNext w:val="0"/>
        <w:keepLines w:val="0"/>
        <w:pageBreakBefore w:val="0"/>
        <w:kinsoku/>
        <w:wordWrap/>
        <w:overflowPunct/>
        <w:topLinePunct w:val="0"/>
        <w:autoSpaceDE/>
        <w:autoSpaceDN/>
        <w:bidi w:val="0"/>
        <w:adjustRightInd/>
        <w:spacing w:after="0" w:afterAutospacing="0" w:line="360" w:lineRule="auto"/>
        <w:ind w:firstLine="420" w:firstLineChars="200"/>
        <w:jc w:val="left"/>
        <w:textAlignment w:val="auto"/>
        <w:rPr>
          <w:rFonts w:hint="eastAsia"/>
          <w:sz w:val="21"/>
          <w:lang w:eastAsia="zh-CN"/>
        </w:rPr>
      </w:pPr>
    </w:p>
    <w:p w14:paraId="7C825E9C">
      <w:pPr>
        <w:keepNext w:val="0"/>
        <w:keepLines w:val="0"/>
        <w:pageBreakBefore w:val="0"/>
        <w:kinsoku/>
        <w:wordWrap/>
        <w:overflowPunct/>
        <w:topLinePunct w:val="0"/>
        <w:autoSpaceDE/>
        <w:autoSpaceDN/>
        <w:bidi w:val="0"/>
        <w:adjustRightInd/>
        <w:spacing w:line="360" w:lineRule="auto"/>
        <w:textAlignment w:val="auto"/>
        <w:rPr>
          <w:szCs w:val="21"/>
        </w:rPr>
      </w:pPr>
      <w:r>
        <w:rPr>
          <w:rFonts w:hint="eastAsia" w:ascii="宋体" w:hAnsi="宋体" w:cs="宋体"/>
          <w:b/>
          <w:bCs/>
        </w:rPr>
        <w:t>参考文献</w:t>
      </w:r>
    </w:p>
    <w:p w14:paraId="36A67A3F">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rPr>
          <w:rFonts w:hint="eastAsia" w:ascii="宋体" w:hAnsi="宋体" w:cs="宋体"/>
          <w:sz w:val="21"/>
        </w:rPr>
      </w:pPr>
      <w:r>
        <w:rPr>
          <w:rFonts w:hint="eastAsia" w:ascii="宋体" w:hAnsi="宋体" w:cs="宋体"/>
          <w:sz w:val="21"/>
        </w:rPr>
        <w:t>中华人民共和国教育部. 《普通高中语文课程标准（2020年修订版）》[S]. 北京：人民教育出版社,2020.</w:t>
      </w:r>
    </w:p>
    <w:p w14:paraId="45B14B79">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rPr>
          <w:rFonts w:hint="eastAsia" w:ascii="宋体" w:hAnsi="宋体" w:cs="宋体"/>
          <w:sz w:val="21"/>
        </w:rPr>
      </w:pPr>
      <w:r>
        <w:rPr>
          <w:rFonts w:hint="eastAsia" w:ascii="宋体" w:hAnsi="宋体" w:cs="宋体"/>
          <w:sz w:val="21"/>
          <w:lang w:eastAsia="zh-Hans"/>
        </w:rPr>
        <w:t>人民教育出版社，课程教材研究所，中学语文课程教材研究开发中心.普通高中教科书教师教学用书 语文：选择性必修</w:t>
      </w:r>
      <w:r>
        <w:rPr>
          <w:rFonts w:hint="eastAsia" w:ascii="宋体" w:hAnsi="宋体" w:cs="宋体"/>
          <w:sz w:val="21"/>
        </w:rPr>
        <w:t>下</w:t>
      </w:r>
      <w:r>
        <w:rPr>
          <w:rFonts w:hint="eastAsia" w:ascii="宋体" w:hAnsi="宋体" w:cs="宋体"/>
          <w:sz w:val="21"/>
          <w:lang w:eastAsia="zh-Hans"/>
        </w:rPr>
        <w:t>册［M］.北京：人民教育出版社</w:t>
      </w:r>
      <w:r>
        <w:rPr>
          <w:rFonts w:hint="eastAsia" w:ascii="宋体" w:hAnsi="宋体" w:cs="宋体"/>
          <w:sz w:val="21"/>
        </w:rPr>
        <w:t>,</w:t>
      </w:r>
      <w:r>
        <w:rPr>
          <w:rFonts w:hint="eastAsia" w:ascii="宋体" w:hAnsi="宋体" w:cs="宋体"/>
          <w:sz w:val="21"/>
          <w:lang w:eastAsia="zh-Hans"/>
        </w:rPr>
        <w:t>2020：1</w:t>
      </w:r>
      <w:r>
        <w:rPr>
          <w:rFonts w:hint="eastAsia" w:ascii="宋体" w:hAnsi="宋体" w:cs="宋体"/>
          <w:sz w:val="21"/>
        </w:rPr>
        <w:t>86-194</w:t>
      </w:r>
      <w:r>
        <w:rPr>
          <w:rFonts w:hint="eastAsia" w:ascii="宋体" w:hAnsi="宋体" w:cs="宋体"/>
          <w:sz w:val="21"/>
          <w:lang w:eastAsia="zh-Hans"/>
        </w:rPr>
        <w:t>.</w:t>
      </w:r>
    </w:p>
    <w:p w14:paraId="42CC4F7F">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rPr>
          <w:rFonts w:hint="eastAsia" w:ascii="宋体" w:hAnsi="宋体" w:cs="宋体"/>
          <w:sz w:val="21"/>
        </w:rPr>
      </w:pPr>
      <w:r>
        <w:rPr>
          <w:rFonts w:hint="eastAsia" w:ascii="宋体" w:hAnsi="宋体" w:cs="宋体"/>
          <w:sz w:val="21"/>
        </w:rPr>
        <w:t>王荣生. 阅读教学设计的要诀[M]. 北京：中国轻工业出版社, 2014.</w:t>
      </w:r>
    </w:p>
    <w:p w14:paraId="28A9B50C">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rPr>
          <w:rFonts w:hint="eastAsia" w:ascii="宋体" w:hAnsi="宋体" w:cs="宋体"/>
          <w:sz w:val="21"/>
        </w:rPr>
      </w:pPr>
      <w:r>
        <w:rPr>
          <w:rFonts w:hint="eastAsia" w:ascii="宋体" w:hAnsi="宋体" w:cs="宋体"/>
          <w:sz w:val="21"/>
        </w:rPr>
        <w:t>叶圣陶. 《语文教学二十韵》[M]. 北京：教育科学出版社,1980</w:t>
      </w:r>
    </w:p>
    <w:p w14:paraId="212BBBB5">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pPr>
      <w:r>
        <w:rPr>
          <w:rFonts w:hint="eastAsia" w:ascii="宋体" w:hAnsi="宋体" w:cs="宋体"/>
          <w:sz w:val="21"/>
        </w:rPr>
        <w:t>王泉泉,魏铭,刘霞.核心素养框架下科学素养的内涵与结构[J].北京师范大学学报:社会科学版,2019(02):52-58.</w:t>
      </w:r>
    </w:p>
    <w:p w14:paraId="669C3661">
      <w:pPr>
        <w:pStyle w:val="9"/>
        <w:keepNext w:val="0"/>
        <w:keepLines w:val="0"/>
        <w:pageBreakBefore w:val="0"/>
        <w:numPr>
          <w:ilvl w:val="0"/>
          <w:numId w:val="7"/>
        </w:numPr>
        <w:kinsoku/>
        <w:wordWrap/>
        <w:overflowPunct/>
        <w:topLinePunct w:val="0"/>
        <w:autoSpaceDE/>
        <w:autoSpaceDN/>
        <w:bidi w:val="0"/>
        <w:adjustRightInd/>
        <w:spacing w:line="360" w:lineRule="auto"/>
        <w:textAlignment w:val="auto"/>
      </w:pPr>
      <w:r>
        <w:rPr>
          <w:rFonts w:hint="eastAsia" w:ascii="宋体" w:hAnsi="宋体" w:cs="宋体"/>
          <w:sz w:val="21"/>
        </w:rPr>
        <w:t>赵诗雨.高中文言文特殊句式教学探究[D].贵州师范大学,2014.</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Songti SC">
    <w:altName w:val="宋体"/>
    <w:panose1 w:val="00000000000000000000"/>
    <w:charset w:val="86"/>
    <w:family w:val="auto"/>
    <w:pitch w:val="default"/>
    <w:sig w:usb0="00000000" w:usb1="00000000" w:usb2="00000000" w:usb3="00000000" w:csb0="00160000" w:csb1="00000000"/>
  </w:font>
  <w:font w:name="Songti SC Bold">
    <w:altName w:val="宋体"/>
    <w:panose1 w:val="00000000000000000000"/>
    <w:charset w:val="86"/>
    <w:family w:val="auto"/>
    <w:pitch w:val="default"/>
    <w:sig w:usb0="00000000" w:usb1="00000000" w:usb2="00000000" w:usb3="00000000" w:csb0="0016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3DE33"/>
    <w:multiLevelType w:val="singleLevel"/>
    <w:tmpl w:val="8363DE33"/>
    <w:lvl w:ilvl="0" w:tentative="0">
      <w:start w:val="1"/>
      <w:numFmt w:val="decimal"/>
      <w:lvlText w:val="%1."/>
      <w:lvlJc w:val="left"/>
      <w:pPr>
        <w:ind w:left="425" w:hanging="425"/>
      </w:pPr>
      <w:rPr>
        <w:rFonts w:hint="default"/>
      </w:rPr>
    </w:lvl>
  </w:abstractNum>
  <w:abstractNum w:abstractNumId="1">
    <w:nsid w:val="88AB3C64"/>
    <w:multiLevelType w:val="singleLevel"/>
    <w:tmpl w:val="88AB3C64"/>
    <w:lvl w:ilvl="0" w:tentative="0">
      <w:start w:val="1"/>
      <w:numFmt w:val="chineseCounting"/>
      <w:suff w:val="nothing"/>
      <w:lvlText w:val="（%1）"/>
      <w:lvlJc w:val="left"/>
      <w:pPr>
        <w:ind w:left="0" w:firstLine="420"/>
      </w:pPr>
      <w:rPr>
        <w:rFonts w:hint="eastAsia"/>
      </w:rPr>
    </w:lvl>
  </w:abstractNum>
  <w:abstractNum w:abstractNumId="2">
    <w:nsid w:val="A8CB53C1"/>
    <w:multiLevelType w:val="singleLevel"/>
    <w:tmpl w:val="A8CB53C1"/>
    <w:lvl w:ilvl="0" w:tentative="0">
      <w:start w:val="1"/>
      <w:numFmt w:val="decimal"/>
      <w:lvlText w:val="%1."/>
      <w:lvlJc w:val="left"/>
      <w:pPr>
        <w:tabs>
          <w:tab w:val="left" w:pos="312"/>
        </w:tabs>
      </w:pPr>
    </w:lvl>
  </w:abstractNum>
  <w:abstractNum w:abstractNumId="3">
    <w:nsid w:val="AB69E885"/>
    <w:multiLevelType w:val="singleLevel"/>
    <w:tmpl w:val="AB69E885"/>
    <w:lvl w:ilvl="0" w:tentative="0">
      <w:start w:val="1"/>
      <w:numFmt w:val="decimal"/>
      <w:lvlText w:val="[%1]"/>
      <w:lvlJc w:val="left"/>
      <w:pPr>
        <w:tabs>
          <w:tab w:val="left" w:pos="420"/>
        </w:tabs>
        <w:ind w:left="425" w:hanging="425"/>
      </w:pPr>
      <w:rPr>
        <w:rFonts w:hint="default"/>
      </w:rPr>
    </w:lvl>
  </w:abstractNum>
  <w:abstractNum w:abstractNumId="4">
    <w:nsid w:val="D0DFE524"/>
    <w:multiLevelType w:val="singleLevel"/>
    <w:tmpl w:val="D0DFE524"/>
    <w:lvl w:ilvl="0" w:tentative="0">
      <w:start w:val="1"/>
      <w:numFmt w:val="chineseCounting"/>
      <w:suff w:val="nothing"/>
      <w:lvlText w:val="（%1）"/>
      <w:lvlJc w:val="left"/>
      <w:pPr>
        <w:ind w:left="0" w:firstLine="420"/>
      </w:pPr>
      <w:rPr>
        <w:rFonts w:hint="eastAsia"/>
      </w:rPr>
    </w:lvl>
  </w:abstractNum>
  <w:abstractNum w:abstractNumId="5">
    <w:nsid w:val="D22E8EEB"/>
    <w:multiLevelType w:val="singleLevel"/>
    <w:tmpl w:val="D22E8EEB"/>
    <w:lvl w:ilvl="0" w:tentative="0">
      <w:start w:val="1"/>
      <w:numFmt w:val="chineseCounting"/>
      <w:suff w:val="nothing"/>
      <w:lvlText w:val="（%1）"/>
      <w:lvlJc w:val="left"/>
      <w:pPr>
        <w:ind w:left="0" w:firstLine="420"/>
      </w:pPr>
      <w:rPr>
        <w:rFonts w:hint="eastAsia"/>
      </w:rPr>
    </w:lvl>
  </w:abstractNum>
  <w:abstractNum w:abstractNumId="6">
    <w:nsid w:val="DF2C9C1B"/>
    <w:multiLevelType w:val="singleLevel"/>
    <w:tmpl w:val="DF2C9C1B"/>
    <w:lvl w:ilvl="0" w:tentative="0">
      <w:start w:val="1"/>
      <w:numFmt w:val="chineseCounting"/>
      <w:suff w:val="nothing"/>
      <w:lvlText w:val="%1、"/>
      <w:lvlJc w:val="left"/>
      <w:pPr>
        <w:ind w:left="0" w:firstLine="420"/>
      </w:pPr>
      <w:rPr>
        <w:rFonts w:hint="eastAsia" w:ascii="宋体" w:hAnsi="宋体" w:eastAsia="宋体" w:cs="宋体"/>
        <w:sz w:val="24"/>
        <w:szCs w:val="24"/>
      </w:rPr>
    </w:lvl>
  </w:abstractNum>
  <w:num w:numId="1">
    <w:abstractNumId w:val="6"/>
  </w:num>
  <w:num w:numId="2">
    <w:abstractNumId w:val="5"/>
  </w:num>
  <w:num w:numId="3">
    <w:abstractNumId w:val="0"/>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14BEA"/>
    <w:rsid w:val="00292BAB"/>
    <w:rsid w:val="00BE1545"/>
    <w:rsid w:val="012670EA"/>
    <w:rsid w:val="01AA1AC9"/>
    <w:rsid w:val="0227311A"/>
    <w:rsid w:val="044D0983"/>
    <w:rsid w:val="04DF7CDC"/>
    <w:rsid w:val="07854B6B"/>
    <w:rsid w:val="0ABD22B0"/>
    <w:rsid w:val="0CCA74C4"/>
    <w:rsid w:val="0DD340D1"/>
    <w:rsid w:val="0EF10D38"/>
    <w:rsid w:val="129C0FBA"/>
    <w:rsid w:val="130D3C66"/>
    <w:rsid w:val="13203999"/>
    <w:rsid w:val="14871C3B"/>
    <w:rsid w:val="15930E74"/>
    <w:rsid w:val="17344BB7"/>
    <w:rsid w:val="17982843"/>
    <w:rsid w:val="19923117"/>
    <w:rsid w:val="1B7C5E2D"/>
    <w:rsid w:val="1C33298F"/>
    <w:rsid w:val="1ECB3353"/>
    <w:rsid w:val="1F136AA8"/>
    <w:rsid w:val="202A40A9"/>
    <w:rsid w:val="21E309B4"/>
    <w:rsid w:val="247B3F36"/>
    <w:rsid w:val="25F050A3"/>
    <w:rsid w:val="274E68CF"/>
    <w:rsid w:val="2B6E5792"/>
    <w:rsid w:val="2BFF463C"/>
    <w:rsid w:val="2D452523"/>
    <w:rsid w:val="2D9B00E0"/>
    <w:rsid w:val="2E8E614B"/>
    <w:rsid w:val="300264A9"/>
    <w:rsid w:val="32BB5035"/>
    <w:rsid w:val="375B2943"/>
    <w:rsid w:val="384050DC"/>
    <w:rsid w:val="3A946897"/>
    <w:rsid w:val="3ADB44C6"/>
    <w:rsid w:val="3C2C1F0C"/>
    <w:rsid w:val="3D8F1598"/>
    <w:rsid w:val="3E143D8B"/>
    <w:rsid w:val="3F740CCB"/>
    <w:rsid w:val="3F746C97"/>
    <w:rsid w:val="413C37E5"/>
    <w:rsid w:val="42E934F8"/>
    <w:rsid w:val="43C92380"/>
    <w:rsid w:val="441D5B50"/>
    <w:rsid w:val="4420119C"/>
    <w:rsid w:val="45BE0C6C"/>
    <w:rsid w:val="462C02CC"/>
    <w:rsid w:val="4C392DFB"/>
    <w:rsid w:val="4D07735E"/>
    <w:rsid w:val="4E870795"/>
    <w:rsid w:val="500951DA"/>
    <w:rsid w:val="51C24B3D"/>
    <w:rsid w:val="52D14BEA"/>
    <w:rsid w:val="559426D6"/>
    <w:rsid w:val="58837436"/>
    <w:rsid w:val="58ED5699"/>
    <w:rsid w:val="59CA7788"/>
    <w:rsid w:val="5A8B5169"/>
    <w:rsid w:val="5A9D4E9D"/>
    <w:rsid w:val="5B2F1F99"/>
    <w:rsid w:val="5BB24978"/>
    <w:rsid w:val="5C433822"/>
    <w:rsid w:val="5E587A58"/>
    <w:rsid w:val="64F14763"/>
    <w:rsid w:val="65CB3909"/>
    <w:rsid w:val="6683763C"/>
    <w:rsid w:val="689A0C6D"/>
    <w:rsid w:val="70757FF6"/>
    <w:rsid w:val="717A163C"/>
    <w:rsid w:val="728978F6"/>
    <w:rsid w:val="7295362A"/>
    <w:rsid w:val="754B57C9"/>
    <w:rsid w:val="7608190C"/>
    <w:rsid w:val="77B93D3D"/>
    <w:rsid w:val="7BB93E9E"/>
    <w:rsid w:val="7C014E34"/>
    <w:rsid w:val="7D486788"/>
    <w:rsid w:val="7DB859C6"/>
    <w:rsid w:val="7F47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jc w:val="center"/>
      <w:outlineLvl w:val="0"/>
    </w:pPr>
    <w:rPr>
      <w:rFonts w:ascii="Calibri" w:hAnsi="Calibri" w:eastAsia="宋体" w:cs="宋体"/>
      <w:b/>
      <w:kern w:val="44"/>
      <w:sz w:val="30"/>
    </w:rPr>
  </w:style>
  <w:style w:type="paragraph" w:styleId="4">
    <w:name w:val="heading 2"/>
    <w:basedOn w:val="1"/>
    <w:next w:val="1"/>
    <w:link w:val="15"/>
    <w:semiHidden/>
    <w:unhideWhenUsed/>
    <w:qFormat/>
    <w:uiPriority w:val="0"/>
    <w:pPr>
      <w:keepNext/>
      <w:keepLines/>
      <w:spacing w:before="260" w:after="260" w:line="413" w:lineRule="auto"/>
      <w:jc w:val="center"/>
      <w:outlineLvl w:val="1"/>
    </w:pPr>
    <w:rPr>
      <w:rFonts w:ascii="Arial" w:hAnsi="Arial" w:eastAsia="宋体"/>
      <w:b/>
      <w:sz w:val="30"/>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楷体"/>
      <w:b/>
      <w:sz w:val="28"/>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 w:type="paragraph" w:styleId="6">
    <w:name w:val="annotation text"/>
    <w:basedOn w:val="1"/>
    <w:qFormat/>
    <w:uiPriority w:val="0"/>
    <w:pPr>
      <w:jc w:val="left"/>
    </w:pPr>
  </w:style>
  <w:style w:type="paragraph" w:styleId="7">
    <w:name w:val="Body Text"/>
    <w:basedOn w:val="1"/>
    <w:semiHidden/>
    <w:qFormat/>
    <w:uiPriority w:val="0"/>
    <w:rPr>
      <w:rFonts w:ascii="宋体" w:hAnsi="宋体" w:cs="宋体"/>
      <w:sz w:val="24"/>
      <w:szCs w:val="24"/>
      <w:lang w:eastAsia="en-US"/>
    </w:rPr>
  </w:style>
  <w:style w:type="paragraph" w:styleId="8">
    <w:name w:val="Plain Text"/>
    <w:basedOn w:val="1"/>
    <w:qFormat/>
    <w:uiPriority w:val="99"/>
    <w:pPr>
      <w:widowControl/>
      <w:spacing w:after="100" w:afterAutospacing="1" w:line="480" w:lineRule="exact"/>
      <w:ind w:firstLine="100" w:firstLineChars="100"/>
      <w:jc w:val="left"/>
    </w:pPr>
    <w:rPr>
      <w:rFonts w:ascii="宋体" w:hAnsi="Courier New"/>
      <w:kern w:val="0"/>
      <w:sz w:val="20"/>
      <w:szCs w:val="21"/>
      <w:lang w:eastAsia="en-US"/>
    </w:rPr>
  </w:style>
  <w:style w:type="paragraph" w:styleId="9">
    <w:name w:val="footnote text"/>
    <w:basedOn w:val="1"/>
    <w:qFormat/>
    <w:uiPriority w:val="0"/>
    <w:pPr>
      <w:snapToGrid w:val="0"/>
      <w:jc w:val="left"/>
    </w:pPr>
    <w:rPr>
      <w:sz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character" w:customStyle="1" w:styleId="15">
    <w:name w:val="标题 2 字符"/>
    <w:link w:val="4"/>
    <w:autoRedefine/>
    <w:qFormat/>
    <w:uiPriority w:val="0"/>
    <w:rPr>
      <w:rFonts w:ascii="Arial" w:hAnsi="Arial" w:eastAsia="宋体"/>
      <w:b/>
      <w:sz w:val="30"/>
    </w:rPr>
  </w:style>
  <w:style w:type="paragraph" w:styleId="16">
    <w:name w:val="List Paragraph"/>
    <w:basedOn w:val="1"/>
    <w:unhideWhenUsed/>
    <w:qFormat/>
    <w:uiPriority w:val="99"/>
    <w:pPr>
      <w:ind w:firstLine="420" w:firstLineChars="200"/>
    </w:pPr>
  </w:style>
  <w:style w:type="paragraph" w:customStyle="1" w:styleId="17">
    <w:name w:val="Compact"/>
    <w:basedOn w:val="7"/>
    <w:qFormat/>
    <w:uiPriority w:val="0"/>
    <w:pPr>
      <w:spacing w:before="36" w:after="36"/>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6228</Words>
  <Characters>6303</Characters>
  <Lines>0</Lines>
  <Paragraphs>0</Paragraphs>
  <TotalTime>6</TotalTime>
  <ScaleCrop>false</ScaleCrop>
  <LinksUpToDate>false</LinksUpToDate>
  <CharactersWithSpaces>6316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2025-05-06T04:52:00Z</dcterms:created>
  <dc:creator>渊源～</dc:creator>
  <cp:lastModifiedBy>渊源～</cp:lastModifiedBy>
  <dcterms:modified xsi:type="dcterms:W3CDTF">2025-05-07T00:51:12Z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BD427FDBE0A64B9BBE63D43DDD90EBB7_13</vt:lpwstr>
  </property>
  <property fmtid="{D5CDD505-2E9C-101B-9397-08002B2CF9AE}" pid="4" name="KSOTemplateDocerSaveRecord">
    <vt:lpwstr>eyJoZGlkIjoiZDJmNzA5NDYzZDI2ODYyYTFkMWNkN2FjZmIyZmQ0M2YiLCJ1c2VySWQiOiI1MDE1MDU1MjkifQ==</vt:lpwstr>
  </property>
</Properties>
</file>