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F82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黑体" w:hAnsi="黑体" w:eastAsia="黑体" w:cstheme="minorBidi"/>
          <w:sz w:val="32"/>
          <w:szCs w:val="32"/>
        </w:rPr>
      </w:pPr>
      <w:r>
        <w:rPr>
          <w:rFonts w:hint="eastAsia" w:ascii="黑体" w:hAnsi="黑体" w:eastAsia="黑体" w:cstheme="minorBidi"/>
          <w:sz w:val="32"/>
          <w:szCs w:val="32"/>
        </w:rPr>
        <w:t>家园共育视域下户外创意美术活动的实践探索</w:t>
      </w:r>
    </w:p>
    <w:p w14:paraId="6471EE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黑体" w:hAnsi="黑体" w:eastAsia="黑体" w:cstheme="minorBidi"/>
          <w:sz w:val="32"/>
          <w:szCs w:val="32"/>
        </w:rPr>
      </w:pPr>
      <w:r>
        <w:rPr>
          <w:rFonts w:hint="eastAsia" w:ascii="黑体" w:hAnsi="黑体" w:eastAsia="黑体" w:cstheme="minorBidi"/>
          <w:sz w:val="32"/>
          <w:szCs w:val="32"/>
        </w:rPr>
        <w:t>——以“行走课堂”为例</w:t>
      </w:r>
      <w:bookmarkStart w:id="2" w:name="_GoBack"/>
      <w:bookmarkEnd w:id="2"/>
    </w:p>
    <w:p w14:paraId="4A3ACDF7">
      <w:pPr>
        <w:keepNext w:val="0"/>
        <w:keepLines w:val="0"/>
        <w:pageBreakBefore w:val="0"/>
        <w:widowControl w:val="0"/>
        <w:kinsoku/>
        <w:wordWrap/>
        <w:overflowPunct/>
        <w:topLinePunct w:val="0"/>
        <w:autoSpaceDE/>
        <w:autoSpaceDN/>
        <w:bidi w:val="0"/>
        <w:adjustRightInd w:val="0"/>
        <w:snapToGrid w:val="0"/>
        <w:spacing w:before="157" w:beforeLines="50"/>
        <w:ind w:left="0" w:leftChars="0" w:firstLine="0" w:firstLineChars="0"/>
        <w:jc w:val="center"/>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上海市徐汇区徐汇实验幼儿园    李菁</w:t>
      </w:r>
    </w:p>
    <w:p w14:paraId="7E8A65E2">
      <w:pPr>
        <w:keepNext w:val="0"/>
        <w:keepLines w:val="0"/>
        <w:pageBreakBefore w:val="0"/>
        <w:widowControl w:val="0"/>
        <w:kinsoku/>
        <w:wordWrap/>
        <w:overflowPunct/>
        <w:topLinePunct w:val="0"/>
        <w:autoSpaceDE/>
        <w:autoSpaceDN/>
        <w:bidi w:val="0"/>
        <w:adjustRightInd w:val="0"/>
        <w:snapToGrid w:val="0"/>
        <w:spacing w:before="157" w:beforeLines="50"/>
        <w:ind w:left="0" w:leftChars="0" w:firstLine="0" w:firstLineChars="0"/>
        <w:jc w:val="center"/>
        <w:textAlignment w:val="auto"/>
        <w:rPr>
          <w:rFonts w:hint="default" w:asciiTheme="minorEastAsia" w:hAnsiTheme="minorEastAsia" w:eastAsiaTheme="minorEastAsia"/>
          <w:szCs w:val="21"/>
          <w:lang w:val="en-US" w:eastAsia="zh-CN"/>
        </w:rPr>
      </w:pPr>
    </w:p>
    <w:p w14:paraId="1B6AAE82">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b/>
          <w:bCs/>
          <w:sz w:val="21"/>
          <w:szCs w:val="21"/>
          <w:lang w:val="en-US" w:eastAsia="zh-CN"/>
        </w:rPr>
        <w:t>【摘要】</w:t>
      </w:r>
      <w:r>
        <w:rPr>
          <w:rFonts w:hint="eastAsia" w:cs="Times New Roman" w:asciiTheme="minorEastAsia" w:hAnsiTheme="minorEastAsia" w:eastAsiaTheme="minorEastAsia"/>
          <w:sz w:val="21"/>
          <w:szCs w:val="21"/>
          <w:lang w:eastAsia="zh-CN"/>
        </w:rPr>
        <w:t>新时代教育改革背景下，美育作为幼儿全面发展的重要载体，亟需突破传统课堂的边界限制与资源割裂问题。本研究以家园共育为视角，聚焦户外创意美术活动的系统化建构，探索自然、社会与家庭资源的整合路径，基于生活教育理论与具身认知理论，通过实践研究构建“资源—活动—机制”协同框架，旨在解决美育场景封闭化、课程同质化及家园协作浅表化等现实困境。</w:t>
      </w:r>
    </w:p>
    <w:p w14:paraId="0E5C1330">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sz w:val="21"/>
          <w:szCs w:val="21"/>
          <w:lang w:eastAsia="zh-CN"/>
        </w:rPr>
        <w:t>研究提出以动态资源网络为核心，通过分层活动设计与多元主体协同，形成开放融合的课程生态。资源整合强调自然景观、文化场馆与社区单位的联动开发，分层活动依据幼儿认知规律，从感官浸润逐步过渡到综合创作，实现审美感知与创造表达的有机衔接。家园社协同机制创新家长角色定位，推动家庭从资源支持者转向课程共建者，促进教育目标的深度渗透。实践表明，户外创意美术活动通过真实场景的沉浸体验与多方协作，显著激发幼儿的审美兴趣与创造力，为幼儿园美育课程的生活化转型提供了可操作路径。</w:t>
      </w:r>
    </w:p>
    <w:p w14:paraId="0D7D72AD">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b/>
          <w:bCs/>
          <w:sz w:val="21"/>
          <w:szCs w:val="21"/>
          <w:lang w:val="en-US" w:eastAsia="zh-CN"/>
        </w:rPr>
        <w:t>【关键词】</w:t>
      </w:r>
      <w:r>
        <w:rPr>
          <w:rFonts w:hint="eastAsia" w:cs="Times New Roman" w:asciiTheme="minorEastAsia" w:hAnsiTheme="minorEastAsia" w:eastAsiaTheme="minorEastAsia"/>
          <w:sz w:val="21"/>
          <w:szCs w:val="21"/>
          <w:lang w:eastAsia="zh-CN"/>
        </w:rPr>
        <w:t>家园共育；创意美术；行走课堂；资源整合</w:t>
      </w:r>
    </w:p>
    <w:p w14:paraId="72580928">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p>
    <w:p w14:paraId="1E11B5BF">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p>
    <w:p w14:paraId="16731E36">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422" w:firstLineChars="200"/>
        <w:textAlignment w:val="auto"/>
        <w:outlineLvl w:val="0"/>
        <w:rPr>
          <w:rFonts w:hint="default"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一、研究背景与意义</w:t>
      </w:r>
    </w:p>
    <w:p w14:paraId="35ACB57B">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（一）政策背景</w:t>
      </w:r>
    </w:p>
    <w:p w14:paraId="7DB341F9">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sz w:val="21"/>
          <w:szCs w:val="21"/>
          <w:lang w:eastAsia="zh-CN"/>
        </w:rPr>
        <w:t>在新时代教育改革与“五育并举”战略深入推进的背景下，美育作为培育幼儿审美素养、激发创造潜能的重要途径，其价值定位与实践形态正经历深刻变革。教育部于2015年颁布《关于全面加强和改进学校美育工作的意见》，首次将美育纳入国家教育战略体系；2020年进一步印发《关于全面加强和改进新时代学校美育工作的意见》，明确提出“新时代美育视角”，要求学校以更高站位推进美育实践。文件强调，美育不仅是审美教育、情操教育与心灵教育，更是激发想象力与创新意识的关键载体，需通过科学课程设计与资源整合，实现“提升审美素养、温润心灵、激发创造力”的核心目标。</w:t>
      </w:r>
    </w:p>
    <w:p w14:paraId="7AA71ED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sz w:val="21"/>
          <w:szCs w:val="21"/>
          <w:lang w:eastAsia="zh-CN"/>
        </w:rPr>
        <w:t>针对学前教育阶段，政策明确要求以“培养幼儿美好心灵与珍惜美好事物的能力”为方向，将美育目标融入课程体系。这要求幼儿园突破传统美术技能训练的局限，转向以儿童为中心的视角，通过艺术游戏与真实情境体验，释放幼儿的自主探索与表达潜能。政策倡导统筹社会资源，鼓励学校与艺术场馆、社区单位深度合作，将自然景观、文化遗产转化为美育素材。在此背景下，户外创意美术活动通过“行走课堂”形式，将课堂延伸至自然与社会场景，既契合幼儿好奇、好动的天性，又呼应政策对资源整合与课程创新的要求。然而，当前幼儿园美育仍普遍面临多重困境：园内活动空间有限导致课程形式单一化，过度强调美术技能训练而忽视幼儿的真实体验，家校社资源分散难以形成育人合力。这些矛盾制约了美育在幼儿情感陶冶、创造力发展中的深层价值实现，难以满足幼儿对自然探索、社会互动与艺术表达的多维需求。</w:t>
      </w:r>
    </w:p>
    <w:p w14:paraId="3361C17F">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sz w:val="21"/>
          <w:szCs w:val="21"/>
          <w:lang w:eastAsia="zh-CN"/>
        </w:rPr>
        <w:t>在此背景下，本研究以上海徐汇实验幼儿园“行走课堂”为切入点，聚焦户外创意美术活动的实践探索，破解传统美育中资源割裂、形式单一与协同不足的困境，通过整合自然、社区与家庭资源，构建开放融合的课程场景，将创意美术活动从室内延伸至户外，引导幼儿在真实环境中发现美、感受美、欣赏美、表现美、创造美，形成“自然浸润、社会对话、家庭共创”的家园共育模式。这一实践不仅切合政策对美育创新的要求，更通过多方协作推动教育目标的深度渗透，为幼儿审美素养的全面提升提供了新的思路与实践参考。</w:t>
      </w:r>
    </w:p>
    <w:p w14:paraId="26405094">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（二）研究现状</w:t>
      </w:r>
    </w:p>
    <w:p w14:paraId="6A1FC946">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1.</w:t>
      </w:r>
      <w:r>
        <w:rPr>
          <w:rFonts w:hint="eastAsia" w:cs="Times New Roman" w:asciiTheme="minorEastAsia" w:hAnsiTheme="minorEastAsia" w:eastAsiaTheme="minorEastAsia"/>
          <w:b/>
          <w:bCs/>
          <w:sz w:val="21"/>
          <w:szCs w:val="21"/>
          <w:lang w:val="en-US" w:eastAsia="zh-CN"/>
        </w:rPr>
        <w:t>国外研究现状</w:t>
      </w:r>
    </w:p>
    <w:p w14:paraId="5275EF6B">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国外幼儿美育研究长期聚焦于自然教育与审美能力发展的关联，强调真实场景中的体验式学习对幼儿创造力与审美感知的促进作用。其中，自然教育家约瑟夫·克奈尔的“自然教育革命”影响深远。克奈尔在其1979年出版的著作《共享自然》中提出，自然不仅是知识的来源，更是审美体验与心灵成长的载体。他开发的“流水学习法”，通过游戏化设计将户外活动分为四个阶段——唤醒热情、培养专注力、直接体验与分享感悟，引导参与者沉浸于自然环境中，在观察、触摸、探索的过程中感受自然之美，并转化为个性化的艺术表达[</w:t>
      </w:r>
      <w:r>
        <w:rPr>
          <w:rFonts w:hint="eastAsia" w:cs="Times New Roman" w:asciiTheme="minorEastAsia" w:hAnsiTheme="minorEastAsia" w:eastAsiaTheme="minorEastAsia"/>
          <w:sz w:val="21"/>
          <w:szCs w:val="21"/>
          <w:lang w:val="en-US" w:eastAsia="zh-CN"/>
        </w:rPr>
        <w:footnoteReference w:id="0"/>
      </w:r>
      <w:r>
        <w:rPr>
          <w:rFonts w:hint="eastAsia" w:cs="Times New Roman" w:asciiTheme="minorEastAsia" w:hAnsiTheme="minorEastAsia" w:eastAsiaTheme="minorEastAsia"/>
          <w:sz w:val="21"/>
          <w:szCs w:val="21"/>
          <w:lang w:val="en-US" w:eastAsia="zh-CN"/>
        </w:rPr>
        <w:t>]。这一方法有效提升了幼儿的学习专注力，通过分享环节强化了审美经验的传递与反思，为户外美育提供了系统的实践框架。</w:t>
      </w:r>
    </w:p>
    <w:p w14:paraId="2F4EF50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部分国外研究注重教育者的专业能力培养。韩国学者Jung与Ja（</w:t>
      </w:r>
      <w:r>
        <w:rPr>
          <w:rFonts w:hint="default" w:cs="Times New Roman" w:asciiTheme="minorEastAsia" w:hAnsiTheme="minorEastAsia" w:eastAsiaTheme="minorEastAsia"/>
          <w:sz w:val="21"/>
          <w:szCs w:val="21"/>
          <w:lang w:val="en-US" w:eastAsia="zh-CN"/>
        </w:rPr>
        <w:t>2017</w:t>
      </w:r>
      <w:r>
        <w:rPr>
          <w:rFonts w:hint="eastAsia" w:cs="Times New Roman" w:asciiTheme="minorEastAsia" w:hAnsiTheme="minorEastAsia" w:eastAsiaTheme="minorEastAsia"/>
          <w:sz w:val="21"/>
          <w:szCs w:val="21"/>
          <w:lang w:val="en-US" w:eastAsia="zh-CN"/>
        </w:rPr>
        <w:t>）通过调查发现，许多教师存在“美育等同于绘画技能训练”的认知偏差，提出需通过情境化课程重构美育观[</w:t>
      </w:r>
      <w:r>
        <w:rPr>
          <w:rFonts w:hint="eastAsia" w:cs="Times New Roman" w:asciiTheme="minorEastAsia" w:hAnsiTheme="minorEastAsia" w:eastAsiaTheme="minorEastAsia"/>
          <w:sz w:val="21"/>
          <w:szCs w:val="21"/>
          <w:lang w:val="en-US" w:eastAsia="zh-CN"/>
        </w:rPr>
        <w:footnoteReference w:id="1"/>
      </w:r>
      <w:r>
        <w:rPr>
          <w:rFonts w:hint="eastAsia" w:cs="Times New Roman" w:asciiTheme="minorEastAsia" w:hAnsiTheme="minorEastAsia" w:eastAsiaTheme="minorEastAsia"/>
          <w:sz w:val="21"/>
          <w:szCs w:val="21"/>
          <w:lang w:val="en-US" w:eastAsia="zh-CN"/>
        </w:rPr>
        <w:t>]。乌克兰学者Krasovska（</w:t>
      </w:r>
      <w:r>
        <w:rPr>
          <w:rFonts w:hint="default" w:cs="Times New Roman" w:asciiTheme="minorEastAsia" w:hAnsiTheme="minorEastAsia" w:eastAsiaTheme="minorEastAsia"/>
          <w:sz w:val="21"/>
          <w:szCs w:val="21"/>
          <w:lang w:val="en-US" w:eastAsia="zh-CN"/>
        </w:rPr>
        <w:t>2020</w:t>
      </w:r>
      <w:r>
        <w:rPr>
          <w:rFonts w:hint="eastAsia" w:cs="Times New Roman" w:asciiTheme="minorEastAsia" w:hAnsiTheme="minorEastAsia" w:eastAsiaTheme="minorEastAsia"/>
          <w:sz w:val="21"/>
          <w:szCs w:val="21"/>
          <w:lang w:val="en-US" w:eastAsia="zh-CN"/>
        </w:rPr>
        <w:t>）开发的“五步沉浸式培训模型”，倡导教师通过设计社区艺术项目、模拟美术馆策展等实践，提升资源整合与活动设计能力[</w:t>
      </w:r>
      <w:r>
        <w:rPr>
          <w:rFonts w:hint="eastAsia" w:cs="Times New Roman" w:asciiTheme="minorEastAsia" w:hAnsiTheme="minorEastAsia" w:eastAsiaTheme="minorEastAsia"/>
          <w:sz w:val="21"/>
          <w:szCs w:val="21"/>
          <w:lang w:val="en-US" w:eastAsia="zh-CN"/>
        </w:rPr>
        <w:footnoteReference w:id="2"/>
      </w:r>
      <w:r>
        <w:rPr>
          <w:rFonts w:hint="eastAsia" w:cs="Times New Roman" w:asciiTheme="minorEastAsia" w:hAnsiTheme="minorEastAsia" w:eastAsiaTheme="minorEastAsia"/>
          <w:sz w:val="21"/>
          <w:szCs w:val="21"/>
          <w:lang w:val="en-US" w:eastAsia="zh-CN"/>
        </w:rPr>
        <w:t>]。这些研究共同揭示了两大趋势：一是自然体验与艺术表达的深度融合能够激发幼儿的创造力；二是教师的场景创设能力是户外美育实施的关键保障。然而，国外研究多聚焦单一资源类型，对家庭与社区协同育人的路径探讨不足，尚未形成多元联动的课程生态。</w:t>
      </w:r>
    </w:p>
    <w:p w14:paraId="5DD6DFC4">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2.</w:t>
      </w:r>
      <w:r>
        <w:rPr>
          <w:rFonts w:hint="eastAsia" w:cs="Times New Roman" w:asciiTheme="minorEastAsia" w:hAnsiTheme="minorEastAsia" w:eastAsiaTheme="minorEastAsia"/>
          <w:b/>
          <w:bCs/>
          <w:sz w:val="21"/>
          <w:szCs w:val="21"/>
          <w:lang w:val="en-US" w:eastAsia="zh-CN"/>
        </w:rPr>
        <w:t>国内研究现状</w:t>
      </w:r>
    </w:p>
    <w:p w14:paraId="08185FF8">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国内研究近年来围绕“自然资源开发”“文化传承创新”与“家园协同机制”三大方向展开探索，逐步形成本土化的美育实践模式。</w:t>
      </w:r>
    </w:p>
    <w:p w14:paraId="7E443320">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outlineLvl w:val="3"/>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（1）自然资源与美育课程的有机融合</w:t>
      </w:r>
    </w:p>
    <w:p w14:paraId="235F7F93">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学者普遍认为，自然场景能为幼儿提供开放的审美体验空间。吴昳云（2025）提出“自然美育三阶模型”，主张通过感官唤醒、艺术转化与生态反思实现审美素养的阶梯式提升[</w:t>
      </w:r>
      <w:r>
        <w:rPr>
          <w:rFonts w:hint="eastAsia" w:cs="Times New Roman" w:asciiTheme="minorEastAsia" w:hAnsiTheme="minorEastAsia" w:eastAsiaTheme="minorEastAsia"/>
          <w:sz w:val="21"/>
          <w:szCs w:val="21"/>
          <w:lang w:val="en-US" w:eastAsia="zh-CN"/>
        </w:rPr>
        <w:footnoteReference w:id="3"/>
      </w:r>
      <w:r>
        <w:rPr>
          <w:rFonts w:hint="eastAsia" w:cs="Times New Roman" w:asciiTheme="minorEastAsia" w:hAnsiTheme="minorEastAsia" w:eastAsiaTheme="minorEastAsia"/>
          <w:sz w:val="21"/>
          <w:szCs w:val="21"/>
          <w:lang w:val="en-US" w:eastAsia="zh-CN"/>
        </w:rPr>
        <w:t>]。林莉莉（2024）在户外游戏中融入自然写生、树枝搭建等任务，证实游戏化设计能显著增强幼儿的观察力与问题解决能力[</w:t>
      </w:r>
      <w:r>
        <w:rPr>
          <w:rFonts w:hint="eastAsia" w:cs="Times New Roman" w:asciiTheme="minorEastAsia" w:hAnsiTheme="minorEastAsia" w:eastAsiaTheme="minorEastAsia"/>
          <w:sz w:val="21"/>
          <w:szCs w:val="21"/>
          <w:lang w:val="en-US" w:eastAsia="zh-CN"/>
        </w:rPr>
        <w:footnoteReference w:id="4"/>
      </w:r>
      <w:r>
        <w:rPr>
          <w:rFonts w:hint="eastAsia" w:cs="Times New Roman" w:asciiTheme="minorEastAsia" w:hAnsiTheme="minorEastAsia" w:eastAsiaTheme="minorEastAsia"/>
          <w:sz w:val="21"/>
          <w:szCs w:val="21"/>
          <w:lang w:val="en-US" w:eastAsia="zh-CN"/>
        </w:rPr>
        <w:t>]。邱丹妮（2024）进一步尝试“城市绿道美育”，引入家长志愿者担任“自然导师”，但其协作机制尚未形成制度化模式[</w:t>
      </w:r>
      <w:r>
        <w:rPr>
          <w:rFonts w:hint="eastAsia" w:cs="Times New Roman" w:asciiTheme="minorEastAsia" w:hAnsiTheme="minorEastAsia" w:eastAsiaTheme="minorEastAsia"/>
          <w:sz w:val="21"/>
          <w:szCs w:val="21"/>
          <w:lang w:val="en-US" w:eastAsia="zh-CN"/>
        </w:rPr>
        <w:footnoteReference w:id="5"/>
      </w:r>
      <w:r>
        <w:rPr>
          <w:rFonts w:hint="eastAsia" w:cs="Times New Roman" w:asciiTheme="minorEastAsia" w:hAnsiTheme="minorEastAsia" w:eastAsiaTheme="minorEastAsia"/>
          <w:sz w:val="21"/>
          <w:szCs w:val="21"/>
          <w:lang w:val="en-US" w:eastAsia="zh-CN"/>
        </w:rPr>
        <w:t>]。</w:t>
      </w:r>
    </w:p>
    <w:p w14:paraId="3239D3A1">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outlineLvl w:val="3"/>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（2）传统文化资源的多元传承</w:t>
      </w:r>
    </w:p>
    <w:p w14:paraId="32CE72A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传统文化融入美育研究呈现从“技艺传授”向“情感浸润”的转向。秦红（2024）批判传统艺术教育中“技法至上”的倾向，提出“浸润式美育”概念，通过皮影戏角色扮演、剪纸叙事等活动实现文化符号的情感内化[</w:t>
      </w:r>
      <w:r>
        <w:rPr>
          <w:rFonts w:hint="eastAsia" w:cs="Times New Roman" w:asciiTheme="minorEastAsia" w:hAnsiTheme="minorEastAsia" w:eastAsiaTheme="minorEastAsia"/>
          <w:sz w:val="21"/>
          <w:szCs w:val="21"/>
          <w:lang w:val="en-US" w:eastAsia="zh-CN"/>
        </w:rPr>
        <w:footnoteReference w:id="6"/>
      </w:r>
      <w:r>
        <w:rPr>
          <w:rFonts w:hint="eastAsia" w:cs="Times New Roman" w:asciiTheme="minorEastAsia" w:hAnsiTheme="minorEastAsia" w:eastAsiaTheme="minorEastAsia"/>
          <w:sz w:val="21"/>
          <w:szCs w:val="21"/>
          <w:lang w:val="en-US" w:eastAsia="zh-CN"/>
        </w:rPr>
        <w:t>]。张芳、沈明泓（2025）基于丰子恺“童心美育”思想，在江南水乡开展“民俗节气”主题活动，如清明采茶、冬至捏塑等，将文化传承转化为生活化审美体验[</w:t>
      </w:r>
      <w:r>
        <w:rPr>
          <w:rFonts w:hint="eastAsia" w:cs="Times New Roman" w:asciiTheme="minorEastAsia" w:hAnsiTheme="minorEastAsia" w:eastAsiaTheme="minorEastAsia"/>
          <w:sz w:val="21"/>
          <w:szCs w:val="21"/>
          <w:lang w:val="en-US" w:eastAsia="zh-CN"/>
        </w:rPr>
        <w:footnoteReference w:id="7"/>
      </w:r>
      <w:r>
        <w:rPr>
          <w:rFonts w:hint="eastAsia" w:cs="Times New Roman" w:asciiTheme="minorEastAsia" w:hAnsiTheme="minorEastAsia" w:eastAsiaTheme="minorEastAsia"/>
          <w:sz w:val="21"/>
          <w:szCs w:val="21"/>
          <w:lang w:val="en-US" w:eastAsia="zh-CN"/>
        </w:rPr>
        <w:t>]。谢燕、陈秉龙（2024）构建“大美育”课程体系，以福建土楼为载体设计“亲子夯土体验”“家园共绘纹样”等活动，推动文化传承从单向输入转向双向共创[</w:t>
      </w:r>
      <w:r>
        <w:rPr>
          <w:rFonts w:hint="eastAsia" w:cs="Times New Roman" w:asciiTheme="minorEastAsia" w:hAnsiTheme="minorEastAsia" w:eastAsiaTheme="minorEastAsia"/>
          <w:sz w:val="21"/>
          <w:szCs w:val="21"/>
          <w:lang w:val="en-US" w:eastAsia="zh-CN"/>
        </w:rPr>
        <w:footnoteReference w:id="8"/>
      </w:r>
      <w:r>
        <w:rPr>
          <w:rFonts w:hint="eastAsia" w:cs="Times New Roman" w:asciiTheme="minorEastAsia" w:hAnsiTheme="minorEastAsia" w:eastAsiaTheme="minorEastAsia"/>
          <w:sz w:val="21"/>
          <w:szCs w:val="21"/>
          <w:lang w:val="en-US" w:eastAsia="zh-CN"/>
        </w:rPr>
        <w:t>]。</w:t>
      </w:r>
    </w:p>
    <w:p w14:paraId="4AEA578E">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outlineLvl w:val="3"/>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（3）家园协同机制的创新探索</w:t>
      </w:r>
    </w:p>
    <w:p w14:paraId="600C490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家园协同机制研究从角色重构与平台建设两方面突破。俞昕馨（2024）提出“三维协同模型”，强调家庭提供文化器物、亲子共制非遗手作、家长参与成长档案设计的协作路径[</w:t>
      </w:r>
      <w:r>
        <w:rPr>
          <w:rFonts w:hint="eastAsia" w:cs="Times New Roman" w:asciiTheme="minorEastAsia" w:hAnsiTheme="minorEastAsia" w:eastAsiaTheme="minorEastAsia"/>
          <w:sz w:val="21"/>
          <w:szCs w:val="21"/>
          <w:lang w:val="en-US" w:eastAsia="zh-CN"/>
        </w:rPr>
        <w:footnoteReference w:id="9"/>
      </w:r>
      <w:r>
        <w:rPr>
          <w:rFonts w:hint="eastAsia" w:cs="Times New Roman" w:asciiTheme="minorEastAsia" w:hAnsiTheme="minorEastAsia" w:eastAsiaTheme="minorEastAsia"/>
          <w:sz w:val="21"/>
          <w:szCs w:val="21"/>
          <w:lang w:val="en-US" w:eastAsia="zh-CN"/>
        </w:rPr>
        <w:t>]。李玉涵、沈明泓（2024）的“亲子行走课堂”实践中，家长兼具“文化向导”与“创作协作者”双重角色，例如讲解盐井历史并指导盐雕制作，实现了教育主体关系的重构[</w:t>
      </w:r>
      <w:r>
        <w:rPr>
          <w:rFonts w:hint="eastAsia" w:cs="Times New Roman" w:asciiTheme="minorEastAsia" w:hAnsiTheme="minorEastAsia" w:eastAsiaTheme="minorEastAsia"/>
          <w:sz w:val="21"/>
          <w:szCs w:val="21"/>
          <w:lang w:val="en-US" w:eastAsia="zh-CN"/>
        </w:rPr>
        <w:footnoteReference w:id="10"/>
      </w:r>
      <w:r>
        <w:rPr>
          <w:rFonts w:hint="eastAsia" w:cs="Times New Roman" w:asciiTheme="minorEastAsia" w:hAnsiTheme="minorEastAsia" w:eastAsiaTheme="minorEastAsia"/>
          <w:sz w:val="21"/>
          <w:szCs w:val="21"/>
          <w:lang w:val="en-US" w:eastAsia="zh-CN"/>
        </w:rPr>
        <w:t>]。王姗姗、张倩（2025）则通过“四季走廊”等动态环境创设，将家庭采集的秋叶、松果等转化为园所美育资源，形成家园互动的物质纽带[</w:t>
      </w:r>
      <w:r>
        <w:rPr>
          <w:rFonts w:hint="eastAsia" w:cs="Times New Roman" w:asciiTheme="minorEastAsia" w:hAnsiTheme="minorEastAsia" w:eastAsiaTheme="minorEastAsia"/>
          <w:sz w:val="21"/>
          <w:szCs w:val="21"/>
          <w:lang w:val="en-US" w:eastAsia="zh-CN"/>
        </w:rPr>
        <w:footnoteReference w:id="11"/>
      </w:r>
      <w:r>
        <w:rPr>
          <w:rFonts w:hint="eastAsia" w:cs="Times New Roman" w:asciiTheme="minorEastAsia" w:hAnsiTheme="minorEastAsia" w:eastAsiaTheme="minorEastAsia"/>
          <w:sz w:val="21"/>
          <w:szCs w:val="21"/>
          <w:lang w:val="en-US" w:eastAsia="zh-CN"/>
        </w:rPr>
        <w:t>]。</w:t>
      </w:r>
    </w:p>
    <w:p w14:paraId="12331BD8">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outlineLvl w:val="3"/>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（4）课程理论的跨学科整合</w:t>
      </w:r>
    </w:p>
    <w:p w14:paraId="22ABE58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学者尝试将经典教育理论与现代认知科学结合。赵溢婷、沈明泓（2024）阐释陈鹤琴“活教育”思想，提出美育应遵循“做中求创造”原则，如在“舞龙民俗”活动中让幼儿自主设计道具并展演[</w:t>
      </w:r>
      <w:r>
        <w:rPr>
          <w:rFonts w:hint="eastAsia" w:cs="Times New Roman" w:asciiTheme="minorEastAsia" w:hAnsiTheme="minorEastAsia" w:eastAsiaTheme="minorEastAsia"/>
          <w:sz w:val="21"/>
          <w:szCs w:val="21"/>
          <w:lang w:val="en-US" w:eastAsia="zh-CN"/>
        </w:rPr>
        <w:footnoteReference w:id="12"/>
      </w:r>
      <w:r>
        <w:rPr>
          <w:rFonts w:hint="eastAsia" w:cs="Times New Roman" w:asciiTheme="minorEastAsia" w:hAnsiTheme="minorEastAsia" w:eastAsiaTheme="minorEastAsia"/>
          <w:sz w:val="21"/>
          <w:szCs w:val="21"/>
          <w:lang w:val="en-US" w:eastAsia="zh-CN"/>
        </w:rPr>
        <w:t>]。王真（2024）引入具身认知理论，设计“身体叙事”活动，用肢体模仿水墨画意境，强调审美体验的全身心参与[</w:t>
      </w:r>
      <w:r>
        <w:rPr>
          <w:rFonts w:hint="eastAsia" w:cs="Times New Roman" w:asciiTheme="minorEastAsia" w:hAnsiTheme="minorEastAsia" w:eastAsiaTheme="minorEastAsia"/>
          <w:sz w:val="21"/>
          <w:szCs w:val="21"/>
          <w:lang w:val="en-US" w:eastAsia="zh-CN"/>
        </w:rPr>
        <w:footnoteReference w:id="13"/>
      </w:r>
      <w:r>
        <w:rPr>
          <w:rFonts w:hint="eastAsia" w:cs="Times New Roman" w:asciiTheme="minorEastAsia" w:hAnsiTheme="minorEastAsia" w:eastAsiaTheme="minorEastAsia"/>
          <w:sz w:val="21"/>
          <w:szCs w:val="21"/>
          <w:lang w:val="en-US" w:eastAsia="zh-CN"/>
        </w:rPr>
        <w:t>]。陈建超、吴敏（2024）的“浸润式美育”实践进一步将课程场域延伸至社区美术馆，通过“移动艺术角”实现真实场景中的沉浸式创作[</w:t>
      </w:r>
      <w:r>
        <w:rPr>
          <w:rFonts w:hint="eastAsia" w:cs="Times New Roman" w:asciiTheme="minorEastAsia" w:hAnsiTheme="minorEastAsia" w:eastAsiaTheme="minorEastAsia"/>
          <w:sz w:val="21"/>
          <w:szCs w:val="21"/>
          <w:lang w:val="en-US" w:eastAsia="zh-CN"/>
        </w:rPr>
        <w:footnoteReference w:id="14"/>
      </w:r>
      <w:r>
        <w:rPr>
          <w:rFonts w:hint="eastAsia" w:cs="Times New Roman" w:asciiTheme="minorEastAsia" w:hAnsiTheme="minorEastAsia" w:eastAsiaTheme="minorEastAsia"/>
          <w:sz w:val="21"/>
          <w:szCs w:val="21"/>
          <w:lang w:val="en-US" w:eastAsia="zh-CN"/>
        </w:rPr>
        <w:t>]。</w:t>
      </w:r>
    </w:p>
    <w:p w14:paraId="5BFF394D">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3.</w:t>
      </w:r>
      <w:r>
        <w:rPr>
          <w:rFonts w:hint="eastAsia" w:cs="Times New Roman" w:asciiTheme="minorEastAsia" w:hAnsiTheme="minorEastAsia" w:eastAsiaTheme="minorEastAsia"/>
          <w:b/>
          <w:bCs/>
          <w:sz w:val="21"/>
          <w:szCs w:val="21"/>
          <w:lang w:val="en-US" w:eastAsia="zh-CN"/>
        </w:rPr>
        <w:t>文献述评</w:t>
      </w:r>
    </w:p>
    <w:p w14:paraId="05454B7A">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国内外研究为幼儿园美育实践提供了重要基础，但仍存在三方面亟待解决的局限：其一，资源整合缺乏系统性，现有研究多聚焦单一资源类型，未能有效协调自然、文化、社区等多元资源的联动。例如，多数实践仅单独开发自然探索或传统文化活动，未将美术馆、社区单位等资源纳入整体设计，导致课程碎片化；其二，家园共育深度不足，家庭参与多停留在物资提供或活动协助层面，家长鲜少参与课程设计、实施与评价的全流程。例如，亲子活动常局限于“家长陪同参观”，缺乏“家长策划主题”“家园共评成果”等深度协作机制，制约了共育效果的可持续性；其三，课程设计的年龄适配性较弱，现有活动对小、中、大班幼儿的认知差异关注不足，内容同质化问题突出，未能体现“感知—探索—创造”的渐进逻辑。</w:t>
      </w:r>
    </w:p>
    <w:p w14:paraId="18E1D73A">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针对上述问题，本研究以“行走课堂”为载体，提出“资源整合—分层活动—协同机制”三位一体的解决方案：首先，通过构建“15分钟美育圈”，将幼儿园周边的自然景观、文化场馆与社区资源串联为动态网络，形成“步行可达、多元融合”的育人场景；其次，依据幼儿年龄特点分层设计活动，小班以感官体验为主，中班侧重探究表达，大班强调综合创作；最后，创新家园社协同机制，通过亲子研学手册、家长美育工作坊等工具，推动家长从“活动参与者”转型为“课程共建者”，在资源贡献、活动设计、成果评价等环节实现深度协作。这一模式融合“做中学”理念与身体参与理论，强调真实场景中的体验式学习与多方协同，推动美育课程从封闭走向开放，从单向传授转向生态化生成，破解幼儿园美育资源割裂、共育浅表化及课程同质化难题，为幼儿的全面发展提供更具包容性与可持续性的实践路径。</w:t>
      </w:r>
    </w:p>
    <w:p w14:paraId="75DD9DD1">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现实困境</w:t>
      </w:r>
    </w:p>
    <w:p w14:paraId="158B655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在新时代美育政策的推动下，“行走课堂”作为突破传统课堂边界、整合多元资源的创新模式，正在全国范围内逐步推广。这一模式通过将美育场景延伸至自然、社区与家庭，为幼儿提供了真实情境中的沉浸式学习体验。然而，当前实践中仍存在普遍性挑战，反映出“理念先进但实践粗放”的共性特征。</w:t>
      </w:r>
    </w:p>
    <w:p w14:paraId="1957B8EB">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1.资源整合的碎片化与动态管理缺失</w:t>
      </w:r>
    </w:p>
    <w:p w14:paraId="3E0C8B33">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多数幼儿园已意识到周边资源的美育价值，初步尝试开发自然景观、文化场馆及社区单位等在地化资源，形成基本的“资源清单”。但在资源整合中，普遍存在“重形式轻实效”的问题：资源分类标准模糊，缺乏科学的动态更新机制，导致部分资源因季节、场地限制或管理疏漏长期闲置。资源间的协同逻辑尚未打通，自然、文化与社区资源多孤立使用，未能形成“场景联动—主题呼应”的课程生态，教育潜力未被系统性挖掘。部分幼儿园虽与社区单位建立合作关系，但合作深度不足，多停留于场地借用或单向资源供给，缺乏教育目标的共识与长效协作机制。家庭资源的开发较为浅层，家长多停留在提供物资或陪同参与层面，家庭文化器物或家长职业经验未被深度转化为教学素材。</w:t>
      </w:r>
    </w:p>
    <w:p w14:paraId="562F7EC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2.活动设计的同质化与生成性不足</w:t>
      </w:r>
    </w:p>
    <w:p w14:paraId="1ACA2CF9">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随着“以儿童为中心”理念的普及，幼儿园普遍尝试依据幼儿年龄特点设计分层活动，小班侧重感官体验，中班强调观察表达，大班探索综合创作。游戏化策略的引入增强了活动的趣味性。然而，活动设计的科学性与灵活性亟待提升：一方面，分层标准粗放，部分活动未能精准匹配幼儿认知发展阶段，如对小班幼儿的创作要求过高，超出其能力范围；大班任务预设性过强，限制了创造性思维的发展；另一方面，预设性过强，教师过度依赖固定教案，难以灵活捕捉幼儿在真实场景中的即时兴趣，导致活动生成性不足，削弱了“行走”的探索本质。成果形式单一化问题突出，绘画与手工占比过高，肢体表演、光影装置等多元表达路径开发不足，削弱了审美经验的迁移与内化效果。</w:t>
      </w:r>
    </w:p>
    <w:p w14:paraId="09A98D1E">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3.家园共育的形式化与协同深度不足</w:t>
      </w:r>
    </w:p>
    <w:p w14:paraId="1DA889D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家园共育机制的建设虽取得初步进展，但深度协同仍是难点。多数幼儿园通过亲子活动、家长志愿者等形式邀请家庭参与，但家长角色多局限于“活动陪同者”或“物资提供者”，未能深度融入课程设计、实施与评价环节。研学手册、线上平台等工具的使用初步拓展了家园互动形式，但功能单一，缺乏双向反馈与资源共创的深度链接，家庭智慧未被充分激活，反馈机制薄弱导致协同效果难以持续。社区资源的利用亦面临“表层化”困境，合作多聚焦场地支持，鲜少涉及课程共建或师资共享，未能形成教育合力。</w:t>
      </w:r>
    </w:p>
    <w:p w14:paraId="49D6A847">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4.教师能力的结构性差异与跨学科瓶颈</w:t>
      </w:r>
    </w:p>
    <w:p w14:paraId="2CFBC8FB">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教师专业能力的发展呈现显著的区域差异与结构性矛盾。发达地区幼儿园依托资源与培训优势，部分教师已具备较强的资源转化能力，例如将社区地砖纹样设计为“几何迷宫”游戏，或将锈迹斑驳的护栏延伸为“时间痕迹”艺术课程；安全培训与应急演练也提升了教师的户外风险管理意识。然而，欠发达地区受限于支持体系薄弱，教师多依赖模仿现成教案，课程同质化问题突出。跨学科知识储备的不足进一步制约了课程深度，例如自然美育活动中，教师因缺乏生态学知识，仅引导幼儿观察植物外形，未能延伸至生命周期或物种保护议题；传统文化体验中，历史背景的简化阐释导致活动停留于表象认知，文化浸润效果有限。</w:t>
      </w:r>
    </w:p>
    <w:p w14:paraId="6ECF6166">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5.幼儿审美体验的表层化与创造力释放不足</w:t>
      </w:r>
    </w:p>
    <w:p w14:paraId="11DB14B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从幼儿体验视角看，户外创意美术活动虽拓展了探索空间，但实践效果仍受限于表层化设计。自然探索多停留于观察与采集流程，缺乏问题驱动的深度思考；艺术创作以模仿教师示范为主，个性化表达空间受限。活动节奏的紧凑性导致幼儿无法充分沉浸于环境细节，例如写生活动中仅完成轮廓勾画，忽视色彩渐变与形态肌理。成果评价以教师主观判断为主，缺乏幼儿自评、家长参评等多元反馈，弱化了审美经验的反思与迁移。这些问题共同折射出当前实践在释放幼儿创造力方面的不足。</w:t>
      </w:r>
    </w:p>
    <w:p w14:paraId="7CDE9EF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总体而言，家园共育视域下的户外创意美术活动为幼儿园美育注入了场景拓展与资源联动的新活力，但粗放化的资源整合、同质化的活动设计、形式化的协同机制及教师能力的结构性差异，构成了实践落地的核心阻力。未来需以系统性思维破解矛盾，通过动态资源管理增强课程连贯性，依托生成性设计捕捉幼儿兴趣，构建深度协同的家园社生态，并强化教师的跨学科素养，从而推动户外美育从理念倡导转向生态化实践，真正实现“美源于生活，创意见于自然”的教育愿景。</w:t>
      </w:r>
    </w:p>
    <w:p w14:paraId="073A4A0E">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exact"/>
        <w:ind w:firstLine="0" w:firstLineChars="0"/>
        <w:textAlignment w:val="auto"/>
        <w:outlineLvl w:val="1"/>
        <w:rPr>
          <w:rFonts w:hint="eastAsia" w:cs="Times New Roman" w:asciiTheme="minorEastAsia" w:hAnsiTheme="minorEastAsia" w:eastAsiaTheme="minorEastAsia"/>
          <w:b/>
          <w:bCs/>
          <w:sz w:val="21"/>
          <w:szCs w:val="21"/>
          <w:lang w:val="en-US" w:eastAsia="zh-CN"/>
        </w:rPr>
      </w:pPr>
    </w:p>
    <w:p w14:paraId="719CC6A8">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firstLine="422" w:firstLineChars="200"/>
        <w:textAlignment w:val="auto"/>
        <w:outlineLvl w:val="1"/>
        <w:rPr>
          <w:rFonts w:hint="default"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拟解决的关键问题</w:t>
      </w:r>
    </w:p>
    <w:p w14:paraId="0B380687">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outlineLvl w:val="9"/>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sz w:val="21"/>
          <w:szCs w:val="21"/>
          <w:lang w:eastAsia="zh-CN"/>
        </w:rPr>
        <w:t>《3-6岁儿童学习与发展指南》指出，幼儿园“要充分利用自然环境和社区教育资源，扩展幼儿生活和学习空间”《幼儿园教育指导纲要》中指出，要“引导幼儿接触周围环境和生活中美好的人、事、物，丰富他们的感性经验和审美情趣，激发他们表现美、创造美的情趣”。本研究以家园共育为视角，聚焦上海徐汇实验幼儿园户外创意美术活动的系统化实践，探索自然、社会与家庭资源的整合路径，破解传统美育中资源割裂、场景封闭及协同不足的难题。研究围绕三大核心目标展开：一是突破幼儿园美育的场域限制，构建开放动态的柔性资源，实现自然景观、文化场馆与社区单位的协同利用；二是依据幼儿认知发展规律，设计分层化、游戏化的活动框架，促进审美感知与创造表达的有机融合；三是创新家园社协同机制，推动家长从“活动参与者”向“课程共建者”的角色转型，形成多方协作的育人合力。</w:t>
      </w:r>
    </w:p>
    <w:p w14:paraId="5F373E0B">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outlineLvl w:val="9"/>
        <w:rPr>
          <w:rFonts w:hint="default"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sz w:val="21"/>
          <w:szCs w:val="21"/>
          <w:lang w:val="en-US" w:eastAsia="zh-CN"/>
        </w:rPr>
        <w:t>本</w:t>
      </w:r>
      <w:r>
        <w:rPr>
          <w:rFonts w:hint="eastAsia" w:cs="Times New Roman" w:asciiTheme="minorEastAsia" w:hAnsiTheme="minorEastAsia" w:eastAsiaTheme="minorEastAsia"/>
          <w:sz w:val="21"/>
          <w:szCs w:val="21"/>
          <w:lang w:eastAsia="zh-CN"/>
        </w:rPr>
        <w:t>研究致力于回答以下关键问题：如何有效整合分散的自然、社区与家庭资源，形成可持续的美育生态？如何依据幼儿年龄特点设计差异化的户外活动，使感官体验与艺术表达自然衔接？如何帮助教师从理论层面上更深层次地准确把握幼儿美育教育的本位定位？如何建立深度协同的家园社互动机制，提升家庭与社区在美育中的主动性与创造力？通过理论与实践的双向探索，本研究为幼儿园美育课程的生活化转型与家园共育的深化实践提供可行路径。</w:t>
      </w:r>
    </w:p>
    <w:p w14:paraId="297D8C7E">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firstLine="422" w:firstLineChars="200"/>
        <w:textAlignment w:val="auto"/>
        <w:outlineLvl w:val="1"/>
        <w:rPr>
          <w:rFonts w:hint="default"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核心概念界定</w:t>
      </w:r>
    </w:p>
    <w:p w14:paraId="72C7104B">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1.家园共育</w:t>
      </w:r>
    </w:p>
    <w:p w14:paraId="7C86D9D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default"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家园共育指家庭与幼儿园通过资源互通、目标协同与行动配合，共同促进幼儿发展的教育模式。其核心在于打破教育场域的边界，将家庭生活经验、社区文化资源融入课程体系，形成多方联动的育人生态。在本研究中，家园共育不仅是家长参与活动的形式，更强调家长作为课程设计的协作者、资源提供者与教育成效的评价者。例如，通过研学手册、行走课堂活动表等方式，家长与教师共同策划活动主题，提供家庭收藏的传统手工艺品作为教学素材，或参与幼儿作品的联合评价，使美育目标渗透至日常生活场景。这一模式通过家庭与幼儿园的深度协作，将教育场域从园内延伸至户外与社会，为幼儿提供连贯的审美体验环境。</w:t>
      </w:r>
    </w:p>
    <w:p w14:paraId="47C38F58">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2.</w:t>
      </w:r>
      <w:r>
        <w:rPr>
          <w:rFonts w:hint="eastAsia" w:cs="Times New Roman" w:asciiTheme="minorEastAsia" w:hAnsiTheme="minorEastAsia" w:eastAsiaTheme="minorEastAsia"/>
          <w:b/>
          <w:bCs/>
          <w:sz w:val="21"/>
          <w:szCs w:val="21"/>
          <w:lang w:val="en-US" w:eastAsia="zh-CN"/>
        </w:rPr>
        <w:t>户外创意美术活动</w:t>
      </w:r>
    </w:p>
    <w:p w14:paraId="3D1C0C50">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户外创意美术活动是以自然与社会环境为课堂，以幼儿自主探索与艺术表达为核心的美育形式。其特点体现在三方面：一是场域开放性，活动突破教室限制，依托自然景观、艺术场馆、社区街道等真实场景开展；二是内容生成性，课程设计注重幼儿在环境互动中的即时体验与灵感捕捉，例如观察落叶形态后创作拼贴画；三是形式游戏化，通过任务驱动、角色扮演等方式激发参与兴趣，将审美感知与游戏精神结合。例如，上海徐汇实验幼儿园的“藤蔓艺术创作”活动中，幼儿在西岸美术馆的沉浸式环境中自由探索藤蔓的形态与色彩，并通过缠绕、拼接等游戏化方式完成艺术表达，体现了户外创意美术活动的典型特征。</w:t>
      </w:r>
    </w:p>
    <w:p w14:paraId="657F997A">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3.</w:t>
      </w:r>
      <w:r>
        <w:rPr>
          <w:rFonts w:hint="eastAsia" w:cs="Times New Roman" w:asciiTheme="minorEastAsia" w:hAnsiTheme="minorEastAsia" w:eastAsiaTheme="minorEastAsia"/>
          <w:b/>
          <w:bCs/>
          <w:sz w:val="21"/>
          <w:szCs w:val="21"/>
          <w:lang w:val="en-US" w:eastAsia="zh-CN"/>
        </w:rPr>
        <w:t>行走课堂</w:t>
      </w:r>
    </w:p>
    <w:p w14:paraId="7A0DA8FF">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行走课堂”是一种以动态体验为核心的教育模式，强调通过实地探访、情境体验与社会实践，将学习从静态知识传授转向动态经验建构。其核心理念源于陶行知的“生活教育”理论，即“社会即学校”“教学做合一”，将社区历史、民俗文化等转化为学习资源，让幼儿在行走中感受艺术与生活的交融。这一模式拓展了美育的物理空间，通过家园社协同，使幼儿的审美认知从个体经验升华为文化认同，为美育的生态化发展提供实践框架。在本研究中，“行走课堂”特指以美育为目标，以户外创意美术活动为载体，整合自然景观、文化场馆与社区资源的课程实施路径。例如，徐汇实验幼儿园以“15分钟步行圈”为半径，串联滨江绿地、美术馆与共建单位，设计短途、高频的行走路线，引导幼儿在连续的场景切换中积累审美经验。</w:t>
      </w:r>
    </w:p>
    <w:p w14:paraId="4E0274B9">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exact"/>
        <w:ind w:left="0" w:leftChars="0" w:firstLine="422" w:firstLineChars="200"/>
        <w:textAlignment w:val="auto"/>
        <w:outlineLvl w:val="0"/>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研究框架与理论基础</w:t>
      </w:r>
    </w:p>
    <w:p w14:paraId="2E86C478">
      <w:pPr>
        <w:keepNext w:val="0"/>
        <w:keepLines w:val="0"/>
        <w:pageBreakBefore w:val="0"/>
        <w:widowControl w:val="0"/>
        <w:kinsoku/>
        <w:wordWrap/>
        <w:overflowPunct/>
        <w:topLinePunct w:val="0"/>
        <w:autoSpaceDE/>
        <w:autoSpaceDN/>
        <w:bidi w:val="0"/>
        <w:adjustRightInd w:val="0"/>
        <w:snapToGrid w:val="0"/>
        <w:spacing w:line="360" w:lineRule="exact"/>
        <w:ind w:firstLine="422"/>
        <w:textAlignment w:val="auto"/>
        <w:outlineLvl w:val="1"/>
        <w:rPr>
          <w:rFonts w:hint="eastAsia" w:cs="Times New Roman" w:asciiTheme="minorEastAsia" w:hAnsiTheme="minorEastAsia" w:eastAsiaTheme="minorEastAsia"/>
          <w:b/>
          <w:bCs/>
          <w:sz w:val="21"/>
          <w:szCs w:val="21"/>
          <w:lang w:eastAsia="zh-CN"/>
        </w:rPr>
      </w:pPr>
      <w:r>
        <w:rPr>
          <w:rFonts w:hint="eastAsia" w:cs="Times New Roman" w:asciiTheme="minorEastAsia" w:hAnsiTheme="minorEastAsia" w:eastAsiaTheme="minorEastAsia"/>
          <w:b/>
          <w:bCs/>
          <w:sz w:val="21"/>
          <w:szCs w:val="21"/>
          <w:lang w:eastAsia="zh-CN"/>
        </w:rPr>
        <w:t>（</w:t>
      </w:r>
      <w:r>
        <w:rPr>
          <w:rFonts w:hint="eastAsia" w:cs="Times New Roman" w:asciiTheme="minorEastAsia" w:hAnsiTheme="minorEastAsia" w:eastAsiaTheme="minorEastAsia"/>
          <w:b/>
          <w:bCs/>
          <w:sz w:val="21"/>
          <w:szCs w:val="21"/>
          <w:lang w:val="en-US" w:eastAsia="zh-CN"/>
        </w:rPr>
        <w:t>一</w:t>
      </w:r>
      <w:r>
        <w:rPr>
          <w:rFonts w:hint="eastAsia" w:cs="Times New Roman" w:asciiTheme="minorEastAsia" w:hAnsiTheme="minorEastAsia" w:eastAsiaTheme="minorEastAsia"/>
          <w:b/>
          <w:bCs/>
          <w:sz w:val="21"/>
          <w:szCs w:val="21"/>
          <w:lang w:eastAsia="zh-CN"/>
        </w:rPr>
        <w:t>）研究</w:t>
      </w:r>
      <w:r>
        <w:rPr>
          <w:rFonts w:hint="eastAsia" w:cs="Times New Roman" w:asciiTheme="minorEastAsia" w:hAnsiTheme="minorEastAsia" w:eastAsiaTheme="minorEastAsia"/>
          <w:b/>
          <w:bCs/>
          <w:sz w:val="21"/>
          <w:szCs w:val="21"/>
          <w:lang w:val="en-US" w:eastAsia="zh-CN"/>
        </w:rPr>
        <w:t>框架</w:t>
      </w:r>
    </w:p>
    <w:p w14:paraId="003FC5CD">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r>
        <w:rPr>
          <w:rFonts w:hint="eastAsia" w:cs="Times New Roman" w:asciiTheme="minorEastAsia" w:hAnsiTheme="minorEastAsia" w:eastAsiaTheme="minorEastAsia"/>
          <w:sz w:val="21"/>
          <w:szCs w:val="21"/>
          <w:lang w:eastAsia="zh-CN"/>
        </w:rPr>
        <w:t>遵循“问题诊断—策略构建—实践验证”的逻辑主线，形成四阶段闭环：首先，分析幼儿园美育的现实困境与资源潜力；其次，构建动态资源网络与分层活动框架；再次，通过家园社协同机制推动课程实施；最后，评估成效并优化模式。研究聚焦“自然—艺术—社会”资源的联动开发，强调幼儿在真实场景中的沉浸体验与多方主体的深度协作，为美育课程创新提供系统化解决方案（见图</w:t>
      </w:r>
      <w:r>
        <w:rPr>
          <w:rFonts w:hint="default" w:cs="Times New Roman" w:asciiTheme="minorEastAsia" w:hAnsiTheme="minorEastAsia" w:eastAsiaTheme="minorEastAsia"/>
          <w:sz w:val="21"/>
          <w:szCs w:val="21"/>
          <w:lang w:val="en-US" w:eastAsia="zh-CN"/>
        </w:rPr>
        <w:t>1</w:t>
      </w:r>
      <w:r>
        <w:rPr>
          <w:rFonts w:hint="eastAsia" w:cs="Times New Roman" w:asciiTheme="minorEastAsia" w:hAnsiTheme="minorEastAsia" w:eastAsiaTheme="minorEastAsia"/>
          <w:sz w:val="21"/>
          <w:szCs w:val="21"/>
          <w:lang w:eastAsia="zh-CN"/>
        </w:rPr>
        <w:t>）。</w:t>
      </w:r>
    </w:p>
    <w:p w14:paraId="1FB25613">
      <w:pPr>
        <w:keepNext w:val="0"/>
        <w:keepLines w:val="0"/>
        <w:pageBreakBefore w:val="0"/>
        <w:widowControl w:val="0"/>
        <w:kinsoku/>
        <w:wordWrap/>
        <w:overflowPunct/>
        <w:topLinePunct w:val="0"/>
        <w:autoSpaceDE/>
        <w:autoSpaceDN/>
        <w:bidi w:val="0"/>
        <w:adjustRightInd w:val="0"/>
        <w:snapToGrid w:val="0"/>
        <w:spacing w:line="360" w:lineRule="exact"/>
        <w:ind w:firstLine="420"/>
        <w:jc w:val="center"/>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drawing>
          <wp:anchor distT="0" distB="0" distL="114300" distR="114300" simplePos="0" relativeHeight="251660288" behindDoc="0" locked="0" layoutInCell="1" allowOverlap="1">
            <wp:simplePos x="0" y="0"/>
            <wp:positionH relativeFrom="column">
              <wp:posOffset>-38100</wp:posOffset>
            </wp:positionH>
            <wp:positionV relativeFrom="paragraph">
              <wp:posOffset>29210</wp:posOffset>
            </wp:positionV>
            <wp:extent cx="5267960" cy="3851275"/>
            <wp:effectExtent l="0" t="0" r="0" b="0"/>
            <wp:wrapTopAndBottom/>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5267960" cy="3851275"/>
                    </a:xfrm>
                    <a:prstGeom prst="rect">
                      <a:avLst/>
                    </a:prstGeom>
                    <a:noFill/>
                    <a:ln w="9525">
                      <a:noFill/>
                    </a:ln>
                  </pic:spPr>
                </pic:pic>
              </a:graphicData>
            </a:graphic>
          </wp:anchor>
        </w:drawing>
      </w:r>
      <w:r>
        <w:rPr>
          <w:rFonts w:hint="eastAsia" w:cs="Times New Roman" w:asciiTheme="minorEastAsia" w:hAnsiTheme="minorEastAsia" w:eastAsiaTheme="minorEastAsia"/>
          <w:sz w:val="21"/>
          <w:szCs w:val="21"/>
          <w:lang w:val="en-US" w:eastAsia="zh-CN"/>
        </w:rPr>
        <w:t>图</w:t>
      </w:r>
      <w:r>
        <w:rPr>
          <w:rFonts w:hint="default" w:cs="Times New Roman" w:asciiTheme="minorEastAsia" w:hAnsiTheme="minorEastAsia" w:eastAsiaTheme="minorEastAsia"/>
          <w:sz w:val="21"/>
          <w:szCs w:val="21"/>
          <w:lang w:val="en-US" w:eastAsia="zh-CN"/>
        </w:rPr>
        <w:t xml:space="preserve">1 </w:t>
      </w:r>
      <w:r>
        <w:rPr>
          <w:rFonts w:hint="eastAsia" w:cs="Times New Roman" w:asciiTheme="minorEastAsia" w:hAnsiTheme="minorEastAsia" w:eastAsiaTheme="minorEastAsia"/>
          <w:sz w:val="21"/>
          <w:szCs w:val="21"/>
          <w:lang w:val="en-US" w:eastAsia="zh-CN"/>
        </w:rPr>
        <w:t>研究框架图</w:t>
      </w:r>
    </w:p>
    <w:p w14:paraId="2AA7B9E2">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textAlignment w:val="auto"/>
        <w:rPr>
          <w:rFonts w:hint="default" w:cs="Times New Roman" w:asciiTheme="minorEastAsia" w:hAnsiTheme="minorEastAsia" w:eastAsiaTheme="minorEastAsia"/>
          <w:b/>
          <w:bCs/>
          <w:sz w:val="21"/>
          <w:szCs w:val="21"/>
          <w:lang w:val="en-US" w:eastAsia="zh-CN"/>
        </w:rPr>
      </w:pPr>
    </w:p>
    <w:p w14:paraId="72BA69F7">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exact"/>
        <w:ind w:left="480" w:leftChars="200" w:firstLine="0" w:firstLineChars="0"/>
        <w:textAlignment w:val="auto"/>
        <w:outlineLvl w:val="0"/>
        <w:rPr>
          <w:rFonts w:hint="default" w:cs="Times New Roman" w:asciiTheme="minorEastAsia" w:hAnsiTheme="minorEastAsia" w:eastAsiaTheme="minorEastAsia"/>
          <w:b/>
          <w:bCs/>
          <w:sz w:val="21"/>
          <w:szCs w:val="21"/>
          <w:lang w:val="en-US" w:eastAsia="zh-CN"/>
        </w:rPr>
      </w:pPr>
    </w:p>
    <w:p w14:paraId="101F8A6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eastAsia="zh-CN"/>
        </w:rPr>
      </w:pPr>
    </w:p>
    <w:p w14:paraId="156BA7AA">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eastAsia="zh-CN"/>
        </w:rPr>
        <w:t>（</w:t>
      </w:r>
      <w:r>
        <w:rPr>
          <w:rFonts w:hint="eastAsia" w:cs="Times New Roman" w:asciiTheme="minorEastAsia" w:hAnsiTheme="minorEastAsia" w:eastAsiaTheme="minorEastAsia"/>
          <w:b/>
          <w:bCs/>
          <w:sz w:val="21"/>
          <w:szCs w:val="21"/>
          <w:lang w:val="en-US" w:eastAsia="zh-CN"/>
        </w:rPr>
        <w:t>二</w:t>
      </w:r>
      <w:r>
        <w:rPr>
          <w:rFonts w:hint="eastAsia" w:cs="Times New Roman" w:asciiTheme="minorEastAsia" w:hAnsiTheme="minorEastAsia" w:eastAsiaTheme="minorEastAsia"/>
          <w:b/>
          <w:bCs/>
          <w:sz w:val="21"/>
          <w:szCs w:val="21"/>
          <w:lang w:eastAsia="zh-CN"/>
        </w:rPr>
        <w:t>）理论基础</w:t>
      </w:r>
    </w:p>
    <w:p w14:paraId="76AD7D78">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1.生活教育理论：让美育回归生活场景</w:t>
      </w:r>
    </w:p>
    <w:p w14:paraId="39D43D6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陈鹤琴的“活教育”思想强调“做中学、做中教、做中求进步”，其核心在于将教育根植于儿童的真实生活经验。在美育实践中，这一理论体现为“生活即美育”的课程观，即通过打破园所围墙，将课堂延伸至自然、社区与家庭场景，让幼儿在与环境的直接互动中感知美、欣赏美、创造美。例如，在“滨江肌理探索”活动中，幼儿通过触摸江水波纹、观察沿岸建筑纹理，将生活环境中习以为常的视觉元素转化为审美对象；在社区街道收集落叶、石块等自然材料，通过拼贴、搭建等游戏化活动完成艺术表达。这种“教学做合一”的实践路径，呼应了“五指活动”原则（健康、社会、科学、艺术、语文的融合），通过多感官参与与跨领域学习，促进幼儿审美经验的连续积累，为本研究的分层活动设计提供依据，实现多领域融合的渐进式发展。</w:t>
      </w:r>
    </w:p>
    <w:p w14:paraId="7686C967">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2.具身认知理论：让身体参与审美体验</w:t>
      </w:r>
    </w:p>
    <w:p w14:paraId="11ABAC7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具身认知理论强调，认知过程并非孤立于身体与环境之外，而是通过身体动作、感官体验与环境互动得以实现[</w:t>
      </w:r>
      <w:r>
        <w:rPr>
          <w:rFonts w:hint="eastAsia" w:cs="Times New Roman" w:asciiTheme="minorEastAsia" w:hAnsiTheme="minorEastAsia" w:eastAsiaTheme="minorEastAsia"/>
          <w:sz w:val="21"/>
          <w:szCs w:val="21"/>
          <w:lang w:val="en-US" w:eastAsia="zh-CN"/>
        </w:rPr>
        <w:footnoteReference w:id="15"/>
      </w:r>
      <w:r>
        <w:rPr>
          <w:rFonts w:hint="eastAsia" w:cs="Times New Roman" w:asciiTheme="minorEastAsia" w:hAnsiTheme="minorEastAsia" w:eastAsiaTheme="minorEastAsia"/>
          <w:sz w:val="21"/>
          <w:szCs w:val="21"/>
          <w:lang w:val="en-US" w:eastAsia="zh-CN"/>
        </w:rPr>
        <w:t>]。在户外创意美术活动中，幼儿通过肢体操作与真实场景的深度交互，将抽象的审美概念转化为具象的审美经验，实现“身体即媒介”的学习逻辑。以藤蔓艺术创作为例，幼儿在西岸美术馆内通过缠绕、攀爬、拼接等身体动作，直接感知藤蔓材料的柔韧性与色彩变化，进而将其转化为绘画或立体装置作品。教师通过设计开放式任务，引导幼儿将身体感知与艺术表达结合，形成“感知—体验—创造”的认知闭环。这一过程突破了传统美育中技能训练的局限，使幼儿在真实环境中通过全身心参与，建构对形态、色彩与空间美学的深层理解，推动审美素养的具身化发展。</w:t>
      </w:r>
    </w:p>
    <w:p w14:paraId="4F022016">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3.生态美育观：让资源实现协同共生</w:t>
      </w:r>
    </w:p>
    <w:p w14:paraId="498F0A0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生态美育观主张将自然、社会与文化视为有机整体，通过资源互动构建可持续的美育生态。该理论从系统整合的视角，为多元资源的协同育人提供了理论依据。上海徐汇实验幼儿园通过构建“15分钟美育圈”模型，以幼儿园为中心，整合步行可达的自然景观、文化场馆与社区单位，形成“自然浸润—艺术对话—社会共创”的课程生态。例如，春季在植物园开展“花草寻踪”写生，幼儿观察植物萌芽的形态与色彩渐变；秋季联动美术馆举办“落叶艺术展”，将自然物转化为艺术创作材料；冬季与共建小学合作设计“滨江印象”光影装置，融合科学探究与美学表达。这种“季节—主题”双维度的资源联动机制，体现了生态学中“物质循环与能量流动”的核心思想，使美育课程呈现出动态平衡的生态特征。资源的分级调用进一步强化了课程的系统性与适配性，为幼儿提供从局部到整体、从表象到深层的渐进式学习体验。本模式通过真实场景中的跨主体协作，破解了传统美育资源割裂的困境，使幼儿在多元生态交互中实现审美经验的连续积累与文化认同的渐进建构。</w:t>
      </w:r>
    </w:p>
    <w:p w14:paraId="29E3076C">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4.家园社协同机制：让角色重构与平台赋能</w:t>
      </w:r>
    </w:p>
    <w:p w14:paraId="693E329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协同机制的理论基础源于社会文化理论中的“最近发展区”概念，强调家庭、教师与社区专家作为“有能力的他者”，对幼儿发展的支架作用。基于这一理论，本研究提出“三阶角色转型”模型，推动家长从单一的资源提供者逐步进化为课程共建者。在初级阶段，家长作为资源贡献者，依托职业背景或家庭文化特色提供多样化素材，例如医生家长讲解人体对称美学，传统手工艺家庭提供剪纸、刺绣等实物教具，丰富课程资源库；进入协作阶段，家长转型为活动协作者，与教师共同设计研学任务，如策划“记录滨江美好瞬间”探究路线，或指导幼儿利用社区地砖纹样创作几何拼贴画，使家庭经验深度融入活动实施；最终，家长成为课程共建者，通过线上线下双渠道参与课程优化——线下定期举办美育沙龙，收集活动反馈并迭代方案；线上借助微信公众号、云端共享库等平台，提交家庭创作案例（如阳台植物观察日记、节日民俗实践记录），参与“最美行走瞬间”投票评选，形成“设计—实施—评价”的全流程协作闭环。</w:t>
      </w:r>
    </w:p>
    <w:p w14:paraId="7291D1E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本研究以生活教育理论、具身认知理论、生态美育观与家园社协同机制理论为四大支柱，构建“目标-方法-资源-主体”闭环系统。具体而言，生活教育理论确立“真实场景育人”方向，将美育根植于幼儿的日常生活，打破园所边界，引导幼儿在与自然、社区的互动中感知美；具身认知理论指导“身体参与”的活动设计，通过感官体验与肢体动作深化审美理解；生态美育观保障"资源网络"的可持续运作，通过自然景观、文化场馆与社区单位的动态联动，破解资源割裂与课程碎片化问题；协同机制理论推动“多元主体”角色进化，重构家庭、社区与幼儿园的协作关系，从资源提供者转向课程共建者。四个理论并非孤立存在，而是通过“行走课堂”实践实现有机融合。生活教育理论锚定场景根基，具身认知理论激活身体参与，生态美育观串联资源网络，协同机制理论凝聚育人合力，共同形成“目标-方法-资源-主体”的闭环逻辑，为户外创意美术活动的生态化实践提供系统化支撑。</w:t>
      </w:r>
    </w:p>
    <w:p w14:paraId="0FD5EC2B">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0"/>
        <w:textAlignment w:val="auto"/>
        <w:outlineLvl w:val="9"/>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三、实证调查与课程优化</w:t>
      </w:r>
    </w:p>
    <w:p w14:paraId="4D5621F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bookmarkStart w:id="0" w:name="_Toc3299"/>
      <w:r>
        <w:rPr>
          <w:rFonts w:hint="eastAsia" w:cs="Times New Roman" w:asciiTheme="minorEastAsia" w:hAnsiTheme="minorEastAsia" w:eastAsiaTheme="minorEastAsia"/>
          <w:sz w:val="21"/>
          <w:szCs w:val="21"/>
          <w:lang w:val="en-US" w:eastAsia="zh-CN"/>
        </w:rPr>
        <w:t>为全面了解家园共育视域下户外美育资源的开发潜力与现实瓶颈，本研究在课题启动前，面向幼儿园教师、家长及社区工作者开展混合式调查，结合量化问卷与质性访谈，系统分析资源整合、活动设计及协同机制的基础现状，为后续实践路径的设计提供实证依据。</w:t>
      </w:r>
    </w:p>
    <w:p w14:paraId="3630DC67">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（一）调查</w:t>
      </w:r>
      <w:bookmarkEnd w:id="0"/>
      <w:r>
        <w:rPr>
          <w:rFonts w:hint="eastAsia" w:cs="Times New Roman" w:asciiTheme="minorEastAsia" w:hAnsiTheme="minorEastAsia" w:eastAsiaTheme="minorEastAsia"/>
          <w:b/>
          <w:bCs/>
          <w:sz w:val="21"/>
          <w:szCs w:val="21"/>
          <w:lang w:val="en-US" w:eastAsia="zh-CN"/>
        </w:rPr>
        <w:t>设计</w:t>
      </w:r>
    </w:p>
    <w:p w14:paraId="731A959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调查采用“问卷+访谈”双轨并行的方式，聚焦徐汇实验幼儿园的实际情况。问卷调查覆盖该园教师50名、家长320名及周边社区工作者30名，内容涵盖资源类型认知、使用频率、活动形式及协同障碍四大维度。访谈对象包括8名教师（含3名资深教师、5名新教师）、15名家长（涵盖不同职业背景）及5名社区管理者（含美术馆、公园及共建单位负责人），通过半结构化问题挖掘深层矛盾。数据经SPSS与Nvivo软件分析，确保结论的客观性与针对性。</w:t>
      </w:r>
    </w:p>
    <w:p w14:paraId="1DEFE3D1">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bookmarkStart w:id="1" w:name="_Toc10416"/>
      <w:r>
        <w:rPr>
          <w:rFonts w:hint="eastAsia" w:cs="Times New Roman" w:asciiTheme="minorEastAsia" w:hAnsiTheme="minorEastAsia" w:eastAsiaTheme="minorEastAsia"/>
          <w:b/>
          <w:bCs/>
          <w:sz w:val="21"/>
          <w:szCs w:val="21"/>
          <w:lang w:val="en-US" w:eastAsia="zh-CN"/>
        </w:rPr>
        <w:t>（二）</w:t>
      </w:r>
      <w:bookmarkEnd w:id="1"/>
      <w:r>
        <w:rPr>
          <w:rFonts w:hint="eastAsia" w:cs="Times New Roman" w:asciiTheme="minorEastAsia" w:hAnsiTheme="minorEastAsia" w:eastAsiaTheme="minorEastAsia"/>
          <w:b/>
          <w:bCs/>
          <w:sz w:val="21"/>
          <w:szCs w:val="21"/>
          <w:lang w:val="en-US" w:eastAsia="zh-CN"/>
        </w:rPr>
        <w:t>调查结果</w:t>
      </w:r>
    </w:p>
    <w:p w14:paraId="61E1A6F1">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1.幼儿美育培养对幼儿的成长与发展的重要性分析</w:t>
      </w:r>
    </w:p>
    <w:p w14:paraId="2BF9D18B">
      <w:pPr>
        <w:pageBreakBefore w:val="0"/>
        <w:kinsoku/>
        <w:wordWrap/>
        <w:overflowPunct/>
        <w:topLinePunct w:val="0"/>
        <w:autoSpaceDE/>
        <w:autoSpaceDN/>
        <w:bidi w:val="0"/>
        <w:adjustRightInd/>
        <w:snapToGrid/>
        <w:spacing w:line="400" w:lineRule="exact"/>
        <w:ind w:firstLine="361" w:firstLineChars="200"/>
        <w:jc w:val="center"/>
        <w:rPr>
          <w:b/>
          <w:bCs/>
          <w:sz w:val="18"/>
          <w:szCs w:val="18"/>
        </w:rPr>
      </w:pPr>
      <w:r>
        <w:rPr>
          <w:rFonts w:hint="eastAsia" w:ascii="宋体" w:hAnsi="宋体" w:eastAsia="宋体" w:cs="宋体"/>
          <w:b/>
          <w:bCs/>
          <w:color w:val="000000"/>
          <w:kern w:val="0"/>
          <w:sz w:val="18"/>
          <w:szCs w:val="18"/>
          <w:lang w:bidi="ar"/>
        </w:rPr>
        <w:t>表</w:t>
      </w:r>
      <w:r>
        <w:rPr>
          <w:rFonts w:hint="eastAsia" w:ascii="宋体" w:hAnsi="宋体" w:cs="宋体"/>
          <w:b/>
          <w:bCs/>
          <w:color w:val="000000"/>
          <w:kern w:val="0"/>
          <w:sz w:val="18"/>
          <w:szCs w:val="18"/>
          <w:lang w:val="en-US" w:eastAsia="zh-CN" w:bidi="ar"/>
        </w:rPr>
        <w:t>3</w:t>
      </w:r>
      <w:r>
        <w:rPr>
          <w:rFonts w:hint="default" w:ascii="宋体" w:hAnsi="宋体" w:cs="宋体"/>
          <w:b/>
          <w:bCs/>
          <w:color w:val="000000"/>
          <w:kern w:val="0"/>
          <w:sz w:val="18"/>
          <w:szCs w:val="18"/>
          <w:lang w:val="en-US" w:bidi="ar"/>
        </w:rPr>
        <w:t>-</w:t>
      </w:r>
      <w:r>
        <w:rPr>
          <w:rFonts w:hint="eastAsia" w:ascii="宋体" w:hAnsi="宋体" w:eastAsia="宋体" w:cs="宋体"/>
          <w:b/>
          <w:bCs/>
          <w:color w:val="000000"/>
          <w:kern w:val="0"/>
          <w:sz w:val="18"/>
          <w:szCs w:val="18"/>
          <w:lang w:bidi="ar"/>
        </w:rPr>
        <w:t>1 幼儿美育培养对幼儿的成长与发展的重要性</w:t>
      </w:r>
    </w:p>
    <w:tbl>
      <w:tblPr>
        <w:tblStyle w:val="9"/>
        <w:tblW w:w="7178"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31"/>
        <w:gridCol w:w="3371"/>
        <w:gridCol w:w="1231"/>
        <w:gridCol w:w="1345"/>
      </w:tblGrid>
      <w:tr w14:paraId="7D887F5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242" w:type="dxa"/>
            <w:tcBorders>
              <w:top w:val="single" w:color="000000" w:sz="12" w:space="0"/>
              <w:left w:val="nil"/>
              <w:bottom w:val="single" w:color="000000" w:sz="12" w:space="0"/>
              <w:right w:val="nil"/>
            </w:tcBorders>
            <w:shd w:val="clear" w:color="auto" w:fill="auto"/>
            <w:vAlign w:val="center"/>
          </w:tcPr>
          <w:p w14:paraId="551311C8">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项数</w:t>
            </w:r>
          </w:p>
        </w:tc>
        <w:tc>
          <w:tcPr>
            <w:tcW w:w="3452" w:type="dxa"/>
            <w:tcBorders>
              <w:top w:val="single" w:color="000000" w:sz="12" w:space="0"/>
              <w:left w:val="nil"/>
              <w:bottom w:val="single" w:color="000000" w:sz="12" w:space="0"/>
              <w:right w:val="nil"/>
            </w:tcBorders>
            <w:shd w:val="clear" w:color="auto" w:fill="auto"/>
            <w:vAlign w:val="center"/>
          </w:tcPr>
          <w:p w14:paraId="09F7F6F4">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选项</w:t>
            </w:r>
          </w:p>
        </w:tc>
        <w:tc>
          <w:tcPr>
            <w:tcW w:w="1242" w:type="dxa"/>
            <w:tcBorders>
              <w:top w:val="single" w:color="000000" w:sz="12" w:space="0"/>
              <w:left w:val="nil"/>
              <w:bottom w:val="single" w:color="000000" w:sz="12" w:space="0"/>
              <w:right w:val="nil"/>
            </w:tcBorders>
            <w:shd w:val="clear" w:color="auto" w:fill="auto"/>
            <w:vAlign w:val="center"/>
          </w:tcPr>
          <w:p w14:paraId="050C9E6F">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频数</w:t>
            </w:r>
          </w:p>
        </w:tc>
        <w:tc>
          <w:tcPr>
            <w:tcW w:w="1242" w:type="dxa"/>
            <w:tcBorders>
              <w:top w:val="single" w:color="000000" w:sz="12" w:space="0"/>
              <w:left w:val="nil"/>
              <w:bottom w:val="single" w:color="000000" w:sz="12" w:space="0"/>
              <w:right w:val="nil"/>
            </w:tcBorders>
            <w:shd w:val="clear" w:color="auto" w:fill="auto"/>
            <w:vAlign w:val="center"/>
          </w:tcPr>
          <w:p w14:paraId="053FB7AD">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百分比</w:t>
            </w:r>
          </w:p>
        </w:tc>
      </w:tr>
      <w:tr w14:paraId="73403B7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242" w:type="dxa"/>
            <w:vMerge w:val="restart"/>
            <w:tcBorders>
              <w:top w:val="nil"/>
              <w:left w:val="nil"/>
              <w:bottom w:val="single" w:color="000000" w:sz="8" w:space="0"/>
              <w:right w:val="nil"/>
            </w:tcBorders>
            <w:shd w:val="clear" w:color="auto" w:fill="auto"/>
          </w:tcPr>
          <w:p w14:paraId="3A64A47C">
            <w:pPr>
              <w:pageBreakBefore w:val="0"/>
              <w:widowControl/>
              <w:kinsoku/>
              <w:wordWrap/>
              <w:overflowPunct/>
              <w:topLinePunct w:val="0"/>
              <w:autoSpaceDE/>
              <w:autoSpaceDN/>
              <w:bidi w:val="0"/>
              <w:adjustRightInd/>
              <w:snapToGrid/>
              <w:spacing w:line="400" w:lineRule="exact"/>
              <w:ind w:left="0" w:leftChars="0" w:firstLine="0" w:firstLineChars="0"/>
              <w:jc w:val="both"/>
              <w:textAlignment w:val="top"/>
              <w:rPr>
                <w:rFonts w:ascii="宋体" w:hAnsi="宋体" w:eastAsia="宋体" w:cs="宋体"/>
                <w:color w:val="000000"/>
                <w:sz w:val="21"/>
                <w:szCs w:val="21"/>
              </w:rPr>
            </w:pPr>
            <w:r>
              <w:rPr>
                <w:rFonts w:hint="eastAsia" w:ascii="宋体" w:hAnsi="宋体" w:eastAsia="宋体" w:cs="宋体"/>
                <w:color w:val="000000"/>
                <w:kern w:val="0"/>
                <w:sz w:val="21"/>
                <w:szCs w:val="21"/>
                <w:lang w:bidi="ar"/>
              </w:rPr>
              <w:t>幼儿美育培养对幼儿的成长与发展有何意义</w:t>
            </w:r>
          </w:p>
        </w:tc>
        <w:tc>
          <w:tcPr>
            <w:tcW w:w="3452" w:type="dxa"/>
            <w:tcBorders>
              <w:top w:val="nil"/>
              <w:left w:val="nil"/>
              <w:bottom w:val="nil"/>
              <w:right w:val="nil"/>
            </w:tcBorders>
            <w:shd w:val="clear" w:color="auto" w:fill="auto"/>
            <w:vAlign w:val="center"/>
          </w:tcPr>
          <w:p w14:paraId="551C077D">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培养审美情趣和创造力</w:t>
            </w:r>
          </w:p>
        </w:tc>
        <w:tc>
          <w:tcPr>
            <w:tcW w:w="1242" w:type="dxa"/>
            <w:tcBorders>
              <w:top w:val="nil"/>
              <w:left w:val="nil"/>
              <w:bottom w:val="nil"/>
              <w:right w:val="nil"/>
            </w:tcBorders>
            <w:shd w:val="clear" w:color="auto" w:fill="auto"/>
          </w:tcPr>
          <w:p w14:paraId="5CD7A3CB">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45</w:t>
            </w:r>
          </w:p>
        </w:tc>
        <w:tc>
          <w:tcPr>
            <w:tcW w:w="1242" w:type="dxa"/>
            <w:tcBorders>
              <w:top w:val="nil"/>
              <w:left w:val="nil"/>
              <w:bottom w:val="nil"/>
              <w:right w:val="nil"/>
            </w:tcBorders>
            <w:shd w:val="clear" w:color="auto" w:fill="auto"/>
            <w:vAlign w:val="center"/>
          </w:tcPr>
          <w:p w14:paraId="141C01BA">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90.00%</w:t>
            </w:r>
          </w:p>
        </w:tc>
      </w:tr>
      <w:tr w14:paraId="3CD9C2E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42" w:type="dxa"/>
            <w:vMerge w:val="continue"/>
            <w:tcBorders>
              <w:top w:val="nil"/>
              <w:left w:val="nil"/>
              <w:bottom w:val="single" w:color="000000" w:sz="8" w:space="0"/>
              <w:right w:val="nil"/>
            </w:tcBorders>
            <w:shd w:val="clear" w:color="auto" w:fill="auto"/>
          </w:tcPr>
          <w:p w14:paraId="7B1EC537">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452" w:type="dxa"/>
            <w:tcBorders>
              <w:top w:val="nil"/>
              <w:left w:val="nil"/>
              <w:bottom w:val="nil"/>
              <w:right w:val="nil"/>
            </w:tcBorders>
            <w:shd w:val="clear" w:color="auto" w:fill="auto"/>
            <w:vAlign w:val="center"/>
          </w:tcPr>
          <w:p w14:paraId="6D5B56C5">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提升社交能力和团队协作精神</w:t>
            </w:r>
          </w:p>
        </w:tc>
        <w:tc>
          <w:tcPr>
            <w:tcW w:w="1242" w:type="dxa"/>
            <w:tcBorders>
              <w:top w:val="nil"/>
              <w:left w:val="nil"/>
              <w:bottom w:val="nil"/>
              <w:right w:val="nil"/>
            </w:tcBorders>
            <w:shd w:val="clear" w:color="auto" w:fill="auto"/>
          </w:tcPr>
          <w:p w14:paraId="219C4386">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41</w:t>
            </w:r>
          </w:p>
        </w:tc>
        <w:tc>
          <w:tcPr>
            <w:tcW w:w="1242" w:type="dxa"/>
            <w:tcBorders>
              <w:top w:val="nil"/>
              <w:left w:val="nil"/>
              <w:bottom w:val="nil"/>
              <w:right w:val="nil"/>
            </w:tcBorders>
            <w:shd w:val="clear" w:color="auto" w:fill="auto"/>
            <w:vAlign w:val="center"/>
          </w:tcPr>
          <w:p w14:paraId="15620708">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82.00%</w:t>
            </w:r>
          </w:p>
        </w:tc>
      </w:tr>
      <w:tr w14:paraId="6BD5799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42" w:type="dxa"/>
            <w:vMerge w:val="continue"/>
            <w:tcBorders>
              <w:top w:val="nil"/>
              <w:left w:val="nil"/>
              <w:bottom w:val="single" w:color="000000" w:sz="8" w:space="0"/>
              <w:right w:val="nil"/>
            </w:tcBorders>
            <w:shd w:val="clear" w:color="auto" w:fill="auto"/>
          </w:tcPr>
          <w:p w14:paraId="6070C249">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452" w:type="dxa"/>
            <w:tcBorders>
              <w:top w:val="nil"/>
              <w:left w:val="nil"/>
              <w:bottom w:val="nil"/>
              <w:right w:val="nil"/>
            </w:tcBorders>
            <w:shd w:val="clear" w:color="auto" w:fill="auto"/>
            <w:vAlign w:val="center"/>
          </w:tcPr>
          <w:p w14:paraId="712C9C29">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增强自信心和表现力</w:t>
            </w:r>
          </w:p>
        </w:tc>
        <w:tc>
          <w:tcPr>
            <w:tcW w:w="1242" w:type="dxa"/>
            <w:tcBorders>
              <w:top w:val="nil"/>
              <w:left w:val="nil"/>
              <w:bottom w:val="nil"/>
              <w:right w:val="nil"/>
            </w:tcBorders>
            <w:shd w:val="clear" w:color="auto" w:fill="auto"/>
          </w:tcPr>
          <w:p w14:paraId="21090D12">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39</w:t>
            </w:r>
          </w:p>
        </w:tc>
        <w:tc>
          <w:tcPr>
            <w:tcW w:w="1242" w:type="dxa"/>
            <w:tcBorders>
              <w:top w:val="nil"/>
              <w:left w:val="nil"/>
              <w:bottom w:val="nil"/>
              <w:right w:val="nil"/>
            </w:tcBorders>
            <w:shd w:val="clear" w:color="auto" w:fill="auto"/>
            <w:vAlign w:val="center"/>
          </w:tcPr>
          <w:p w14:paraId="5071C52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78.00%</w:t>
            </w:r>
          </w:p>
        </w:tc>
      </w:tr>
      <w:tr w14:paraId="48234AC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jc w:val="center"/>
        </w:trPr>
        <w:tc>
          <w:tcPr>
            <w:tcW w:w="1242" w:type="dxa"/>
            <w:vMerge w:val="continue"/>
            <w:tcBorders>
              <w:top w:val="nil"/>
              <w:left w:val="nil"/>
              <w:right w:val="nil"/>
            </w:tcBorders>
            <w:shd w:val="clear" w:color="auto" w:fill="auto"/>
          </w:tcPr>
          <w:p w14:paraId="4F34CC96">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452" w:type="dxa"/>
            <w:tcBorders>
              <w:top w:val="nil"/>
              <w:left w:val="nil"/>
              <w:right w:val="nil"/>
            </w:tcBorders>
            <w:shd w:val="clear" w:color="auto" w:fill="auto"/>
            <w:vAlign w:val="center"/>
          </w:tcPr>
          <w:p w14:paraId="495FAFB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促进身心健康和全面发展</w:t>
            </w:r>
          </w:p>
        </w:tc>
        <w:tc>
          <w:tcPr>
            <w:tcW w:w="1242" w:type="dxa"/>
            <w:tcBorders>
              <w:top w:val="nil"/>
              <w:left w:val="nil"/>
              <w:right w:val="nil"/>
            </w:tcBorders>
            <w:shd w:val="clear" w:color="auto" w:fill="auto"/>
          </w:tcPr>
          <w:p w14:paraId="7F67A85C">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42</w:t>
            </w:r>
          </w:p>
        </w:tc>
        <w:tc>
          <w:tcPr>
            <w:tcW w:w="1242" w:type="dxa"/>
            <w:tcBorders>
              <w:top w:val="nil"/>
              <w:left w:val="nil"/>
              <w:right w:val="nil"/>
            </w:tcBorders>
            <w:shd w:val="clear" w:color="auto" w:fill="auto"/>
            <w:vAlign w:val="center"/>
          </w:tcPr>
          <w:p w14:paraId="6EA45B5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84.00%</w:t>
            </w:r>
          </w:p>
        </w:tc>
      </w:tr>
    </w:tbl>
    <w:p w14:paraId="6816753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表</w:t>
      </w:r>
      <w:r>
        <w:rPr>
          <w:rFonts w:hint="default" w:cs="Times New Roman" w:asciiTheme="minorEastAsia" w:hAnsiTheme="minorEastAsia" w:eastAsiaTheme="minorEastAsia"/>
          <w:sz w:val="21"/>
          <w:szCs w:val="21"/>
          <w:lang w:val="en-US" w:eastAsia="zh-CN"/>
        </w:rPr>
        <w:t>4-</w:t>
      </w:r>
      <w:r>
        <w:rPr>
          <w:rFonts w:hint="eastAsia" w:cs="Times New Roman" w:asciiTheme="minorEastAsia" w:hAnsiTheme="minorEastAsia" w:eastAsiaTheme="minorEastAsia"/>
          <w:sz w:val="21"/>
          <w:szCs w:val="21"/>
          <w:lang w:val="en-US" w:eastAsia="zh-CN"/>
        </w:rPr>
        <w:t>1的问卷调查显示，90%的教师与家长认为美育对幼儿成长具有多重价值。访谈中，教师强调：“户外美术活动能帮助幼儿建立对自然美的直观感知，这是室内教学难以替代的。”家长反馈：“孩子通过收集落叶创作拼贴画后，开始主动观察社区植物的季节变化，这种观察力迁移到其他学习中。”质性数据进一步揭示，美育不仅是艺术技能培养，更是情感陶冶与创造力发展的核心路径。例如，一名幼儿在滨江绿地写生后，用“江水像跳舞的丝带”描述波纹动态，体现了审美语言的自然生成。</w:t>
      </w:r>
    </w:p>
    <w:p w14:paraId="478CC5AE">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2.</w:t>
      </w:r>
      <w:r>
        <w:rPr>
          <w:rFonts w:hint="eastAsia" w:cs="Times New Roman" w:asciiTheme="minorEastAsia" w:hAnsiTheme="minorEastAsia" w:eastAsiaTheme="minorEastAsia"/>
          <w:b/>
          <w:bCs/>
          <w:sz w:val="21"/>
          <w:szCs w:val="21"/>
          <w:lang w:val="en-US" w:eastAsia="zh-CN"/>
        </w:rPr>
        <w:t>我园目前在幼儿美育培养方面问题分析</w:t>
      </w:r>
    </w:p>
    <w:p w14:paraId="31131BF0">
      <w:pPr>
        <w:pageBreakBefore w:val="0"/>
        <w:kinsoku/>
        <w:wordWrap/>
        <w:overflowPunct/>
        <w:topLinePunct w:val="0"/>
        <w:autoSpaceDE/>
        <w:autoSpaceDN/>
        <w:bidi w:val="0"/>
        <w:adjustRightInd/>
        <w:snapToGrid/>
        <w:spacing w:line="400" w:lineRule="exact"/>
        <w:ind w:firstLine="361" w:firstLineChars="200"/>
        <w:jc w:val="center"/>
        <w:rPr>
          <w:rFonts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表</w:t>
      </w:r>
      <w:r>
        <w:rPr>
          <w:rFonts w:hint="eastAsia" w:ascii="宋体" w:hAnsi="宋体" w:cs="宋体"/>
          <w:b/>
          <w:bCs/>
          <w:color w:val="000000"/>
          <w:kern w:val="0"/>
          <w:sz w:val="18"/>
          <w:szCs w:val="18"/>
          <w:lang w:val="en-US" w:eastAsia="zh-CN" w:bidi="ar"/>
        </w:rPr>
        <w:t>3</w:t>
      </w:r>
      <w:r>
        <w:rPr>
          <w:rFonts w:hint="default" w:ascii="宋体" w:hAnsi="宋体" w:cs="宋体"/>
          <w:b/>
          <w:bCs/>
          <w:color w:val="000000"/>
          <w:kern w:val="0"/>
          <w:sz w:val="18"/>
          <w:szCs w:val="18"/>
          <w:lang w:val="en-US" w:bidi="ar"/>
        </w:rPr>
        <w:t>-</w:t>
      </w:r>
      <w:r>
        <w:rPr>
          <w:rFonts w:hint="eastAsia" w:ascii="宋体" w:hAnsi="宋体" w:eastAsia="宋体" w:cs="宋体"/>
          <w:b/>
          <w:bCs/>
          <w:color w:val="000000"/>
          <w:kern w:val="0"/>
          <w:sz w:val="18"/>
          <w:szCs w:val="18"/>
          <w:lang w:bidi="ar"/>
        </w:rPr>
        <w:t>2 我园目前在幼儿美育培养方面存在哪些不足</w:t>
      </w:r>
    </w:p>
    <w:tbl>
      <w:tblPr>
        <w:tblStyle w:val="9"/>
        <w:tblW w:w="8019" w:type="dxa"/>
        <w:jc w:val="center"/>
        <w:tblLayout w:type="autofit"/>
        <w:tblCellMar>
          <w:top w:w="0" w:type="dxa"/>
          <w:left w:w="108" w:type="dxa"/>
          <w:bottom w:w="0" w:type="dxa"/>
          <w:right w:w="108" w:type="dxa"/>
        </w:tblCellMar>
      </w:tblPr>
      <w:tblGrid>
        <w:gridCol w:w="1312"/>
        <w:gridCol w:w="4051"/>
        <w:gridCol w:w="1312"/>
        <w:gridCol w:w="1344"/>
      </w:tblGrid>
      <w:tr w14:paraId="759C73EE">
        <w:tblPrEx>
          <w:tblCellMar>
            <w:top w:w="0" w:type="dxa"/>
            <w:left w:w="108" w:type="dxa"/>
            <w:bottom w:w="0" w:type="dxa"/>
            <w:right w:w="108" w:type="dxa"/>
          </w:tblCellMar>
        </w:tblPrEx>
        <w:trPr>
          <w:trHeight w:val="484" w:hRule="atLeast"/>
          <w:jc w:val="center"/>
        </w:trPr>
        <w:tc>
          <w:tcPr>
            <w:tcW w:w="1315" w:type="dxa"/>
            <w:tcBorders>
              <w:top w:val="single" w:color="000000" w:sz="12" w:space="0"/>
              <w:left w:val="nil"/>
              <w:bottom w:val="single" w:color="000000" w:sz="12" w:space="0"/>
              <w:right w:val="nil"/>
            </w:tcBorders>
            <w:shd w:val="clear" w:color="auto" w:fill="auto"/>
            <w:vAlign w:val="center"/>
          </w:tcPr>
          <w:p w14:paraId="475BFF22">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项数</w:t>
            </w:r>
          </w:p>
        </w:tc>
        <w:tc>
          <w:tcPr>
            <w:tcW w:w="4074" w:type="dxa"/>
            <w:tcBorders>
              <w:top w:val="single" w:color="000000" w:sz="12" w:space="0"/>
              <w:left w:val="nil"/>
              <w:bottom w:val="single" w:color="000000" w:sz="12" w:space="0"/>
              <w:right w:val="nil"/>
            </w:tcBorders>
            <w:shd w:val="clear" w:color="auto" w:fill="auto"/>
            <w:vAlign w:val="center"/>
          </w:tcPr>
          <w:p w14:paraId="3878227B">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选项</w:t>
            </w:r>
          </w:p>
        </w:tc>
        <w:tc>
          <w:tcPr>
            <w:tcW w:w="1315" w:type="dxa"/>
            <w:tcBorders>
              <w:top w:val="single" w:color="000000" w:sz="12" w:space="0"/>
              <w:left w:val="nil"/>
              <w:bottom w:val="single" w:color="000000" w:sz="12" w:space="0"/>
              <w:right w:val="nil"/>
            </w:tcBorders>
            <w:shd w:val="clear" w:color="auto" w:fill="auto"/>
            <w:vAlign w:val="center"/>
          </w:tcPr>
          <w:p w14:paraId="285C5712">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频数</w:t>
            </w:r>
          </w:p>
        </w:tc>
        <w:tc>
          <w:tcPr>
            <w:tcW w:w="1315" w:type="dxa"/>
            <w:tcBorders>
              <w:top w:val="single" w:color="000000" w:sz="12" w:space="0"/>
              <w:left w:val="nil"/>
              <w:bottom w:val="single" w:color="000000" w:sz="12" w:space="0"/>
              <w:right w:val="nil"/>
            </w:tcBorders>
            <w:shd w:val="clear" w:color="auto" w:fill="auto"/>
            <w:vAlign w:val="center"/>
          </w:tcPr>
          <w:p w14:paraId="678CAE5F">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百分比</w:t>
            </w:r>
          </w:p>
        </w:tc>
      </w:tr>
      <w:tr w14:paraId="32842741">
        <w:tblPrEx>
          <w:tblCellMar>
            <w:top w:w="0" w:type="dxa"/>
            <w:left w:w="108" w:type="dxa"/>
            <w:bottom w:w="0" w:type="dxa"/>
            <w:right w:w="108" w:type="dxa"/>
          </w:tblCellMar>
        </w:tblPrEx>
        <w:trPr>
          <w:trHeight w:val="484" w:hRule="atLeast"/>
          <w:jc w:val="center"/>
        </w:trPr>
        <w:tc>
          <w:tcPr>
            <w:tcW w:w="1315" w:type="dxa"/>
            <w:vMerge w:val="restart"/>
            <w:tcBorders>
              <w:top w:val="nil"/>
              <w:left w:val="nil"/>
              <w:bottom w:val="single" w:color="000000" w:sz="8" w:space="0"/>
              <w:right w:val="nil"/>
            </w:tcBorders>
            <w:shd w:val="clear" w:color="auto" w:fill="auto"/>
          </w:tcPr>
          <w:p w14:paraId="4477E044">
            <w:pPr>
              <w:pageBreakBefore w:val="0"/>
              <w:widowControl/>
              <w:kinsoku/>
              <w:wordWrap/>
              <w:overflowPunct/>
              <w:topLinePunct w:val="0"/>
              <w:autoSpaceDE/>
              <w:autoSpaceDN/>
              <w:bidi w:val="0"/>
              <w:adjustRightInd/>
              <w:snapToGrid/>
              <w:spacing w:line="400" w:lineRule="exact"/>
              <w:ind w:left="0" w:leftChars="0" w:firstLine="0" w:firstLineChars="0"/>
              <w:jc w:val="both"/>
              <w:textAlignment w:val="top"/>
              <w:rPr>
                <w:rFonts w:ascii="宋体" w:hAnsi="宋体" w:eastAsia="宋体" w:cs="宋体"/>
                <w:color w:val="000000"/>
                <w:sz w:val="21"/>
                <w:szCs w:val="21"/>
              </w:rPr>
            </w:pPr>
            <w:r>
              <w:rPr>
                <w:rFonts w:hint="eastAsia" w:ascii="宋体" w:hAnsi="宋体" w:eastAsia="宋体" w:cs="宋体"/>
                <w:color w:val="000000"/>
                <w:kern w:val="0"/>
                <w:sz w:val="21"/>
                <w:szCs w:val="21"/>
                <w:lang w:bidi="ar"/>
              </w:rPr>
              <w:t>我园目前在幼儿美育培养方面存在哪些不足</w:t>
            </w:r>
          </w:p>
        </w:tc>
        <w:tc>
          <w:tcPr>
            <w:tcW w:w="4074" w:type="dxa"/>
            <w:tcBorders>
              <w:top w:val="nil"/>
              <w:left w:val="nil"/>
              <w:bottom w:val="nil"/>
              <w:right w:val="nil"/>
            </w:tcBorders>
            <w:shd w:val="clear" w:color="auto" w:fill="auto"/>
            <w:vAlign w:val="center"/>
          </w:tcPr>
          <w:p w14:paraId="102BE895">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缺乏系统的美育课程和活动</w:t>
            </w:r>
          </w:p>
        </w:tc>
        <w:tc>
          <w:tcPr>
            <w:tcW w:w="1315" w:type="dxa"/>
            <w:tcBorders>
              <w:top w:val="nil"/>
              <w:left w:val="nil"/>
              <w:bottom w:val="nil"/>
              <w:right w:val="nil"/>
            </w:tcBorders>
            <w:shd w:val="clear" w:color="auto" w:fill="auto"/>
          </w:tcPr>
          <w:p w14:paraId="48165595">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39</w:t>
            </w:r>
          </w:p>
        </w:tc>
        <w:tc>
          <w:tcPr>
            <w:tcW w:w="1315" w:type="dxa"/>
            <w:tcBorders>
              <w:top w:val="nil"/>
              <w:left w:val="nil"/>
              <w:bottom w:val="nil"/>
              <w:right w:val="nil"/>
            </w:tcBorders>
            <w:shd w:val="clear" w:color="auto" w:fill="auto"/>
            <w:vAlign w:val="center"/>
          </w:tcPr>
          <w:p w14:paraId="5C50863B">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78.00%</w:t>
            </w:r>
          </w:p>
        </w:tc>
      </w:tr>
      <w:tr w14:paraId="603EB028">
        <w:tblPrEx>
          <w:tblCellMar>
            <w:top w:w="0" w:type="dxa"/>
            <w:left w:w="108" w:type="dxa"/>
            <w:bottom w:w="0" w:type="dxa"/>
            <w:right w:w="108" w:type="dxa"/>
          </w:tblCellMar>
        </w:tblPrEx>
        <w:trPr>
          <w:trHeight w:val="548" w:hRule="atLeast"/>
          <w:jc w:val="center"/>
        </w:trPr>
        <w:tc>
          <w:tcPr>
            <w:tcW w:w="1315" w:type="dxa"/>
            <w:vMerge w:val="continue"/>
            <w:tcBorders>
              <w:top w:val="nil"/>
              <w:left w:val="nil"/>
              <w:bottom w:val="single" w:color="000000" w:sz="8" w:space="0"/>
              <w:right w:val="nil"/>
            </w:tcBorders>
            <w:shd w:val="clear" w:color="auto" w:fill="auto"/>
          </w:tcPr>
          <w:p w14:paraId="0E4577C7">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4074" w:type="dxa"/>
            <w:tcBorders>
              <w:top w:val="nil"/>
              <w:left w:val="nil"/>
              <w:bottom w:val="nil"/>
              <w:right w:val="nil"/>
            </w:tcBorders>
            <w:shd w:val="clear" w:color="auto" w:fill="auto"/>
            <w:vAlign w:val="center"/>
          </w:tcPr>
          <w:p w14:paraId="4F5BF688">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教师在美育方面的专业素养不足</w:t>
            </w:r>
          </w:p>
        </w:tc>
        <w:tc>
          <w:tcPr>
            <w:tcW w:w="1315" w:type="dxa"/>
            <w:tcBorders>
              <w:top w:val="nil"/>
              <w:left w:val="nil"/>
              <w:bottom w:val="nil"/>
              <w:right w:val="nil"/>
            </w:tcBorders>
            <w:shd w:val="clear" w:color="auto" w:fill="auto"/>
          </w:tcPr>
          <w:p w14:paraId="51111701">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42</w:t>
            </w:r>
          </w:p>
        </w:tc>
        <w:tc>
          <w:tcPr>
            <w:tcW w:w="1315" w:type="dxa"/>
            <w:tcBorders>
              <w:top w:val="nil"/>
              <w:left w:val="nil"/>
              <w:bottom w:val="nil"/>
              <w:right w:val="nil"/>
            </w:tcBorders>
            <w:shd w:val="clear" w:color="auto" w:fill="auto"/>
            <w:vAlign w:val="center"/>
          </w:tcPr>
          <w:p w14:paraId="3EC9B5D0">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84.00%</w:t>
            </w:r>
          </w:p>
        </w:tc>
      </w:tr>
      <w:tr w14:paraId="06D952B7">
        <w:tblPrEx>
          <w:tblCellMar>
            <w:top w:w="0" w:type="dxa"/>
            <w:left w:w="108" w:type="dxa"/>
            <w:bottom w:w="0" w:type="dxa"/>
            <w:right w:w="108" w:type="dxa"/>
          </w:tblCellMar>
        </w:tblPrEx>
        <w:trPr>
          <w:trHeight w:val="474" w:hRule="atLeast"/>
          <w:jc w:val="center"/>
        </w:trPr>
        <w:tc>
          <w:tcPr>
            <w:tcW w:w="1315" w:type="dxa"/>
            <w:vMerge w:val="continue"/>
            <w:tcBorders>
              <w:top w:val="nil"/>
              <w:left w:val="nil"/>
              <w:bottom w:val="single" w:color="000000" w:sz="8" w:space="0"/>
              <w:right w:val="nil"/>
            </w:tcBorders>
            <w:shd w:val="clear" w:color="auto" w:fill="auto"/>
          </w:tcPr>
          <w:p w14:paraId="744E50C9">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4074" w:type="dxa"/>
            <w:tcBorders>
              <w:top w:val="nil"/>
              <w:left w:val="nil"/>
              <w:bottom w:val="nil"/>
              <w:right w:val="nil"/>
            </w:tcBorders>
            <w:shd w:val="clear" w:color="auto" w:fill="auto"/>
            <w:vAlign w:val="center"/>
          </w:tcPr>
          <w:p w14:paraId="256B00B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缺乏丰富的美育资源</w:t>
            </w:r>
          </w:p>
        </w:tc>
        <w:tc>
          <w:tcPr>
            <w:tcW w:w="1315" w:type="dxa"/>
            <w:tcBorders>
              <w:top w:val="nil"/>
              <w:left w:val="nil"/>
              <w:bottom w:val="nil"/>
              <w:right w:val="nil"/>
            </w:tcBorders>
            <w:shd w:val="clear" w:color="auto" w:fill="auto"/>
          </w:tcPr>
          <w:p w14:paraId="7B6AC670">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35</w:t>
            </w:r>
          </w:p>
        </w:tc>
        <w:tc>
          <w:tcPr>
            <w:tcW w:w="1315" w:type="dxa"/>
            <w:tcBorders>
              <w:top w:val="nil"/>
              <w:left w:val="nil"/>
              <w:bottom w:val="nil"/>
              <w:right w:val="nil"/>
            </w:tcBorders>
            <w:shd w:val="clear" w:color="auto" w:fill="auto"/>
            <w:vAlign w:val="center"/>
          </w:tcPr>
          <w:p w14:paraId="10049D94">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70.00%</w:t>
            </w:r>
          </w:p>
        </w:tc>
      </w:tr>
      <w:tr w14:paraId="61A48E51">
        <w:tblPrEx>
          <w:tblCellMar>
            <w:top w:w="0" w:type="dxa"/>
            <w:left w:w="108" w:type="dxa"/>
            <w:bottom w:w="0" w:type="dxa"/>
            <w:right w:w="108" w:type="dxa"/>
          </w:tblCellMar>
        </w:tblPrEx>
        <w:trPr>
          <w:trHeight w:val="407" w:hRule="atLeast"/>
          <w:jc w:val="center"/>
        </w:trPr>
        <w:tc>
          <w:tcPr>
            <w:tcW w:w="1315" w:type="dxa"/>
            <w:vMerge w:val="continue"/>
            <w:tcBorders>
              <w:top w:val="nil"/>
              <w:left w:val="nil"/>
              <w:bottom w:val="single" w:color="000000" w:sz="8" w:space="0"/>
              <w:right w:val="nil"/>
            </w:tcBorders>
            <w:shd w:val="clear" w:color="auto" w:fill="auto"/>
          </w:tcPr>
          <w:p w14:paraId="0B28379F">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4074" w:type="dxa"/>
            <w:tcBorders>
              <w:top w:val="nil"/>
              <w:left w:val="nil"/>
              <w:bottom w:val="single" w:color="000000" w:sz="4" w:space="0"/>
              <w:right w:val="nil"/>
            </w:tcBorders>
            <w:shd w:val="clear" w:color="auto" w:fill="auto"/>
            <w:vAlign w:val="center"/>
          </w:tcPr>
          <w:p w14:paraId="051360E6">
            <w:pPr>
              <w:pageBreakBefore w:val="0"/>
              <w:widowControl/>
              <w:kinsoku/>
              <w:wordWrap/>
              <w:overflowPunct/>
              <w:topLinePunct w:val="0"/>
              <w:autoSpaceDE/>
              <w:autoSpaceDN/>
              <w:bidi w:val="0"/>
              <w:adjustRightInd/>
              <w:snapToGrid/>
              <w:spacing w:line="400" w:lineRule="exact"/>
              <w:ind w:left="0" w:leftChars="0" w:firstLine="0" w:firstLineChars="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家长（教师）对美育培养的重视程度不够</w:t>
            </w:r>
          </w:p>
        </w:tc>
        <w:tc>
          <w:tcPr>
            <w:tcW w:w="1315" w:type="dxa"/>
            <w:tcBorders>
              <w:top w:val="nil"/>
              <w:left w:val="nil"/>
              <w:bottom w:val="single" w:color="000000" w:sz="4" w:space="0"/>
              <w:right w:val="nil"/>
            </w:tcBorders>
            <w:shd w:val="clear" w:color="auto" w:fill="auto"/>
          </w:tcPr>
          <w:p w14:paraId="7E742005">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35</w:t>
            </w:r>
          </w:p>
        </w:tc>
        <w:tc>
          <w:tcPr>
            <w:tcW w:w="1315" w:type="dxa"/>
            <w:tcBorders>
              <w:top w:val="nil"/>
              <w:left w:val="nil"/>
              <w:bottom w:val="single" w:color="000000" w:sz="4" w:space="0"/>
              <w:right w:val="nil"/>
            </w:tcBorders>
            <w:shd w:val="clear" w:color="auto" w:fill="auto"/>
            <w:vAlign w:val="center"/>
          </w:tcPr>
          <w:p w14:paraId="5243C8B3">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70.00%</w:t>
            </w:r>
          </w:p>
        </w:tc>
      </w:tr>
    </w:tbl>
    <w:p w14:paraId="2AEA696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调查显示，78%的教师认为园所美育存在系统性短板（见表</w:t>
      </w:r>
      <w:r>
        <w:rPr>
          <w:rFonts w:hint="default" w:cs="Times New Roman" w:asciiTheme="minorEastAsia" w:hAnsiTheme="minorEastAsia" w:eastAsiaTheme="minorEastAsia"/>
          <w:sz w:val="21"/>
          <w:szCs w:val="21"/>
          <w:lang w:val="en-US" w:eastAsia="zh-CN"/>
        </w:rPr>
        <w:t>4-</w:t>
      </w:r>
      <w:r>
        <w:rPr>
          <w:rFonts w:hint="eastAsia" w:cs="Times New Roman" w:asciiTheme="minorEastAsia" w:hAnsiTheme="minorEastAsia" w:eastAsiaTheme="minorEastAsia"/>
          <w:sz w:val="21"/>
          <w:szCs w:val="21"/>
          <w:lang w:val="en-US" w:eastAsia="zh-CN"/>
        </w:rPr>
        <w:t>2）。访谈中，教师指出三大矛盾：一是活动空间受限，户外资源开发碎片化，“滨江绿地与美术馆资源未形成主题联动”；二是教师跨学科能力不足，“自然美育中缺乏生态知识支撑”；三是家长参与浅层化，“仅限物资提供，未参与课程设计”。社区工作者补充：“幼儿园对共建单位的专业资源（如艺术家、工程师）利用不足，合作停留在场地借用层面。”这些问题导致课程同质化突出，难以满足幼儿个性化需求。</w:t>
      </w:r>
    </w:p>
    <w:p w14:paraId="4512886D">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3.</w:t>
      </w:r>
      <w:r>
        <w:rPr>
          <w:rFonts w:hint="eastAsia" w:cs="Times New Roman" w:asciiTheme="minorEastAsia" w:hAnsiTheme="minorEastAsia" w:eastAsiaTheme="minorEastAsia"/>
          <w:b/>
          <w:bCs/>
          <w:sz w:val="21"/>
          <w:szCs w:val="21"/>
          <w:lang w:val="en-US" w:eastAsia="zh-CN"/>
        </w:rPr>
        <w:t>动态资源在幼儿美育培养中重要性分析</w:t>
      </w:r>
    </w:p>
    <w:p w14:paraId="335058B7">
      <w:pPr>
        <w:pageBreakBefore w:val="0"/>
        <w:kinsoku/>
        <w:wordWrap/>
        <w:overflowPunct/>
        <w:topLinePunct w:val="0"/>
        <w:autoSpaceDE/>
        <w:autoSpaceDN/>
        <w:bidi w:val="0"/>
        <w:adjustRightInd/>
        <w:snapToGrid/>
        <w:spacing w:line="400" w:lineRule="exact"/>
        <w:ind w:firstLine="361" w:firstLineChars="200"/>
        <w:jc w:val="center"/>
        <w:rPr>
          <w:b/>
          <w:bCs/>
          <w:sz w:val="18"/>
          <w:szCs w:val="18"/>
        </w:rPr>
      </w:pPr>
      <w:r>
        <w:rPr>
          <w:rFonts w:hint="eastAsia"/>
          <w:b/>
          <w:bCs/>
          <w:sz w:val="18"/>
          <w:szCs w:val="18"/>
        </w:rPr>
        <w:t>表</w:t>
      </w:r>
      <w:r>
        <w:rPr>
          <w:rFonts w:hint="eastAsia"/>
          <w:b/>
          <w:bCs/>
          <w:sz w:val="18"/>
          <w:szCs w:val="18"/>
          <w:lang w:val="en-US" w:eastAsia="zh-CN"/>
        </w:rPr>
        <w:t>3</w:t>
      </w:r>
      <w:r>
        <w:rPr>
          <w:rFonts w:hint="default"/>
          <w:b/>
          <w:bCs/>
          <w:sz w:val="18"/>
          <w:szCs w:val="18"/>
          <w:lang w:val="en-US"/>
        </w:rPr>
        <w:t>-</w:t>
      </w:r>
      <w:r>
        <w:rPr>
          <w:rFonts w:hint="eastAsia"/>
          <w:b/>
          <w:bCs/>
          <w:sz w:val="18"/>
          <w:szCs w:val="18"/>
        </w:rPr>
        <w:t xml:space="preserve">3 </w:t>
      </w:r>
      <w:r>
        <w:rPr>
          <w:rFonts w:hint="eastAsia"/>
          <w:b/>
          <w:bCs/>
          <w:sz w:val="18"/>
          <w:szCs w:val="18"/>
          <w:lang w:eastAsia="zh-CN"/>
        </w:rPr>
        <w:t>动态</w:t>
      </w:r>
      <w:r>
        <w:rPr>
          <w:rFonts w:hint="eastAsia"/>
          <w:b/>
          <w:bCs/>
          <w:sz w:val="18"/>
          <w:szCs w:val="18"/>
        </w:rPr>
        <w:t>资源在幼儿美育培养中的重要性</w:t>
      </w:r>
    </w:p>
    <w:tbl>
      <w:tblPr>
        <w:tblStyle w:val="9"/>
        <w:tblW w:w="8038" w:type="dxa"/>
        <w:jc w:val="center"/>
        <w:tblLayout w:type="autofit"/>
        <w:tblCellMar>
          <w:top w:w="0" w:type="dxa"/>
          <w:left w:w="108" w:type="dxa"/>
          <w:bottom w:w="0" w:type="dxa"/>
          <w:right w:w="108" w:type="dxa"/>
        </w:tblCellMar>
      </w:tblPr>
      <w:tblGrid>
        <w:gridCol w:w="1315"/>
        <w:gridCol w:w="4063"/>
        <w:gridCol w:w="1315"/>
        <w:gridCol w:w="1345"/>
      </w:tblGrid>
      <w:tr w14:paraId="05CDA7C3">
        <w:tblPrEx>
          <w:tblCellMar>
            <w:top w:w="0" w:type="dxa"/>
            <w:left w:w="108" w:type="dxa"/>
            <w:bottom w:w="0" w:type="dxa"/>
            <w:right w:w="108" w:type="dxa"/>
          </w:tblCellMar>
        </w:tblPrEx>
        <w:trPr>
          <w:trHeight w:val="477" w:hRule="atLeast"/>
          <w:jc w:val="center"/>
        </w:trPr>
        <w:tc>
          <w:tcPr>
            <w:tcW w:w="1318" w:type="dxa"/>
            <w:tcBorders>
              <w:top w:val="single" w:color="000000" w:sz="12" w:space="0"/>
              <w:left w:val="nil"/>
              <w:bottom w:val="single" w:color="000000" w:sz="12" w:space="0"/>
              <w:right w:val="nil"/>
            </w:tcBorders>
            <w:shd w:val="clear" w:color="auto" w:fill="auto"/>
            <w:vAlign w:val="center"/>
          </w:tcPr>
          <w:p w14:paraId="630D3A20">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项数</w:t>
            </w:r>
          </w:p>
        </w:tc>
        <w:tc>
          <w:tcPr>
            <w:tcW w:w="4084" w:type="dxa"/>
            <w:tcBorders>
              <w:top w:val="single" w:color="000000" w:sz="12" w:space="0"/>
              <w:left w:val="nil"/>
              <w:bottom w:val="single" w:color="000000" w:sz="12" w:space="0"/>
              <w:right w:val="nil"/>
            </w:tcBorders>
            <w:shd w:val="clear" w:color="auto" w:fill="auto"/>
            <w:vAlign w:val="center"/>
          </w:tcPr>
          <w:p w14:paraId="09B7644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选项</w:t>
            </w:r>
          </w:p>
        </w:tc>
        <w:tc>
          <w:tcPr>
            <w:tcW w:w="1318" w:type="dxa"/>
            <w:tcBorders>
              <w:top w:val="single" w:color="000000" w:sz="12" w:space="0"/>
              <w:left w:val="nil"/>
              <w:bottom w:val="single" w:color="000000" w:sz="12" w:space="0"/>
              <w:right w:val="nil"/>
            </w:tcBorders>
            <w:shd w:val="clear" w:color="auto" w:fill="auto"/>
            <w:vAlign w:val="center"/>
          </w:tcPr>
          <w:p w14:paraId="4E82FE23">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频数</w:t>
            </w:r>
          </w:p>
        </w:tc>
        <w:tc>
          <w:tcPr>
            <w:tcW w:w="1318" w:type="dxa"/>
            <w:tcBorders>
              <w:top w:val="single" w:color="000000" w:sz="12" w:space="0"/>
              <w:left w:val="nil"/>
              <w:bottom w:val="single" w:color="000000" w:sz="12" w:space="0"/>
              <w:right w:val="nil"/>
            </w:tcBorders>
            <w:shd w:val="clear" w:color="auto" w:fill="auto"/>
            <w:vAlign w:val="center"/>
          </w:tcPr>
          <w:p w14:paraId="12CFBB5B">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百分比</w:t>
            </w:r>
          </w:p>
        </w:tc>
      </w:tr>
      <w:tr w14:paraId="3C1C8944">
        <w:tblPrEx>
          <w:tblCellMar>
            <w:top w:w="0" w:type="dxa"/>
            <w:left w:w="108" w:type="dxa"/>
            <w:bottom w:w="0" w:type="dxa"/>
            <w:right w:w="108" w:type="dxa"/>
          </w:tblCellMar>
        </w:tblPrEx>
        <w:trPr>
          <w:trHeight w:val="477" w:hRule="atLeast"/>
          <w:jc w:val="center"/>
        </w:trPr>
        <w:tc>
          <w:tcPr>
            <w:tcW w:w="1318" w:type="dxa"/>
            <w:vMerge w:val="restart"/>
            <w:tcBorders>
              <w:top w:val="nil"/>
              <w:left w:val="nil"/>
              <w:bottom w:val="single" w:color="000000" w:sz="8" w:space="0"/>
              <w:right w:val="nil"/>
            </w:tcBorders>
            <w:shd w:val="clear" w:color="auto" w:fill="auto"/>
          </w:tcPr>
          <w:p w14:paraId="17012F49">
            <w:pPr>
              <w:pageBreakBefore w:val="0"/>
              <w:widowControl/>
              <w:kinsoku/>
              <w:wordWrap/>
              <w:overflowPunct/>
              <w:topLinePunct w:val="0"/>
              <w:autoSpaceDE/>
              <w:autoSpaceDN/>
              <w:bidi w:val="0"/>
              <w:adjustRightInd/>
              <w:snapToGrid/>
              <w:spacing w:line="400" w:lineRule="exact"/>
              <w:ind w:left="0" w:leftChars="0" w:firstLine="0" w:firstLineChars="0"/>
              <w:jc w:val="both"/>
              <w:textAlignment w:val="top"/>
              <w:rPr>
                <w:rFonts w:ascii="宋体" w:hAnsi="宋体" w:eastAsia="宋体" w:cs="宋体"/>
                <w:color w:val="000000"/>
                <w:sz w:val="21"/>
                <w:szCs w:val="21"/>
              </w:rPr>
            </w:pPr>
            <w:r>
              <w:rPr>
                <w:rFonts w:hint="eastAsia" w:ascii="宋体" w:hAnsi="宋体" w:eastAsia="宋体" w:cs="宋体"/>
                <w:color w:val="000000"/>
                <w:kern w:val="0"/>
                <w:sz w:val="21"/>
                <w:szCs w:val="21"/>
                <w:lang w:bidi="ar"/>
              </w:rPr>
              <w:t>柔活资源，行走课堂在幼儿美育培养中的重要性</w:t>
            </w:r>
          </w:p>
        </w:tc>
        <w:tc>
          <w:tcPr>
            <w:tcW w:w="4084" w:type="dxa"/>
            <w:tcBorders>
              <w:top w:val="nil"/>
              <w:left w:val="nil"/>
              <w:bottom w:val="nil"/>
              <w:right w:val="nil"/>
            </w:tcBorders>
            <w:shd w:val="clear" w:color="auto" w:fill="auto"/>
            <w:vAlign w:val="center"/>
          </w:tcPr>
          <w:p w14:paraId="036B9E38">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非常重要</w:t>
            </w:r>
          </w:p>
        </w:tc>
        <w:tc>
          <w:tcPr>
            <w:tcW w:w="1318" w:type="dxa"/>
            <w:tcBorders>
              <w:top w:val="nil"/>
              <w:left w:val="nil"/>
              <w:bottom w:val="nil"/>
              <w:right w:val="nil"/>
            </w:tcBorders>
            <w:shd w:val="clear" w:color="auto" w:fill="auto"/>
          </w:tcPr>
          <w:p w14:paraId="60F59563">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14</w:t>
            </w:r>
          </w:p>
        </w:tc>
        <w:tc>
          <w:tcPr>
            <w:tcW w:w="1318" w:type="dxa"/>
            <w:tcBorders>
              <w:top w:val="nil"/>
              <w:left w:val="nil"/>
              <w:bottom w:val="nil"/>
              <w:right w:val="nil"/>
            </w:tcBorders>
            <w:shd w:val="clear" w:color="auto" w:fill="auto"/>
            <w:vAlign w:val="center"/>
          </w:tcPr>
          <w:p w14:paraId="76BEFA0C">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28.00%</w:t>
            </w:r>
          </w:p>
        </w:tc>
      </w:tr>
      <w:tr w14:paraId="26413A3A">
        <w:tblPrEx>
          <w:tblCellMar>
            <w:top w:w="0" w:type="dxa"/>
            <w:left w:w="108" w:type="dxa"/>
            <w:bottom w:w="0" w:type="dxa"/>
            <w:right w:w="108" w:type="dxa"/>
          </w:tblCellMar>
        </w:tblPrEx>
        <w:trPr>
          <w:trHeight w:val="467" w:hRule="atLeast"/>
          <w:jc w:val="center"/>
        </w:trPr>
        <w:tc>
          <w:tcPr>
            <w:tcW w:w="1318" w:type="dxa"/>
            <w:vMerge w:val="continue"/>
            <w:tcBorders>
              <w:top w:val="nil"/>
              <w:left w:val="nil"/>
              <w:bottom w:val="single" w:color="000000" w:sz="8" w:space="0"/>
              <w:right w:val="nil"/>
            </w:tcBorders>
            <w:shd w:val="clear" w:color="auto" w:fill="auto"/>
          </w:tcPr>
          <w:p w14:paraId="077621DD">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4084" w:type="dxa"/>
            <w:tcBorders>
              <w:top w:val="nil"/>
              <w:left w:val="nil"/>
              <w:bottom w:val="nil"/>
              <w:right w:val="nil"/>
            </w:tcBorders>
            <w:shd w:val="clear" w:color="auto" w:fill="auto"/>
            <w:vAlign w:val="center"/>
          </w:tcPr>
          <w:p w14:paraId="5A1BD237">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比较重要</w:t>
            </w:r>
          </w:p>
        </w:tc>
        <w:tc>
          <w:tcPr>
            <w:tcW w:w="1318" w:type="dxa"/>
            <w:tcBorders>
              <w:top w:val="nil"/>
              <w:left w:val="nil"/>
              <w:bottom w:val="nil"/>
              <w:right w:val="nil"/>
            </w:tcBorders>
            <w:shd w:val="clear" w:color="auto" w:fill="auto"/>
          </w:tcPr>
          <w:p w14:paraId="5D68D964">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9</w:t>
            </w:r>
          </w:p>
        </w:tc>
        <w:tc>
          <w:tcPr>
            <w:tcW w:w="1318" w:type="dxa"/>
            <w:tcBorders>
              <w:top w:val="nil"/>
              <w:left w:val="nil"/>
              <w:bottom w:val="nil"/>
              <w:right w:val="nil"/>
            </w:tcBorders>
            <w:shd w:val="clear" w:color="auto" w:fill="auto"/>
            <w:vAlign w:val="center"/>
          </w:tcPr>
          <w:p w14:paraId="6CCCAFEA">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18.00%</w:t>
            </w:r>
          </w:p>
        </w:tc>
      </w:tr>
      <w:tr w14:paraId="0DA5EDBB">
        <w:tblPrEx>
          <w:tblCellMar>
            <w:top w:w="0" w:type="dxa"/>
            <w:left w:w="108" w:type="dxa"/>
            <w:bottom w:w="0" w:type="dxa"/>
            <w:right w:w="108" w:type="dxa"/>
          </w:tblCellMar>
        </w:tblPrEx>
        <w:trPr>
          <w:trHeight w:val="467" w:hRule="atLeast"/>
          <w:jc w:val="center"/>
        </w:trPr>
        <w:tc>
          <w:tcPr>
            <w:tcW w:w="1318" w:type="dxa"/>
            <w:vMerge w:val="continue"/>
            <w:tcBorders>
              <w:top w:val="nil"/>
              <w:left w:val="nil"/>
              <w:bottom w:val="single" w:color="000000" w:sz="8" w:space="0"/>
              <w:right w:val="nil"/>
            </w:tcBorders>
            <w:shd w:val="clear" w:color="auto" w:fill="auto"/>
          </w:tcPr>
          <w:p w14:paraId="45A8D6DA">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4084" w:type="dxa"/>
            <w:tcBorders>
              <w:top w:val="nil"/>
              <w:left w:val="nil"/>
              <w:bottom w:val="nil"/>
              <w:right w:val="nil"/>
            </w:tcBorders>
            <w:shd w:val="clear" w:color="auto" w:fill="auto"/>
            <w:vAlign w:val="center"/>
          </w:tcPr>
          <w:p w14:paraId="5D8337F0">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一般重要</w:t>
            </w:r>
          </w:p>
        </w:tc>
        <w:tc>
          <w:tcPr>
            <w:tcW w:w="1318" w:type="dxa"/>
            <w:tcBorders>
              <w:top w:val="nil"/>
              <w:left w:val="nil"/>
              <w:bottom w:val="nil"/>
              <w:right w:val="nil"/>
            </w:tcBorders>
            <w:shd w:val="clear" w:color="auto" w:fill="auto"/>
          </w:tcPr>
          <w:p w14:paraId="1C086360">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19</w:t>
            </w:r>
          </w:p>
        </w:tc>
        <w:tc>
          <w:tcPr>
            <w:tcW w:w="1318" w:type="dxa"/>
            <w:tcBorders>
              <w:top w:val="nil"/>
              <w:left w:val="nil"/>
              <w:bottom w:val="nil"/>
              <w:right w:val="nil"/>
            </w:tcBorders>
            <w:shd w:val="clear" w:color="auto" w:fill="auto"/>
            <w:vAlign w:val="center"/>
          </w:tcPr>
          <w:p w14:paraId="28470173">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38.00%</w:t>
            </w:r>
          </w:p>
        </w:tc>
      </w:tr>
      <w:tr w14:paraId="1150265D">
        <w:tblPrEx>
          <w:tblCellMar>
            <w:top w:w="0" w:type="dxa"/>
            <w:left w:w="108" w:type="dxa"/>
            <w:bottom w:w="0" w:type="dxa"/>
            <w:right w:w="108" w:type="dxa"/>
          </w:tblCellMar>
        </w:tblPrEx>
        <w:trPr>
          <w:trHeight w:val="316" w:hRule="atLeast"/>
          <w:jc w:val="center"/>
        </w:trPr>
        <w:tc>
          <w:tcPr>
            <w:tcW w:w="1318" w:type="dxa"/>
            <w:vMerge w:val="continue"/>
            <w:tcBorders>
              <w:top w:val="nil"/>
              <w:left w:val="nil"/>
              <w:bottom w:val="single" w:color="000000" w:sz="8" w:space="0"/>
              <w:right w:val="nil"/>
            </w:tcBorders>
            <w:shd w:val="clear" w:color="auto" w:fill="auto"/>
          </w:tcPr>
          <w:p w14:paraId="25FEECE3">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4084" w:type="dxa"/>
            <w:tcBorders>
              <w:top w:val="nil"/>
              <w:left w:val="nil"/>
              <w:bottom w:val="single" w:color="000000" w:sz="4" w:space="0"/>
              <w:right w:val="nil"/>
            </w:tcBorders>
            <w:shd w:val="clear" w:color="auto" w:fill="auto"/>
            <w:vAlign w:val="center"/>
          </w:tcPr>
          <w:p w14:paraId="1A8790C6">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不重要</w:t>
            </w:r>
          </w:p>
        </w:tc>
        <w:tc>
          <w:tcPr>
            <w:tcW w:w="1318" w:type="dxa"/>
            <w:tcBorders>
              <w:top w:val="nil"/>
              <w:left w:val="nil"/>
              <w:bottom w:val="single" w:color="000000" w:sz="4" w:space="0"/>
              <w:right w:val="nil"/>
            </w:tcBorders>
            <w:shd w:val="clear" w:color="auto" w:fill="auto"/>
          </w:tcPr>
          <w:p w14:paraId="50A05B71">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8</w:t>
            </w:r>
          </w:p>
        </w:tc>
        <w:tc>
          <w:tcPr>
            <w:tcW w:w="1318" w:type="dxa"/>
            <w:tcBorders>
              <w:top w:val="nil"/>
              <w:left w:val="nil"/>
              <w:bottom w:val="single" w:color="000000" w:sz="4" w:space="0"/>
              <w:right w:val="nil"/>
            </w:tcBorders>
            <w:shd w:val="clear" w:color="auto" w:fill="auto"/>
            <w:vAlign w:val="center"/>
          </w:tcPr>
          <w:p w14:paraId="225B14A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16.00%</w:t>
            </w:r>
          </w:p>
        </w:tc>
      </w:tr>
    </w:tbl>
    <w:p w14:paraId="68372A7D">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8</w:t>
      </w:r>
      <w:r>
        <w:rPr>
          <w:rFonts w:hint="default" w:cs="Times New Roman" w:asciiTheme="minorEastAsia" w:hAnsiTheme="minorEastAsia" w:eastAsiaTheme="minorEastAsia"/>
          <w:sz w:val="21"/>
          <w:szCs w:val="21"/>
          <w:lang w:val="en-US" w:eastAsia="zh-CN"/>
        </w:rPr>
        <w:t>6</w:t>
      </w:r>
      <w:r>
        <w:rPr>
          <w:rFonts w:hint="eastAsia" w:cs="Times New Roman" w:asciiTheme="minorEastAsia" w:hAnsiTheme="minorEastAsia" w:eastAsiaTheme="minorEastAsia"/>
          <w:sz w:val="21"/>
          <w:szCs w:val="21"/>
          <w:lang w:val="en-US" w:eastAsia="zh-CN"/>
        </w:rPr>
        <w:t>%的教师与家长认为，自然、社区与家庭资源的协同整合是提升美育质量的关键（见表</w:t>
      </w:r>
      <w:r>
        <w:rPr>
          <w:rFonts w:hint="default" w:cs="Times New Roman" w:asciiTheme="minorEastAsia" w:hAnsiTheme="minorEastAsia" w:eastAsiaTheme="minorEastAsia"/>
          <w:sz w:val="21"/>
          <w:szCs w:val="21"/>
          <w:lang w:val="en-US" w:eastAsia="zh-CN"/>
        </w:rPr>
        <w:t>4-</w:t>
      </w:r>
      <w:r>
        <w:rPr>
          <w:rFonts w:hint="eastAsia" w:cs="Times New Roman" w:asciiTheme="minorEastAsia" w:hAnsiTheme="minorEastAsia" w:eastAsiaTheme="minorEastAsia"/>
          <w:sz w:val="21"/>
          <w:szCs w:val="21"/>
          <w:lang w:val="en-US" w:eastAsia="zh-CN"/>
        </w:rPr>
        <w:t>3）。访谈中，一名教师举例：“西岸美术馆的藤蔓艺术展启发幼儿用毛线模拟缠绕结构，这种真实场景的学习比课堂讲解更深刻。”家长提到：“孩子参观植物园后，主动用家庭盆栽设计‘迷你花园’，资源联动激发了创作热情。”数据表明，动态资源整合不仅能拓展美育场景，还能通过家园社协作深化教育目标。</w:t>
      </w:r>
    </w:p>
    <w:p w14:paraId="08F06278">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p>
    <w:p w14:paraId="247AA79C">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4.</w:t>
      </w:r>
      <w:r>
        <w:rPr>
          <w:rFonts w:hint="eastAsia" w:cs="Times New Roman" w:asciiTheme="minorEastAsia" w:hAnsiTheme="minorEastAsia" w:eastAsiaTheme="minorEastAsia"/>
          <w:b/>
          <w:bCs/>
          <w:sz w:val="21"/>
          <w:szCs w:val="21"/>
          <w:lang w:val="en-US" w:eastAsia="zh-CN"/>
        </w:rPr>
        <w:t>资源利用频率与满意度分析</w:t>
      </w:r>
    </w:p>
    <w:p w14:paraId="10B969E0">
      <w:pPr>
        <w:pageBreakBefore w:val="0"/>
        <w:kinsoku/>
        <w:wordWrap/>
        <w:overflowPunct/>
        <w:topLinePunct w:val="0"/>
        <w:autoSpaceDE/>
        <w:autoSpaceDN/>
        <w:bidi w:val="0"/>
        <w:adjustRightInd/>
        <w:snapToGrid/>
        <w:spacing w:line="400" w:lineRule="exact"/>
        <w:ind w:firstLine="361" w:firstLineChars="200"/>
        <w:jc w:val="center"/>
        <w:rPr>
          <w:rFonts w:hint="eastAsia"/>
          <w:b/>
          <w:bCs/>
          <w:sz w:val="18"/>
          <w:szCs w:val="18"/>
        </w:rPr>
      </w:pPr>
    </w:p>
    <w:p w14:paraId="7E7A979D">
      <w:pPr>
        <w:pageBreakBefore w:val="0"/>
        <w:kinsoku/>
        <w:wordWrap/>
        <w:overflowPunct/>
        <w:topLinePunct w:val="0"/>
        <w:autoSpaceDE/>
        <w:autoSpaceDN/>
        <w:bidi w:val="0"/>
        <w:adjustRightInd/>
        <w:snapToGrid/>
        <w:spacing w:line="400" w:lineRule="exact"/>
        <w:ind w:firstLine="361" w:firstLineChars="200"/>
        <w:jc w:val="center"/>
        <w:rPr>
          <w:rFonts w:hint="eastAsia"/>
          <w:b/>
          <w:bCs/>
          <w:sz w:val="18"/>
          <w:szCs w:val="18"/>
        </w:rPr>
      </w:pPr>
    </w:p>
    <w:p w14:paraId="0BF78ECD">
      <w:pPr>
        <w:pageBreakBefore w:val="0"/>
        <w:kinsoku/>
        <w:wordWrap/>
        <w:overflowPunct/>
        <w:topLinePunct w:val="0"/>
        <w:autoSpaceDE/>
        <w:autoSpaceDN/>
        <w:bidi w:val="0"/>
        <w:adjustRightInd/>
        <w:snapToGrid/>
        <w:spacing w:line="400" w:lineRule="exact"/>
        <w:ind w:firstLine="361" w:firstLineChars="200"/>
        <w:jc w:val="center"/>
        <w:rPr>
          <w:rFonts w:hint="eastAsia" w:eastAsia="宋体"/>
          <w:b/>
          <w:bCs/>
          <w:sz w:val="18"/>
          <w:szCs w:val="18"/>
          <w:lang w:eastAsia="zh-CN"/>
        </w:rPr>
      </w:pPr>
      <w:r>
        <w:rPr>
          <w:rFonts w:hint="eastAsia"/>
          <w:b/>
          <w:bCs/>
          <w:sz w:val="18"/>
          <w:szCs w:val="18"/>
        </w:rPr>
        <w:t>表</w:t>
      </w:r>
      <w:r>
        <w:rPr>
          <w:rFonts w:hint="eastAsia"/>
          <w:b/>
          <w:bCs/>
          <w:sz w:val="18"/>
          <w:szCs w:val="18"/>
          <w:lang w:val="en-US" w:eastAsia="zh-CN"/>
        </w:rPr>
        <w:t>3</w:t>
      </w:r>
      <w:r>
        <w:rPr>
          <w:rFonts w:hint="default"/>
          <w:b/>
          <w:bCs/>
          <w:sz w:val="18"/>
          <w:szCs w:val="18"/>
          <w:lang w:val="en-US"/>
        </w:rPr>
        <w:t>-</w:t>
      </w:r>
      <w:r>
        <w:rPr>
          <w:rFonts w:hint="eastAsia"/>
          <w:b/>
          <w:bCs/>
          <w:sz w:val="18"/>
          <w:szCs w:val="18"/>
        </w:rPr>
        <w:t>4 对我园资源</w:t>
      </w:r>
      <w:r>
        <w:rPr>
          <w:rFonts w:hint="eastAsia"/>
          <w:b/>
          <w:bCs/>
          <w:sz w:val="18"/>
          <w:szCs w:val="18"/>
          <w:lang w:eastAsia="zh-CN"/>
        </w:rPr>
        <w:t>利用</w:t>
      </w:r>
      <w:r>
        <w:rPr>
          <w:rFonts w:hint="eastAsia"/>
          <w:b/>
          <w:bCs/>
          <w:sz w:val="18"/>
          <w:szCs w:val="18"/>
        </w:rPr>
        <w:t>频率</w:t>
      </w:r>
      <w:r>
        <w:rPr>
          <w:rFonts w:hint="eastAsia"/>
          <w:b/>
          <w:bCs/>
          <w:sz w:val="18"/>
          <w:szCs w:val="18"/>
          <w:lang w:eastAsia="zh-CN"/>
        </w:rPr>
        <w:t>与</w:t>
      </w:r>
      <w:r>
        <w:rPr>
          <w:rFonts w:hint="eastAsia"/>
          <w:b/>
          <w:bCs/>
          <w:sz w:val="18"/>
          <w:szCs w:val="18"/>
        </w:rPr>
        <w:t>满意度</w:t>
      </w:r>
      <w:r>
        <w:rPr>
          <w:rFonts w:hint="eastAsia"/>
          <w:b/>
          <w:bCs/>
          <w:sz w:val="18"/>
          <w:szCs w:val="18"/>
          <w:lang w:eastAsia="zh-CN"/>
        </w:rPr>
        <w:t>调查</w:t>
      </w:r>
    </w:p>
    <w:tbl>
      <w:tblPr>
        <w:tblStyle w:val="9"/>
        <w:tblW w:w="6958" w:type="dxa"/>
        <w:jc w:val="center"/>
        <w:tblLayout w:type="autofit"/>
        <w:tblCellMar>
          <w:top w:w="0" w:type="dxa"/>
          <w:left w:w="108" w:type="dxa"/>
          <w:bottom w:w="0" w:type="dxa"/>
          <w:right w:w="108" w:type="dxa"/>
        </w:tblCellMar>
      </w:tblPr>
      <w:tblGrid>
        <w:gridCol w:w="1125"/>
        <w:gridCol w:w="3363"/>
        <w:gridCol w:w="1126"/>
        <w:gridCol w:w="1344"/>
      </w:tblGrid>
      <w:tr w14:paraId="0B79424D">
        <w:tblPrEx>
          <w:tblCellMar>
            <w:top w:w="0" w:type="dxa"/>
            <w:left w:w="108" w:type="dxa"/>
            <w:bottom w:w="0" w:type="dxa"/>
            <w:right w:w="108" w:type="dxa"/>
          </w:tblCellMar>
        </w:tblPrEx>
        <w:trPr>
          <w:trHeight w:val="495" w:hRule="atLeast"/>
          <w:jc w:val="center"/>
        </w:trPr>
        <w:tc>
          <w:tcPr>
            <w:tcW w:w="1141" w:type="dxa"/>
            <w:tcBorders>
              <w:top w:val="single" w:color="000000" w:sz="12" w:space="0"/>
              <w:left w:val="nil"/>
              <w:bottom w:val="single" w:color="000000" w:sz="12" w:space="0"/>
              <w:right w:val="nil"/>
            </w:tcBorders>
            <w:shd w:val="clear" w:color="auto" w:fill="auto"/>
            <w:vAlign w:val="center"/>
          </w:tcPr>
          <w:p w14:paraId="400EFBC9">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项数</w:t>
            </w:r>
          </w:p>
        </w:tc>
        <w:tc>
          <w:tcPr>
            <w:tcW w:w="3535" w:type="dxa"/>
            <w:tcBorders>
              <w:top w:val="single" w:color="000000" w:sz="12" w:space="0"/>
              <w:left w:val="nil"/>
              <w:bottom w:val="single" w:color="000000" w:sz="12" w:space="0"/>
              <w:right w:val="nil"/>
            </w:tcBorders>
            <w:shd w:val="clear" w:color="auto" w:fill="auto"/>
            <w:vAlign w:val="center"/>
          </w:tcPr>
          <w:p w14:paraId="688EFF35">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选项</w:t>
            </w:r>
          </w:p>
        </w:tc>
        <w:tc>
          <w:tcPr>
            <w:tcW w:w="1141" w:type="dxa"/>
            <w:tcBorders>
              <w:top w:val="single" w:color="000000" w:sz="12" w:space="0"/>
              <w:left w:val="nil"/>
              <w:bottom w:val="single" w:color="000000" w:sz="12" w:space="0"/>
              <w:right w:val="nil"/>
            </w:tcBorders>
            <w:shd w:val="clear" w:color="auto" w:fill="auto"/>
            <w:vAlign w:val="center"/>
          </w:tcPr>
          <w:p w14:paraId="7F3BA94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频数</w:t>
            </w:r>
          </w:p>
        </w:tc>
        <w:tc>
          <w:tcPr>
            <w:tcW w:w="1141" w:type="dxa"/>
            <w:tcBorders>
              <w:top w:val="single" w:color="000000" w:sz="12" w:space="0"/>
              <w:left w:val="nil"/>
              <w:bottom w:val="single" w:color="000000" w:sz="12" w:space="0"/>
              <w:right w:val="nil"/>
            </w:tcBorders>
            <w:shd w:val="clear" w:color="auto" w:fill="auto"/>
            <w:vAlign w:val="center"/>
          </w:tcPr>
          <w:p w14:paraId="3695459B">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百分比</w:t>
            </w:r>
          </w:p>
        </w:tc>
      </w:tr>
      <w:tr w14:paraId="5CCCAE04">
        <w:tblPrEx>
          <w:tblCellMar>
            <w:top w:w="0" w:type="dxa"/>
            <w:left w:w="108" w:type="dxa"/>
            <w:bottom w:w="0" w:type="dxa"/>
            <w:right w:w="108" w:type="dxa"/>
          </w:tblCellMar>
        </w:tblPrEx>
        <w:trPr>
          <w:trHeight w:val="495" w:hRule="atLeast"/>
          <w:jc w:val="center"/>
        </w:trPr>
        <w:tc>
          <w:tcPr>
            <w:tcW w:w="1141" w:type="dxa"/>
            <w:vMerge w:val="restart"/>
            <w:tcBorders>
              <w:top w:val="nil"/>
              <w:left w:val="nil"/>
              <w:bottom w:val="single" w:color="000000" w:sz="8" w:space="0"/>
              <w:right w:val="nil"/>
            </w:tcBorders>
            <w:shd w:val="clear" w:color="auto" w:fill="auto"/>
          </w:tcPr>
          <w:p w14:paraId="5A184889">
            <w:pPr>
              <w:pageBreakBefore w:val="0"/>
              <w:widowControl/>
              <w:kinsoku/>
              <w:wordWrap/>
              <w:overflowPunct/>
              <w:topLinePunct w:val="0"/>
              <w:autoSpaceDE/>
              <w:autoSpaceDN/>
              <w:bidi w:val="0"/>
              <w:adjustRightInd/>
              <w:snapToGrid/>
              <w:spacing w:line="400" w:lineRule="exact"/>
              <w:ind w:left="0" w:leftChars="0" w:firstLine="0" w:firstLineChars="0"/>
              <w:jc w:val="both"/>
              <w:textAlignment w:val="top"/>
              <w:rPr>
                <w:rFonts w:ascii="宋体" w:hAnsi="宋体" w:eastAsia="宋体" w:cs="宋体"/>
                <w:color w:val="000000"/>
                <w:sz w:val="21"/>
                <w:szCs w:val="21"/>
              </w:rPr>
            </w:pPr>
            <w:r>
              <w:rPr>
                <w:rFonts w:hint="eastAsia" w:ascii="宋体" w:hAnsi="宋体" w:eastAsia="宋体" w:cs="宋体"/>
                <w:color w:val="000000"/>
                <w:kern w:val="0"/>
                <w:sz w:val="21"/>
                <w:szCs w:val="21"/>
                <w:lang w:bidi="ar"/>
              </w:rPr>
              <w:t>对我园可柔活资源和频率满意度</w:t>
            </w:r>
          </w:p>
        </w:tc>
        <w:tc>
          <w:tcPr>
            <w:tcW w:w="3535" w:type="dxa"/>
            <w:tcBorders>
              <w:top w:val="nil"/>
              <w:left w:val="nil"/>
              <w:bottom w:val="nil"/>
              <w:right w:val="nil"/>
            </w:tcBorders>
            <w:shd w:val="clear" w:color="auto" w:fill="auto"/>
            <w:vAlign w:val="center"/>
          </w:tcPr>
          <w:p w14:paraId="78DB8656">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非常满意</w:t>
            </w:r>
          </w:p>
        </w:tc>
        <w:tc>
          <w:tcPr>
            <w:tcW w:w="1141" w:type="dxa"/>
            <w:tcBorders>
              <w:top w:val="nil"/>
              <w:left w:val="nil"/>
              <w:bottom w:val="nil"/>
              <w:right w:val="nil"/>
            </w:tcBorders>
            <w:shd w:val="clear" w:color="auto" w:fill="auto"/>
          </w:tcPr>
          <w:p w14:paraId="0AA57B5E">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26</w:t>
            </w:r>
          </w:p>
        </w:tc>
        <w:tc>
          <w:tcPr>
            <w:tcW w:w="1141" w:type="dxa"/>
            <w:tcBorders>
              <w:top w:val="nil"/>
              <w:left w:val="nil"/>
              <w:bottom w:val="nil"/>
              <w:right w:val="nil"/>
            </w:tcBorders>
            <w:shd w:val="clear" w:color="auto" w:fill="auto"/>
            <w:vAlign w:val="center"/>
          </w:tcPr>
          <w:p w14:paraId="6303336D">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52.00%</w:t>
            </w:r>
          </w:p>
        </w:tc>
      </w:tr>
      <w:tr w14:paraId="43FB7E54">
        <w:tblPrEx>
          <w:tblCellMar>
            <w:top w:w="0" w:type="dxa"/>
            <w:left w:w="108" w:type="dxa"/>
            <w:bottom w:w="0" w:type="dxa"/>
            <w:right w:w="108" w:type="dxa"/>
          </w:tblCellMar>
        </w:tblPrEx>
        <w:trPr>
          <w:trHeight w:val="485" w:hRule="atLeast"/>
          <w:jc w:val="center"/>
        </w:trPr>
        <w:tc>
          <w:tcPr>
            <w:tcW w:w="1141" w:type="dxa"/>
            <w:vMerge w:val="continue"/>
            <w:tcBorders>
              <w:top w:val="nil"/>
              <w:left w:val="nil"/>
              <w:bottom w:val="single" w:color="000000" w:sz="8" w:space="0"/>
              <w:right w:val="nil"/>
            </w:tcBorders>
            <w:shd w:val="clear" w:color="auto" w:fill="auto"/>
          </w:tcPr>
          <w:p w14:paraId="73C3FD6B">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535" w:type="dxa"/>
            <w:tcBorders>
              <w:top w:val="nil"/>
              <w:left w:val="nil"/>
              <w:bottom w:val="nil"/>
              <w:right w:val="nil"/>
            </w:tcBorders>
            <w:shd w:val="clear" w:color="auto" w:fill="auto"/>
            <w:vAlign w:val="center"/>
          </w:tcPr>
          <w:p w14:paraId="564A1F62">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满意</w:t>
            </w:r>
          </w:p>
        </w:tc>
        <w:tc>
          <w:tcPr>
            <w:tcW w:w="1141" w:type="dxa"/>
            <w:tcBorders>
              <w:top w:val="nil"/>
              <w:left w:val="nil"/>
              <w:bottom w:val="nil"/>
              <w:right w:val="nil"/>
            </w:tcBorders>
            <w:shd w:val="clear" w:color="auto" w:fill="auto"/>
          </w:tcPr>
          <w:p w14:paraId="284EE466">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10</w:t>
            </w:r>
          </w:p>
        </w:tc>
        <w:tc>
          <w:tcPr>
            <w:tcW w:w="1141" w:type="dxa"/>
            <w:tcBorders>
              <w:top w:val="nil"/>
              <w:left w:val="nil"/>
              <w:bottom w:val="nil"/>
              <w:right w:val="nil"/>
            </w:tcBorders>
            <w:shd w:val="clear" w:color="auto" w:fill="auto"/>
            <w:vAlign w:val="center"/>
          </w:tcPr>
          <w:p w14:paraId="0835745D">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20.00%</w:t>
            </w:r>
          </w:p>
        </w:tc>
      </w:tr>
      <w:tr w14:paraId="1040808D">
        <w:tblPrEx>
          <w:tblCellMar>
            <w:top w:w="0" w:type="dxa"/>
            <w:left w:w="108" w:type="dxa"/>
            <w:bottom w:w="0" w:type="dxa"/>
            <w:right w:w="108" w:type="dxa"/>
          </w:tblCellMar>
        </w:tblPrEx>
        <w:trPr>
          <w:trHeight w:val="485" w:hRule="atLeast"/>
          <w:jc w:val="center"/>
        </w:trPr>
        <w:tc>
          <w:tcPr>
            <w:tcW w:w="1141" w:type="dxa"/>
            <w:vMerge w:val="continue"/>
            <w:tcBorders>
              <w:top w:val="nil"/>
              <w:left w:val="nil"/>
              <w:bottom w:val="single" w:color="000000" w:sz="8" w:space="0"/>
              <w:right w:val="nil"/>
            </w:tcBorders>
            <w:shd w:val="clear" w:color="auto" w:fill="auto"/>
          </w:tcPr>
          <w:p w14:paraId="0324753C">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535" w:type="dxa"/>
            <w:tcBorders>
              <w:top w:val="nil"/>
              <w:left w:val="nil"/>
              <w:bottom w:val="nil"/>
              <w:right w:val="nil"/>
            </w:tcBorders>
            <w:shd w:val="clear" w:color="auto" w:fill="auto"/>
            <w:vAlign w:val="center"/>
          </w:tcPr>
          <w:p w14:paraId="60423C6D">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一般</w:t>
            </w:r>
          </w:p>
        </w:tc>
        <w:tc>
          <w:tcPr>
            <w:tcW w:w="1141" w:type="dxa"/>
            <w:tcBorders>
              <w:top w:val="nil"/>
              <w:left w:val="nil"/>
              <w:bottom w:val="nil"/>
              <w:right w:val="nil"/>
            </w:tcBorders>
            <w:shd w:val="clear" w:color="auto" w:fill="auto"/>
          </w:tcPr>
          <w:p w14:paraId="18B91CFA">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12</w:t>
            </w:r>
          </w:p>
        </w:tc>
        <w:tc>
          <w:tcPr>
            <w:tcW w:w="1141" w:type="dxa"/>
            <w:tcBorders>
              <w:top w:val="nil"/>
              <w:left w:val="nil"/>
              <w:bottom w:val="nil"/>
              <w:right w:val="nil"/>
            </w:tcBorders>
            <w:shd w:val="clear" w:color="auto" w:fill="auto"/>
            <w:vAlign w:val="center"/>
          </w:tcPr>
          <w:p w14:paraId="15C48CD7">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24.00%</w:t>
            </w:r>
          </w:p>
        </w:tc>
      </w:tr>
      <w:tr w14:paraId="77128D7A">
        <w:tblPrEx>
          <w:tblCellMar>
            <w:top w:w="0" w:type="dxa"/>
            <w:left w:w="108" w:type="dxa"/>
            <w:bottom w:w="0" w:type="dxa"/>
            <w:right w:w="108" w:type="dxa"/>
          </w:tblCellMar>
        </w:tblPrEx>
        <w:trPr>
          <w:trHeight w:val="253" w:hRule="atLeast"/>
          <w:jc w:val="center"/>
        </w:trPr>
        <w:tc>
          <w:tcPr>
            <w:tcW w:w="1141" w:type="dxa"/>
            <w:vMerge w:val="continue"/>
            <w:tcBorders>
              <w:top w:val="nil"/>
              <w:left w:val="nil"/>
              <w:bottom w:val="single" w:color="000000" w:sz="8" w:space="0"/>
              <w:right w:val="nil"/>
            </w:tcBorders>
            <w:shd w:val="clear" w:color="auto" w:fill="auto"/>
          </w:tcPr>
          <w:p w14:paraId="7425CB32">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535" w:type="dxa"/>
            <w:tcBorders>
              <w:top w:val="nil"/>
              <w:left w:val="nil"/>
              <w:bottom w:val="single" w:color="000000" w:sz="4" w:space="0"/>
              <w:right w:val="nil"/>
            </w:tcBorders>
            <w:shd w:val="clear" w:color="auto" w:fill="auto"/>
            <w:vAlign w:val="center"/>
          </w:tcPr>
          <w:p w14:paraId="3275D8D5">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不满意</w:t>
            </w:r>
          </w:p>
        </w:tc>
        <w:tc>
          <w:tcPr>
            <w:tcW w:w="1141" w:type="dxa"/>
            <w:tcBorders>
              <w:top w:val="nil"/>
              <w:left w:val="nil"/>
              <w:bottom w:val="single" w:color="000000" w:sz="4" w:space="0"/>
              <w:right w:val="nil"/>
            </w:tcBorders>
            <w:shd w:val="clear" w:color="auto" w:fill="auto"/>
          </w:tcPr>
          <w:p w14:paraId="350964E2">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w:t>
            </w:r>
          </w:p>
        </w:tc>
        <w:tc>
          <w:tcPr>
            <w:tcW w:w="1141" w:type="dxa"/>
            <w:tcBorders>
              <w:top w:val="nil"/>
              <w:left w:val="nil"/>
              <w:bottom w:val="single" w:color="000000" w:sz="4" w:space="0"/>
              <w:right w:val="nil"/>
            </w:tcBorders>
            <w:shd w:val="clear" w:color="auto" w:fill="auto"/>
            <w:vAlign w:val="center"/>
          </w:tcPr>
          <w:p w14:paraId="4D3E6CCB">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4.00%</w:t>
            </w:r>
          </w:p>
        </w:tc>
      </w:tr>
    </w:tbl>
    <w:p w14:paraId="6332EA76">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尽管52%的教师对现有资源利用率表示满意，但仍有24%认为调用频率不足（见表</w:t>
      </w:r>
      <w:r>
        <w:rPr>
          <w:rFonts w:hint="default" w:cs="Times New Roman" w:asciiTheme="minorEastAsia" w:hAnsiTheme="minorEastAsia" w:eastAsiaTheme="minorEastAsia"/>
          <w:sz w:val="21"/>
          <w:szCs w:val="21"/>
          <w:lang w:val="en-US" w:eastAsia="zh-CN"/>
        </w:rPr>
        <w:t>4-</w:t>
      </w:r>
      <w:r>
        <w:rPr>
          <w:rFonts w:hint="eastAsia" w:cs="Times New Roman" w:asciiTheme="minorEastAsia" w:hAnsiTheme="minorEastAsia" w:eastAsiaTheme="minorEastAsia"/>
          <w:sz w:val="21"/>
          <w:szCs w:val="21"/>
          <w:lang w:val="en-US" w:eastAsia="zh-CN"/>
        </w:rPr>
        <w:t>4）。访谈揭示矛盾根源：一是资源管理粗放，“部分园区闭园后，替代方案缺失导致课程中断”；二是活动形式单一，“美术馆参观仅限讲解，缺乏互动任务设计”。一名家长反馈：“海洋馆每月仅组织1次活动，孩子常问‘为什么不能常去’。”社区管理者坦言：“幼儿园需求模糊，例如提出‘需要艺术支持’但未明确具体形式，导致资源闲置。”</w:t>
      </w:r>
    </w:p>
    <w:p w14:paraId="77D88A4F">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5.</w:t>
      </w:r>
      <w:r>
        <w:rPr>
          <w:rFonts w:hint="eastAsia" w:cs="Times New Roman" w:asciiTheme="minorEastAsia" w:hAnsiTheme="minorEastAsia" w:eastAsiaTheme="minorEastAsia"/>
          <w:b/>
          <w:bCs/>
          <w:sz w:val="21"/>
          <w:szCs w:val="21"/>
          <w:lang w:val="en-US" w:eastAsia="zh-CN"/>
        </w:rPr>
        <w:t>期望资源类型分析</w:t>
      </w:r>
    </w:p>
    <w:p w14:paraId="3C90274C">
      <w:pPr>
        <w:pageBreakBefore w:val="0"/>
        <w:kinsoku/>
        <w:wordWrap/>
        <w:overflowPunct/>
        <w:topLinePunct w:val="0"/>
        <w:autoSpaceDE/>
        <w:autoSpaceDN/>
        <w:bidi w:val="0"/>
        <w:adjustRightInd/>
        <w:snapToGrid/>
        <w:spacing w:line="400" w:lineRule="exact"/>
        <w:ind w:firstLine="361" w:firstLineChars="200"/>
        <w:jc w:val="center"/>
        <w:rPr>
          <w:rFonts w:hint="eastAsia" w:eastAsia="宋体"/>
          <w:b/>
          <w:bCs/>
          <w:sz w:val="18"/>
          <w:szCs w:val="18"/>
          <w:lang w:eastAsia="zh-CN"/>
        </w:rPr>
      </w:pPr>
      <w:r>
        <w:rPr>
          <w:rFonts w:hint="eastAsia"/>
          <w:b/>
          <w:bCs/>
          <w:sz w:val="18"/>
          <w:szCs w:val="18"/>
        </w:rPr>
        <w:t>表</w:t>
      </w:r>
      <w:r>
        <w:rPr>
          <w:rFonts w:hint="default"/>
          <w:b/>
          <w:bCs/>
          <w:sz w:val="18"/>
          <w:szCs w:val="18"/>
          <w:lang w:val="en-US"/>
        </w:rPr>
        <w:t xml:space="preserve"> </w:t>
      </w:r>
      <w:r>
        <w:rPr>
          <w:rFonts w:hint="eastAsia"/>
          <w:b/>
          <w:bCs/>
          <w:sz w:val="18"/>
          <w:szCs w:val="18"/>
          <w:lang w:val="en-US" w:eastAsia="zh-CN"/>
        </w:rPr>
        <w:t>3</w:t>
      </w:r>
      <w:r>
        <w:rPr>
          <w:rFonts w:hint="default"/>
          <w:b/>
          <w:bCs/>
          <w:sz w:val="18"/>
          <w:szCs w:val="18"/>
          <w:lang w:val="en-US"/>
        </w:rPr>
        <w:t>-</w:t>
      </w:r>
      <w:r>
        <w:rPr>
          <w:rFonts w:hint="eastAsia"/>
          <w:b/>
          <w:bCs/>
          <w:sz w:val="18"/>
          <w:szCs w:val="18"/>
        </w:rPr>
        <w:t>5 对我园期望资源类型</w:t>
      </w:r>
      <w:r>
        <w:rPr>
          <w:rFonts w:hint="eastAsia"/>
          <w:b/>
          <w:bCs/>
          <w:sz w:val="18"/>
          <w:szCs w:val="18"/>
          <w:lang w:eastAsia="zh-CN"/>
        </w:rPr>
        <w:t>调查</w:t>
      </w:r>
    </w:p>
    <w:tbl>
      <w:tblPr>
        <w:tblStyle w:val="9"/>
        <w:tblW w:w="7378" w:type="dxa"/>
        <w:jc w:val="center"/>
        <w:tblLayout w:type="autofit"/>
        <w:tblCellMar>
          <w:top w:w="0" w:type="dxa"/>
          <w:left w:w="108" w:type="dxa"/>
          <w:bottom w:w="0" w:type="dxa"/>
          <w:right w:w="108" w:type="dxa"/>
        </w:tblCellMar>
      </w:tblPr>
      <w:tblGrid>
        <w:gridCol w:w="1190"/>
        <w:gridCol w:w="3645"/>
        <w:gridCol w:w="1199"/>
        <w:gridCol w:w="1344"/>
      </w:tblGrid>
      <w:tr w14:paraId="459D0D38">
        <w:tblPrEx>
          <w:tblCellMar>
            <w:top w:w="0" w:type="dxa"/>
            <w:left w:w="108" w:type="dxa"/>
            <w:bottom w:w="0" w:type="dxa"/>
            <w:right w:w="108" w:type="dxa"/>
          </w:tblCellMar>
        </w:tblPrEx>
        <w:trPr>
          <w:trHeight w:val="471" w:hRule="atLeast"/>
          <w:jc w:val="center"/>
        </w:trPr>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9837">
            <w:pPr>
              <w:pageBreakBefore w:val="0"/>
              <w:widowControl/>
              <w:kinsoku/>
              <w:wordWrap/>
              <w:overflowPunct/>
              <w:topLinePunct w:val="0"/>
              <w:autoSpaceDE/>
              <w:autoSpaceDN/>
              <w:bidi w:val="0"/>
              <w:adjustRightInd/>
              <w:snapToGrid/>
              <w:spacing w:line="400" w:lineRule="exact"/>
              <w:ind w:left="0" w:leftChars="0" w:firstLine="210" w:firstLineChars="1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项数</w:t>
            </w:r>
          </w:p>
        </w:tc>
        <w:tc>
          <w:tcPr>
            <w:tcW w:w="3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8DA4">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选项</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0A3C">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频数</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674F">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百分比</w:t>
            </w:r>
          </w:p>
        </w:tc>
      </w:tr>
      <w:tr w14:paraId="4E15B8CA">
        <w:tblPrEx>
          <w:tblCellMar>
            <w:top w:w="0" w:type="dxa"/>
            <w:left w:w="108" w:type="dxa"/>
            <w:bottom w:w="0" w:type="dxa"/>
            <w:right w:w="108" w:type="dxa"/>
          </w:tblCellMar>
        </w:tblPrEx>
        <w:trPr>
          <w:trHeight w:val="471" w:hRule="atLeast"/>
          <w:jc w:val="center"/>
        </w:trPr>
        <w:tc>
          <w:tcPr>
            <w:tcW w:w="1210" w:type="dxa"/>
            <w:vMerge w:val="restart"/>
            <w:tcBorders>
              <w:top w:val="single" w:color="000000" w:sz="4" w:space="0"/>
              <w:left w:val="single" w:color="000000" w:sz="4" w:space="0"/>
              <w:right w:val="single" w:color="000000" w:sz="4" w:space="0"/>
            </w:tcBorders>
            <w:shd w:val="clear" w:color="auto" w:fill="auto"/>
          </w:tcPr>
          <w:p w14:paraId="7248B95E">
            <w:pPr>
              <w:pageBreakBefore w:val="0"/>
              <w:widowControl/>
              <w:kinsoku/>
              <w:wordWrap/>
              <w:overflowPunct/>
              <w:topLinePunct w:val="0"/>
              <w:autoSpaceDE/>
              <w:autoSpaceDN/>
              <w:bidi w:val="0"/>
              <w:adjustRightInd/>
              <w:snapToGrid/>
              <w:spacing w:line="400" w:lineRule="exact"/>
              <w:ind w:left="0" w:leftChars="0" w:firstLine="0" w:firstLineChars="0"/>
              <w:jc w:val="both"/>
              <w:textAlignment w:val="top"/>
              <w:rPr>
                <w:rFonts w:ascii="宋体" w:hAnsi="宋体" w:eastAsia="宋体" w:cs="宋体"/>
                <w:color w:val="000000"/>
                <w:sz w:val="21"/>
                <w:szCs w:val="21"/>
              </w:rPr>
            </w:pPr>
            <w:r>
              <w:rPr>
                <w:rFonts w:hint="eastAsia" w:ascii="宋体" w:hAnsi="宋体" w:eastAsia="宋体" w:cs="宋体"/>
                <w:color w:val="000000"/>
                <w:kern w:val="0"/>
                <w:sz w:val="21"/>
                <w:szCs w:val="21"/>
                <w:lang w:bidi="ar"/>
              </w:rPr>
              <w:t>对我园可柔活资源的期望资源类型</w:t>
            </w:r>
          </w:p>
        </w:tc>
        <w:tc>
          <w:tcPr>
            <w:tcW w:w="3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E97A">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自然景观</w:t>
            </w:r>
          </w:p>
        </w:tc>
        <w:tc>
          <w:tcPr>
            <w:tcW w:w="1210" w:type="dxa"/>
            <w:tcBorders>
              <w:top w:val="single" w:color="000000" w:sz="4" w:space="0"/>
              <w:left w:val="single" w:color="000000" w:sz="4" w:space="0"/>
              <w:bottom w:val="single" w:color="000000" w:sz="4" w:space="0"/>
              <w:right w:val="single" w:color="000000" w:sz="4" w:space="0"/>
            </w:tcBorders>
            <w:shd w:val="clear" w:color="auto" w:fill="auto"/>
          </w:tcPr>
          <w:p w14:paraId="7A8018E2">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41</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96AC">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82.00%</w:t>
            </w:r>
          </w:p>
        </w:tc>
      </w:tr>
      <w:tr w14:paraId="18100128">
        <w:tblPrEx>
          <w:tblCellMar>
            <w:top w:w="0" w:type="dxa"/>
            <w:left w:w="108" w:type="dxa"/>
            <w:bottom w:w="0" w:type="dxa"/>
            <w:right w:w="108" w:type="dxa"/>
          </w:tblCellMar>
        </w:tblPrEx>
        <w:trPr>
          <w:trHeight w:val="471" w:hRule="atLeast"/>
          <w:jc w:val="center"/>
        </w:trPr>
        <w:tc>
          <w:tcPr>
            <w:tcW w:w="1210" w:type="dxa"/>
            <w:vMerge w:val="continue"/>
            <w:tcBorders>
              <w:left w:val="single" w:color="000000" w:sz="4" w:space="0"/>
              <w:right w:val="single" w:color="000000" w:sz="4" w:space="0"/>
            </w:tcBorders>
            <w:shd w:val="clear" w:color="auto" w:fill="auto"/>
          </w:tcPr>
          <w:p w14:paraId="05B13660">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8751">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社区活动</w:t>
            </w:r>
          </w:p>
        </w:tc>
        <w:tc>
          <w:tcPr>
            <w:tcW w:w="1210" w:type="dxa"/>
            <w:tcBorders>
              <w:top w:val="single" w:color="000000" w:sz="4" w:space="0"/>
              <w:left w:val="single" w:color="000000" w:sz="4" w:space="0"/>
              <w:bottom w:val="single" w:color="000000" w:sz="4" w:space="0"/>
              <w:right w:val="single" w:color="000000" w:sz="4" w:space="0"/>
            </w:tcBorders>
            <w:shd w:val="clear" w:color="auto" w:fill="auto"/>
          </w:tcPr>
          <w:p w14:paraId="64F1CFA4">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38</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5317">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76.00%</w:t>
            </w:r>
          </w:p>
        </w:tc>
      </w:tr>
      <w:tr w14:paraId="48D81187">
        <w:tblPrEx>
          <w:tblCellMar>
            <w:top w:w="0" w:type="dxa"/>
            <w:left w:w="108" w:type="dxa"/>
            <w:bottom w:w="0" w:type="dxa"/>
            <w:right w:w="108" w:type="dxa"/>
          </w:tblCellMar>
        </w:tblPrEx>
        <w:trPr>
          <w:trHeight w:val="471" w:hRule="atLeast"/>
          <w:jc w:val="center"/>
        </w:trPr>
        <w:tc>
          <w:tcPr>
            <w:tcW w:w="1210" w:type="dxa"/>
            <w:vMerge w:val="continue"/>
            <w:tcBorders>
              <w:left w:val="single" w:color="000000" w:sz="4" w:space="0"/>
              <w:right w:val="single" w:color="000000" w:sz="4" w:space="0"/>
            </w:tcBorders>
            <w:shd w:val="clear" w:color="auto" w:fill="auto"/>
          </w:tcPr>
          <w:p w14:paraId="00DBAE88">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450A">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家庭互动</w:t>
            </w:r>
          </w:p>
        </w:tc>
        <w:tc>
          <w:tcPr>
            <w:tcW w:w="1210" w:type="dxa"/>
            <w:tcBorders>
              <w:top w:val="single" w:color="000000" w:sz="4" w:space="0"/>
              <w:left w:val="single" w:color="000000" w:sz="4" w:space="0"/>
              <w:bottom w:val="single" w:color="000000" w:sz="4" w:space="0"/>
              <w:right w:val="single" w:color="000000" w:sz="4" w:space="0"/>
            </w:tcBorders>
            <w:shd w:val="clear" w:color="auto" w:fill="auto"/>
          </w:tcPr>
          <w:p w14:paraId="3C86E9CC">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36</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A2EC">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72.00%</w:t>
            </w:r>
          </w:p>
        </w:tc>
      </w:tr>
      <w:tr w14:paraId="0AF61475">
        <w:tblPrEx>
          <w:tblCellMar>
            <w:top w:w="0" w:type="dxa"/>
            <w:left w:w="108" w:type="dxa"/>
            <w:bottom w:w="0" w:type="dxa"/>
            <w:right w:w="108" w:type="dxa"/>
          </w:tblCellMar>
        </w:tblPrEx>
        <w:trPr>
          <w:trHeight w:val="471" w:hRule="atLeast"/>
          <w:jc w:val="center"/>
        </w:trPr>
        <w:tc>
          <w:tcPr>
            <w:tcW w:w="1210" w:type="dxa"/>
            <w:vMerge w:val="continue"/>
            <w:tcBorders>
              <w:left w:val="single" w:color="000000" w:sz="4" w:space="0"/>
              <w:right w:val="single" w:color="000000" w:sz="4" w:space="0"/>
            </w:tcBorders>
            <w:shd w:val="clear" w:color="auto" w:fill="auto"/>
          </w:tcPr>
          <w:p w14:paraId="37B5CCB1">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BE7C">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艺术展览</w:t>
            </w:r>
          </w:p>
        </w:tc>
        <w:tc>
          <w:tcPr>
            <w:tcW w:w="1210" w:type="dxa"/>
            <w:tcBorders>
              <w:top w:val="single" w:color="000000" w:sz="4" w:space="0"/>
              <w:left w:val="single" w:color="000000" w:sz="4" w:space="0"/>
              <w:bottom w:val="single" w:color="000000" w:sz="4" w:space="0"/>
              <w:right w:val="single" w:color="000000" w:sz="4" w:space="0"/>
            </w:tcBorders>
            <w:shd w:val="clear" w:color="auto" w:fill="auto"/>
          </w:tcPr>
          <w:p w14:paraId="4BDDDEE5">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32</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3AD8">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64.00%</w:t>
            </w:r>
          </w:p>
        </w:tc>
      </w:tr>
      <w:tr w14:paraId="63E2645E">
        <w:tblPrEx>
          <w:tblCellMar>
            <w:top w:w="0" w:type="dxa"/>
            <w:left w:w="108" w:type="dxa"/>
            <w:bottom w:w="0" w:type="dxa"/>
            <w:right w:w="108" w:type="dxa"/>
          </w:tblCellMar>
        </w:tblPrEx>
        <w:trPr>
          <w:trHeight w:val="481" w:hRule="atLeast"/>
          <w:jc w:val="center"/>
        </w:trPr>
        <w:tc>
          <w:tcPr>
            <w:tcW w:w="1210" w:type="dxa"/>
            <w:vMerge w:val="continue"/>
            <w:tcBorders>
              <w:left w:val="single" w:color="000000" w:sz="4" w:space="0"/>
              <w:bottom w:val="single" w:color="000000" w:sz="4" w:space="0"/>
              <w:right w:val="single" w:color="000000" w:sz="4" w:space="0"/>
            </w:tcBorders>
            <w:shd w:val="clear" w:color="auto" w:fill="auto"/>
            <w:noWrap/>
            <w:vAlign w:val="center"/>
          </w:tcPr>
          <w:p w14:paraId="1FB371F2">
            <w:pPr>
              <w:pageBreakBefore w:val="0"/>
              <w:kinsoku/>
              <w:wordWrap/>
              <w:overflowPunct/>
              <w:topLinePunct w:val="0"/>
              <w:autoSpaceDE/>
              <w:autoSpaceDN/>
              <w:bidi w:val="0"/>
              <w:adjustRightInd/>
              <w:snapToGrid/>
              <w:spacing w:line="400" w:lineRule="exact"/>
              <w:ind w:firstLine="420" w:firstLineChars="200"/>
              <w:jc w:val="both"/>
              <w:rPr>
                <w:rFonts w:ascii="宋体" w:hAnsi="宋体" w:eastAsia="宋体" w:cs="宋体"/>
                <w:color w:val="000000"/>
                <w:sz w:val="21"/>
                <w:szCs w:val="21"/>
              </w:rPr>
            </w:pPr>
          </w:p>
        </w:tc>
        <w:tc>
          <w:tcPr>
            <w:tcW w:w="3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C946">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其他类型</w:t>
            </w:r>
          </w:p>
        </w:tc>
        <w:tc>
          <w:tcPr>
            <w:tcW w:w="1210" w:type="dxa"/>
            <w:tcBorders>
              <w:top w:val="single" w:color="000000" w:sz="4" w:space="0"/>
              <w:left w:val="single" w:color="000000" w:sz="4" w:space="0"/>
              <w:bottom w:val="single" w:color="000000" w:sz="4" w:space="0"/>
              <w:right w:val="single" w:color="000000" w:sz="4" w:space="0"/>
            </w:tcBorders>
            <w:shd w:val="clear" w:color="auto" w:fill="auto"/>
          </w:tcPr>
          <w:p w14:paraId="1C7ED81E">
            <w:pPr>
              <w:pageBreakBefore w:val="0"/>
              <w:widowControl/>
              <w:kinsoku/>
              <w:wordWrap/>
              <w:overflowPunct/>
              <w:topLinePunct w:val="0"/>
              <w:autoSpaceDE/>
              <w:autoSpaceDN/>
              <w:bidi w:val="0"/>
              <w:adjustRightInd/>
              <w:snapToGrid/>
              <w:spacing w:line="400" w:lineRule="exact"/>
              <w:ind w:firstLine="420" w:firstLineChars="200"/>
              <w:jc w:val="both"/>
              <w:textAlignment w:val="top"/>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29</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9A46">
            <w:pPr>
              <w:pageBreakBefore w:val="0"/>
              <w:widowControl/>
              <w:kinsoku/>
              <w:wordWrap/>
              <w:overflowPunct/>
              <w:topLinePunct w:val="0"/>
              <w:autoSpaceDE/>
              <w:autoSpaceDN/>
              <w:bidi w:val="0"/>
              <w:adjustRightInd/>
              <w:snapToGrid/>
              <w:spacing w:line="400" w:lineRule="exact"/>
              <w:ind w:firstLine="420" w:firstLineChars="200"/>
              <w:jc w:val="both"/>
              <w:textAlignment w:val="center"/>
              <w:rPr>
                <w:rFonts w:ascii="Times New Roman" w:hAnsi="Times New Roman" w:eastAsia="宋体" w:cs="Times New Roman"/>
                <w:color w:val="000000"/>
                <w:sz w:val="21"/>
                <w:szCs w:val="21"/>
              </w:rPr>
            </w:pPr>
            <w:r>
              <w:rPr>
                <w:rFonts w:ascii="Times New Roman" w:hAnsi="Times New Roman" w:eastAsia="宋体" w:cs="Times New Roman"/>
                <w:color w:val="000000"/>
                <w:kern w:val="0"/>
                <w:sz w:val="21"/>
                <w:szCs w:val="21"/>
                <w:lang w:bidi="ar"/>
              </w:rPr>
              <w:t>58.00%</w:t>
            </w:r>
          </w:p>
        </w:tc>
      </w:tr>
    </w:tbl>
    <w:p w14:paraId="1E93478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调查显示，家长与教师对自然景观（82%）、社区活动（76%）及艺术展览（64%）的需求最高（见表</w:t>
      </w:r>
      <w:r>
        <w:rPr>
          <w:rFonts w:hint="default" w:cs="Times New Roman" w:asciiTheme="minorEastAsia" w:hAnsiTheme="minorEastAsia" w:eastAsiaTheme="minorEastAsia"/>
          <w:sz w:val="21"/>
          <w:szCs w:val="21"/>
          <w:lang w:val="en-US" w:eastAsia="zh-CN"/>
        </w:rPr>
        <w:t>4-</w:t>
      </w:r>
      <w:r>
        <w:rPr>
          <w:rFonts w:hint="eastAsia" w:cs="Times New Roman" w:asciiTheme="minorEastAsia" w:hAnsiTheme="minorEastAsia" w:eastAsiaTheme="minorEastAsia"/>
          <w:sz w:val="21"/>
          <w:szCs w:val="21"/>
          <w:lang w:val="en-US" w:eastAsia="zh-CN"/>
        </w:rPr>
        <w:t>5）。访谈中，教师呼吁：“希望与交大实验室合作，将桥梁结构知识融入户外装置创作。”家长提议：“社区可开放民俗工坊，让孩子体验传统工艺。”一名社区艺术家表示：“愿参与课程设计，例如带幼儿用自然材料创作大地艺术。”这些需求指向资源整合的优化方向——构建“自然—文化—科技”多元联动的美育生态。</w:t>
      </w:r>
    </w:p>
    <w:p w14:paraId="1BC03AFB">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0"/>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（三）课程优化</w:t>
      </w:r>
    </w:p>
    <w:p w14:paraId="12535B6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基于现状调查与理论分析，本研究提出三大优化目标：</w:t>
      </w:r>
    </w:p>
    <w:p w14:paraId="471E618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一是构建“自然-艺术-社会”联动的动态资源网络，通过分级管理与主题化调用，破解资源碎片化困境；</w:t>
      </w:r>
    </w:p>
    <w:p w14:paraId="15893C6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二是依据幼儿感知、探索与创造的认知规律，设计阶梯化活动框架，促进审美经验的连续性生成；</w:t>
      </w:r>
    </w:p>
    <w:p w14:paraId="767F709A">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三是重构家庭与社区的角色定位，通过工具赋能与契约化协作推动多元主体深度参与，形成教育目标的同频共振。</w:t>
      </w:r>
    </w:p>
    <w:p w14:paraId="7B8BD5ED">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本研究重点构建了资源整合、分层活动与协同机制三大课程模块。资源整合模块遵循“基础-拓展-特色”分级逻辑，基础资源聚焦园内绿地与街心花园的日常调用，拓展资源联动美术馆、植物园等文化场馆开展主题探究，特色资源依托共建单位开发项目式学习，形成覆盖全域的户外美育场景。分层活动模块依据幼儿认知规律设计阶梯化路径：小班以感官唤醒为核心，通过自然物触摸与气味探索建立审美直觉；中班侧重观察转化，引导幼儿将环境细节转化为艺术符号；大班强调综合创造，在跨学科任务中实现审美表达与文化浸润。协同机制模块通过角色重构与工具赋能深化协作效能，家庭以资源贡献者、活动协作者、课程评价者的三重角色参与全流程，社区通过共建协议与专业支持融入课程设计，形成“资源-活动-主体”的生态化闭环。</w:t>
      </w:r>
    </w:p>
    <w:p w14:paraId="6BFA5B5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为确保课程框架的可持续运行，研究还提出四维保障机制：其一，教师能力建设体系，通过分层培训与跨学科教研提升资源转化、生成性课程设计与风险管理能力；其二，动态资源管理机制，建立“季节-主题”双维度标签系统，定期更新资源库并优化联动方案；其三，风险管理机制，制定标准化安全指南并预设应急场景演练，平衡探索自由与安全保障；其四，多元评价机制，引入幼儿自评、家长参评与社区联评，形成“设计-实施-优化”的反馈闭环。同时，框架预留动态调适接口，通过“行走灵感本”实时捕捉幼儿兴趣，将偶发发现转化为课程生长点，例如对自然微观生态的关注可延伸为持续性探究项目。这一机制以生活教育理论为内核，通过“观察-响应-迭代”循环实现课程生态的持续生长，确保实践路径既符合教育目标，又贴近幼儿的真实需求。</w:t>
      </w:r>
    </w:p>
    <w:p w14:paraId="162CDA5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0"/>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四、研究实践与实施路径</w:t>
      </w:r>
    </w:p>
    <w:p w14:paraId="23584587">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（一）动态资源的系统整合</w:t>
      </w:r>
    </w:p>
    <w:p w14:paraId="380BB9D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幼儿园以“15分钟步行圈”为地理半径，整合周边自然景观、文化场馆与社区单位，构建“基础—拓展—特色”三级资源网络，形成覆盖全域的户外美育场景。基础资源以高频使用的园内绿地与街心花园为主，支撑日常感官启蒙活动。例如，小班幼儿每日在园内“四季花径”开展感官游戏，触摸不同质地的树叶、嗅闻季节花卉的香气，通过“自然寻宝”任务收集松果、鹅卵石等材料；拓展资源涵盖西岸美术馆、上海植物园等文化场馆，按季节与主题动态调用。春季在植物园樱花径设计“花瓣雨”色彩捕捉任务，幼儿用透明胶片收集花瓣，观察光影下的色彩渐变；秋季联动美术馆举办“落叶艺术展”，将采集的银杏叶、枫叶转化为拼贴画或立体装置；特色资源依托共建单位开发项目式学习，例如与交大水下技术研究中心合作，大班幼儿在工程师指导下设计“桥梁承重模型”，用木棍、黏土等材料探索力学与美学的平衡。资源管理采用“季节—主题”双维度标签，遵循动态评估机制，每学期初由教师团队与家长代表实地勘察，更新资源清单并优化联动方案，确保课程生态的持续生长。例如，与上海植物园合作开展“花草缤纷自然乐园”活动，定期更新季节性植物观察任务。</w:t>
      </w:r>
    </w:p>
    <w:p w14:paraId="587F81CF">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（二）分层化活动设计与实施</w:t>
      </w:r>
    </w:p>
    <w:p w14:paraId="32BAFF9A">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幼儿的审美素养发展遵循从感官体验到符号表达、从具象操作到抽象思维的认知规律。基于陈鹤琴“活教育”理论及《3-6岁儿童学习与发展指南》中“直接感知、实际操作、亲身体验”的核心原则，本研究构建了“感知—探索—创造”的分层活动框架，呼应幼儿的年龄特点，使美育从单向传授转向生态化生成。</w:t>
      </w:r>
    </w:p>
    <w:p w14:paraId="3D84A6D0">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 小班：感知自然之美，激发审美兴趣</w:t>
      </w:r>
    </w:p>
    <w:p w14:paraId="1D3B52FF">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幼儿的审美启蒙始于对自然元素的直观感知。教师需创设低结构、高开放的环境，通过多感官体验帮助幼儿建立对色彩、形态、质地的初级认知，在“行走课堂”中，教师以简单、直观、有趣的方式引导幼儿通过感官体验自然之美。</w:t>
      </w:r>
    </w:p>
    <w:p w14:paraId="7EA50D0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【案例】</w:t>
      </w:r>
    </w:p>
    <w:p w14:paraId="2AF31A71">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在“花草缤纷自然乐园”活动中，教师将上海植物园的樱花径转化为沉浸式探索场域。活动前，教师沿小径隐藏20张植物图卡（向日葵、银杏叶、蒲公英等），每张卡片标注触感与气味关键词（如“光滑”“清甜”等）。活动伊始，教师以故事化语言导入任务：“小花仙的植物朋友走丢了，它们的衣服上有特别的图案和味道，谁愿意用亮眼睛和巧小手帮它们回家？”幼儿分组后，手持放大镜与采集袋，开始感官探索。</w:t>
      </w:r>
    </w:p>
    <w:p w14:paraId="503B294D">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触觉体验环节，幼儿轻轻触摸树叶表面，对比玉兰叶的光滑与松树皮的粗糙。教师蹲下身，引导幼儿用指尖描摹叶脉走向：“这片叶子的纹路像蜘蛛网还是小河？”一名幼儿举起银杏叶惊呼：“老师，它像一把小扇子！”教师顺势追问：“猜猜秋风一吹，小扇子会怎么跳舞？”幼儿立刻挥舞手臂模仿叶片飘落，笑声中渗透着对自然律动的感知。</w:t>
      </w:r>
    </w:p>
    <w:p w14:paraId="184B7C96">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嗅觉探索环节，教师将玫瑰、薄荷等植物置于盲盒中，幼儿闭眼轻嗅后描述气味特征。“这个是香香的，和妈妈的香水一样！”“这个有点凉，像牙膏！”幼儿的比喻虽稚嫩，却生动展现了嗅觉与生活经验的联结。活动尾声，幼儿用树叶拓印制作“自然肌理手册”，教师将作品悬挂于班级“四季走廊”，邀请家长扫码聆听幼儿的创作解说。一名家长反馈：“孩子回家后，竟能指着路边的银杏树说‘这是我在植物园找到的小扇子！’”</w:t>
      </w:r>
    </w:p>
    <w:p w14:paraId="5B73C93B">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该活动以陈鹤琴“活教育”理论为根基，通过多感官唤醒、游戏化设计与家园协同三层次推进小班美育实践。幼儿在触摸、嗅闻、观察的直接体验中，将“光滑”“粗糙”“清香”等抽象概念具象化，初步建立对自然美的感性认知。“寻找小花仙”的童话叙事以游戏为媒介，将教育目标无痕融入探索过程，激发幼儿的主动性与愉悦感；而“自然肌理手册”与家庭延伸任务则打破园所边界，推动亲子在社区场景中复现审美经验，形成“感知—表达—迁移”的连续性学习链。</w:t>
      </w:r>
    </w:p>
    <w:p w14:paraId="159A0685">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2. 中班：探索艺术之美，提升审美能力</w:t>
      </w:r>
    </w:p>
    <w:p w14:paraId="055EB7B3">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中班幼儿的观察力与表达欲显著增强，能够将感官体验转化为具象的艺术语言，但需依托真实场景与互动引导深化审美理解。活动设计需搭建“感知—创作—分享”的完整链条，引导幼儿从被动接受转向主动表达。</w:t>
      </w:r>
    </w:p>
    <w:p w14:paraId="064A08E8">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outlineLvl w:val="3"/>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【案例】</w:t>
      </w:r>
    </w:p>
    <w:p w14:paraId="11CBD369">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在“探秘神秘海洋·邂逅海洋精灵”活动中，教师以海洋馆为实践场域，以“寻找海洋精灵的魔法颜色”为主线设计主题活动，通过多感官探索、科学观察与艺术创作，帮助幼儿建立对海洋生物形态美与生态美的初步认知。幼儿手持“探索手册”（含海洋动物简笔画与色卡贴纸），在教师引导下观察水母、小丑鱼等生物的形态特征，并通过色彩游戏与手工创作表达审美发现。</w:t>
      </w:r>
    </w:p>
    <w:p w14:paraId="620B40EC">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活动伊始，教师以奇幻故事激发兴趣：“海洋深处住着许多透明的小精灵，它们穿着会发光的衣服，只有最细心的小探险家才能发现它们的秘密！”幼儿佩戴自制的“潜水镜”（蓝色透明塑料片），分组进入海洋馆的“水母秘境”展区。在幽蓝的灯光下，教师指向摇曳的水母触须：“它们的身体像什么？颜色为什么会变化？”一名幼儿盯着发光的粉色水母惊呼：“像果冻！里面有星星在闪！”另一名幼儿伸手模拟水母游动：“它们一缩一缩的，像在跳舞！”教师顺势分发色卡贴纸：“找找水母身上藏着哪些颜色？标记你最喜欢的‘魔法光’。”</w:t>
      </w:r>
    </w:p>
    <w:p w14:paraId="331D3CE9">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创作环节中，幼儿自由选择材料（荧光颜料、亮片、透明薄膜）表现海洋生物的奇幻之美。一组幼儿用深蓝与紫色水彩绘制“夜光水母”，并在触须上黏贴银色亮片，解释：“它们的灯在黑暗中会亮，帮小鱼找路！”另一组用透明保鲜膜包裹彩纸碎片，制作“发光水母伞”，教师追问：“如果水母的伞破了怎么办？”幼儿立刻用黏土修补：“这是它们的‘急救绷带’，用海草做的！”第三组将蓝色纱幔与LED小灯结合，搭建“海底光影隧道”，其他班级幼儿穿行时惊叹：“像真的在深海里游泳！”</w:t>
      </w:r>
    </w:p>
    <w:p w14:paraId="1BF5A5D3">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作品展示环节，班级内布置“海洋精灵美术馆”。一名幼儿指着“夜光水母”解说：“紫色是它们的秘密信号，只有好朋友能看懂！”家长参观时问道：“为什么水母的身体是透明的？”小作者举起“潜水镜”类比：“这样它们可以隐身，不被大鱼发现！”活动延伸至家庭，教师通过班级群发起“家庭海洋日”倡议，鼓励亲子用废旧材料创作海洋生物。一周后，一名幼儿带来与父母合作的“塑料瓶水母灯”，灯罩上黏满彩色纽扣，解释道：“这些是水母的‘彩虹宝石’！”</w:t>
      </w:r>
    </w:p>
    <w:p w14:paraId="0778C9BF">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该活动通过简化科学概念（发光原理、生物保护色）、提供开放性材料（透明薄膜、荧光颜料）及游戏化任务，让幼儿在真实场景中体验自然美与艺术美的交融。当幼儿用“果冻”“彩虹宝石”等生活化比喻描述海洋生物时，审美认知已从被动观察升华为创造性表达。活动深化了幼儿对海洋生态的理解，在亲子共创中延伸了美育的实践边界——艺术不仅是教室里的创作，更是与生活、自然对话的桥梁。</w:t>
      </w:r>
    </w:p>
    <w:p w14:paraId="4271042C">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3. 大班：体验生活之美，培养创造能力</w:t>
      </w:r>
    </w:p>
    <w:p w14:paraId="39FB8C08">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大班幼儿的认知与协作能力正处于快速发展期，活动设计需以生活场景为依托，通过直观观察与趣味创作激发其探究兴趣与表达能力。依据维果茨基“最近发展区”理论，此阶段的美育需突破单一学科界限，通过真实情境中的项目式学习，引导幼儿在观察、探究、创作与展示的全流程中，实现知识迁移与综合素养的整合。活动设计需遵循“生活即课程”的理念，将社会场景转化为学习资源，让幼儿在解决复杂问题的过程中，体验审美表达与文化建构的双重价值。</w:t>
      </w:r>
    </w:p>
    <w:p w14:paraId="1E0B9AB4">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outlineLvl w:val="3"/>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【案例】</w:t>
      </w:r>
    </w:p>
    <w:p w14:paraId="6BD4946C">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在“动物园里‘趣’探索”活动中，教师以“发现动物的小秘密”为主题，设计探秘活动，将科学观察与艺术表达自然融合。活动开始，教师通过趣味提问激发幼儿的好奇心——“猴子的尾巴有什么用？孔雀的羽毛为什么这么漂亮？”幼儿自由分组选择探究方向：A组观察“猴子的尾巴”，B组记录“孔雀的羽毛”，C组探索“大象的鼻子”。教师分发放大镜、素描本与彩色贴纸，提示幼儿“用眼睛找细节，用画笔留记录，用贴纸标发现”。</w:t>
      </w:r>
    </w:p>
    <w:p w14:paraId="543A24A6">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在动物园实地环节，A组幼儿紧盯猴群，发现尾巴能挂树枝、保持平衡，甚至传递信号。一名幼儿用简笔画描绘猴子倒挂的场景，教师协助标注“尾巴像钩子”，并追问：“如果尾巴受伤，猴子会怎么爬树？”幼儿模仿猴子手脚并用的样子，笑着喊：“它会像我们一样手脚并用，但可能摔跤！”B组聚焦孔雀开屏的瞬间，用贴纸标记羽毛颜色的变化——“开屏时蓝色更亮，绿色更深，像撒了亮粉！”幼儿争论羽毛像“扇子”还是“裙子”，教师引导他们用彩笔在色卡上涂出渐变效果，并添加亮片模拟阳光反射。C组模仿大象用鼻子卷树叶，用黏土捏出弯曲的鼻子模型，教师提问：“如果鼻子变短，大象怎么喝水？”一名幼儿将纸筒鼻子缩短后尝试“吸水”，发现“只能低头用嘴喝，但脖子会酸！”</w:t>
      </w:r>
    </w:p>
    <w:p w14:paraId="1342188E">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回教室后，各组将观察成果转化为手工与绘画作品。A组用卡纸剪出猴子轮廓，黏贴毛线制作的卷曲尾巴，并标注“挂钩”“平衡杆”等功能；B组将色卡与亮片结合，制作“孔雀开屏”立体展板，用金粉点缀“阳光下的闪光”；C组用卷纸筒和布料设计可伸缩的“大象鼻子”，演示卷取小球的过程。创作中，教师提供针对性支持，建议A组“用不同颜色的毛线表现尾巴的弯曲”，鼓励B组“试试黄色亮片贴在蓝色旁边”，协助C组固定鼻子的伸缩结构。</w:t>
      </w:r>
    </w:p>
    <w:p w14:paraId="014DD89B">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jc w:val="both"/>
        <w:textAlignment w:val="auto"/>
        <w:rPr>
          <w:rFonts w:hint="eastAsia" w:ascii="仿宋" w:hAnsi="仿宋" w:eastAsia="仿宋" w:cs="仿宋"/>
          <w:strike w:val="0"/>
          <w:dstrike w:val="0"/>
          <w:color w:val="auto"/>
          <w:sz w:val="21"/>
          <w:szCs w:val="22"/>
          <w:highlight w:val="none"/>
          <w:lang w:val="en-US" w:eastAsia="zh-CN"/>
        </w:rPr>
      </w:pPr>
      <w:r>
        <w:rPr>
          <w:rFonts w:hint="eastAsia" w:ascii="仿宋" w:hAnsi="仿宋" w:eastAsia="仿宋" w:cs="仿宋"/>
          <w:strike w:val="0"/>
          <w:dstrike w:val="0"/>
          <w:color w:val="auto"/>
          <w:sz w:val="21"/>
          <w:szCs w:val="22"/>
          <w:highlight w:val="none"/>
          <w:lang w:val="en-US" w:eastAsia="zh-CN"/>
        </w:rPr>
        <w:t>最终，班级内布置“动物奇妙角”，幼儿化身讲解员分享成果。A组指着毛线尾巴解释：“猴子用尾巴挂树枝，就像我们用钩子晾衣服！”B组展示色卡时描述：“阳光照在羽毛上，蓝色会变成彩虹色！”C组操作鼻子模型卷起小球，自豪地说：“大象的鼻子比我们的手还能干！”展览吸引其他班级幼儿参观，一名中班孩子问：“孔雀为什么开屏？”讲解员自信回答：“为了找朋友，就像我们穿漂亮裙子！”活动结束后，教师发现幼儿在自由活动时自发模仿动物行为，并用手工材料创作新的“动物发明”，如“长颈鹿吸管杯”“企鹅滑梯”。</w:t>
      </w:r>
    </w:p>
    <w:p w14:paraId="7FABBE4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该活动通过简化任务（贴纸标记、简笔画记录）、使用易操作材料（毛线、卡纸、黏土）及小规模展示，既贴合大班幼儿的能力水平，又实现了多重教育目标——观察力在细节捕捉中提升，创造力通过手工转化得以释放，合作意识在小组分工中萌芽。当幼儿用稚嫩的语言将动物特征与生活经验联结时，美育已悄然超越技能训练，成为连接科学发现、艺术表达与社会认知的桥梁。</w:t>
      </w:r>
    </w:p>
    <w:p w14:paraId="106BAE95">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（三）课程内容的多元化与深度优化</w:t>
      </w:r>
    </w:p>
    <w:p w14:paraId="63E97B93">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传统户外美术活动存在内容单一、形式固化与文化浸润不足等问题，制约了幼儿审美素养的全面发展。基于此，本研究聚焦课程内容的优化升级，以“自然为基、文化为魂、生活为源”为核心理念，通过主题拓展、形式创新与文化融合，构建开放多元的美育生态。课程设计强调跨学科整合与真实情境体验，将科学探究、肢体表达与数字技术融入创作过程，同时平衡本土文化深耕与国际视野拓展，推动美育从技能训练转向创造力培养。</w:t>
      </w:r>
    </w:p>
    <w:p w14:paraId="10995EF0">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1.主题拓展：自然、文化与生活的多维联结</w:t>
      </w:r>
    </w:p>
    <w:p w14:paraId="21EC5A1D">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课程内容围绕“自然共生、文化传承、社区共建”三大主题，设计贴近幼儿生活的实践单元。在“自然共生”主题下，春季开展“种子旅行家”活动，幼儿收集不同植物的种子，用放大镜观察形态差异，在园内开辟“迷你种植园”，记录发芽过程并绘制生长日记；秋季设计“落叶交响曲”，幼儿在滨江绿地采集枫叶、银杏叶，用透明胶带制作“叶脉灯罩”，夜晚点亮后观察光影变化。文化传承主题聚焦本土特色，如“老弄堂探秘”活动中，幼儿走访徐汇石库门建筑，用黏土复刻砖瓦纹样，与祖辈合作制作“弄堂故事”立体书；端午节期间，亲子用艾草、彩布缝制“驱疫香囊”，录制“香囊童谣”音频，将民俗符号转化为可感知的审美体验。社区共建主题强调社会责任感，如“角落艺术家”项目中，幼儿用环保材料装饰社区垃圾桶，设计卡通标识提醒垃圾分类，作品在社区展览中获居民投票支持，形成美育与公民教育的有机融合。</w:t>
      </w:r>
    </w:p>
    <w:p w14:paraId="40511614">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2. 主题模块：序列化课程单元设计</w:t>
      </w:r>
    </w:p>
    <w:p w14:paraId="6C567A5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课程内容以主题模块形式组织，依据“感知—探索—创造”的认知逻辑，设计层层递进的活动单元。每个模块包含目标衔接的核心任务、家园共育延伸活动及多元成果展示形式，确保幼儿经验的连续性积累。主题模块需呼应季节特征与文化背景，使美育与生活、自然、社会深度融合。</w:t>
      </w:r>
    </w:p>
    <w:p w14:paraId="5F78DD1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我园依托上海植物园四季更迭的自然场景，构建“四季之美”主题课程模块，将季节轮转转化为艺术探索的灵感源泉，引导幼儿在真实环境中感知自然美学，激发创造性表达。当春日樱花飘落时，幼儿在林中收集花瓣，用黏土与细绳制作“花瓣风铃”，观察花瓣在风中轻旋的色彩变化；夏日树荫下，他们用荷叶盛接雨水，滴入植物染料晕染出“流动的夏日画”，或用木棍在芭蕉叶上刻划叶脉纹路，拓印出自然的肌理密码。秋日落叶纷飞，幼儿在林间小径铺陈银杏与枫叶，拼贴出“落叶地毯”的几何图案，或用松果、枯枝搭建“迷你森林小屋”，将凋零之物转化为大地艺术。冬日暖阳里，松枝与干花编织成“自然花环”，冰晶的痕迹被盐粒与白胶定格为“冰雪肌理画”，枯草与红纸结合为“民俗窗花”，让寒冬焕发人文暖意。课程紧扣“季节即素材，自然即画室”的理念，以户外为创作主场，强调幼儿对自然材料的发现、收集与转化。从春日的轻柔触感、夏日的斑斓光影，到秋日的丰饶肌理、冬日的线条韵律，四季的独特美学成为幼儿艺术表达的鲜活教材。幼儿在樱花树下写生、荷塘边拓印、落叶堆中拼贴、松枝旁编织的过程中，不仅习得色彩、形态与构图的直观认知，更在自然与艺术的对话中理解“美源于生活，创意见于自然”的深层意涵。这一模块通过四季轮转的场景浸润，让户外创意美术真正成为幼儿感知生命律动、表达生态关怀的成长桥梁。</w:t>
      </w:r>
    </w:p>
    <w:p w14:paraId="29C78625">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3. 形式创新：跨学科融合与多元表达</w:t>
      </w:r>
    </w:p>
    <w:p w14:paraId="0603891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上海徐汇实验幼儿园在“行走课堂”实践中，突破传统美育的单一学科边界，通过跨学科整合与多元表达路径，将艺术创作与科学探究、文化传承、社会互动深度融合，形成“自然为基、生活为源、文化为魂”的课程生态，以真实问题为导向，以多元场景为载体，引导幼儿在复杂任务中理解美的多维度价值，实现审美素养与综合能力的协同发展。</w:t>
      </w:r>
    </w:p>
    <w:p w14:paraId="7D7555B3">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以“探秘神秘海洋·邂逅海洋精灵”活动为例，教师围绕“如何守护海洋生态”这一核心问题，设计跨学科探究任务。幼儿在海洋馆中观察水母的游动姿态与小丑鱼的斑纹特征，结合科普讲解理解生物多样性对生态平衡的意义，形成科学认知；随后利用荧光颜料与透明薄膜创作“发光水母伞”，用黏土模拟珊瑚礁结构，将科学观察转化为艺术表达。活动延伸至语言与健康领域，幼儿创编《小海龟的冒险》情景剧，通过角色扮演展现海洋生物的保护色原理，用“彩虹宝石”比喻珊瑚的光泽，以“急救绷带”象征生态修复行动，展现出对生态美学的创造性诠释。</w:t>
      </w:r>
    </w:p>
    <w:p w14:paraId="12748FF6">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花草缤纷自然乐园”活动则以四季更迭为线索，构建跨学科学习链。春季，幼儿在植物园观察樱花花瓣的色彩渐变，探索自然科学现象；利用透明胶片收集花瓣制作“色彩捕捉器”，探究光影与色彩的关系，融入物理启蒙。秋季开展“落叶交响曲”项目，幼儿测量叶片尺寸、分类记录形态特征，培养数学思维；通过拓印、拼贴等手法创作“叶脉灯罩”，实现艺术表达；同时撰写“自然日记”描述季节变化对植物生长的影响，促进语言发展。此类活动通过真实场景中的任务驱动，将审美体验与科学探究、数学认知、语言表达有机衔接，形成“观察—探索—创造—分享”的完整学习闭环。</w:t>
      </w:r>
    </w:p>
    <w:p w14:paraId="23F7CD7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通过跨学科整合与多元表达，幼儿的审美经验从单一技能训练升华为综合素养的生态化生成。科学探究赋予艺术创作理性深度，文化传承激活审美表达的情感温度，社会协作则拓展美育的价值广度，真正实现“以美育人、向美而生”的教育愿景。</w:t>
      </w:r>
    </w:p>
    <w:p w14:paraId="6B19FDE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4.</w:t>
      </w:r>
      <w:r>
        <w:rPr>
          <w:rFonts w:hint="eastAsia" w:cs="Times New Roman" w:asciiTheme="minorEastAsia" w:hAnsiTheme="minorEastAsia" w:eastAsiaTheme="minorEastAsia"/>
          <w:b/>
          <w:bCs/>
          <w:sz w:val="21"/>
          <w:szCs w:val="21"/>
          <w:lang w:val="en-US" w:eastAsia="zh-CN"/>
        </w:rPr>
        <w:t>文化浸润：本土性与国际视野的平衡</w:t>
      </w:r>
    </w:p>
    <w:p w14:paraId="0F1B31ED">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上海徐汇实验幼儿园在“行走课堂”实践中，注重将本土文化传承与国际艺术启蒙融入幼儿可感知的活动中，通过贴近生活的场景和游戏化的设计，让幼儿在动手操作与多元互动中感受文化的多样性与艺术的包容性。</w:t>
      </w:r>
    </w:p>
    <w:p w14:paraId="179C852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在“探秘编织”活动中，依据幼儿年龄特点分层设计。小班幼儿化身“艺术小侦探”，在西岸美术馆观察藤蔓装置的编织结构，用小手触摸毛线的柔软与竹篾的坚韧，对比不同材料的触感差异；中班通过“寻宝游戏”任务，在展厅中寻找隐藏的传统编织工具，并尝试用彩绳模仿简单的经纬交织手法，制作“迷你捕梦网”；大班幼儿则进阶至“编织DIY”，在教师指导下用麻绳、树枝等自然材料创作“春日花篮”，美术馆工作人员现场演示江南竹编技法，讲述“竹篮装鲜果”“渔网捕江鱼”等生活故事。活动中，幼儿用黏土捏制“小鱼”放入自编竹篮，模拟水乡生活场景，在游戏互动中感悟中国传统技艺的实用智慧与文化温度。</w:t>
      </w:r>
    </w:p>
    <w:p w14:paraId="6FB100C0">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趣玩蔓舞奇境”活动则以西岸美术馆的藤蔓艺术为依托，通过感官体验与符号对比拓展幼儿的国际视野。幼儿观察展厅中缠绕交错的彩色藤蔓装置，对比自然藤蔓的弯曲形态与艺术化藤蔓的几何线条。教师以“藤蔓连接世界”为话题，用图片展示不同文化中的植物艺术符号——如日本艺术中象征生命的“卷草纹”、北欧设计中简约的“森林曲线”，引导幼儿用扎带、丝带等材料创作“跨国藤蔓”。例如，一组幼儿将红色丝带编织成中国结样式，象征“吉祥联结”；另一组用蓝白条纹布料拼接“地中海波浪”，模拟藤蔓跨越海洋的意象。这种简化符号、强化感官体验的设计，让幼儿在游戏中初步感知文化的多元性，既扎根于本土技艺的土壤，又舒展于国际符号的天空，真正实现“用小手触摸传统，以童心对话世界”的教育目标。</w:t>
      </w:r>
    </w:p>
    <w:p w14:paraId="5CC80565">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（四）创新教学方法，激发“行走课堂”美育潜能</w:t>
      </w:r>
    </w:p>
    <w:p w14:paraId="5159714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在“行走课堂”实践中，上海徐汇实验幼儿园通过情境创设、互动体验、问题引导与弹性调整四类教学方法的系统性创新，聚焦真实场景中的具身学习，以情境唤醒审美兴趣，以互动强化实践参与，以问题驱动深度思考，以动态调整捕捉生成性契机，全面激发幼儿对自然美、艺术美与社会美的主动探索与创造性表达潜能，推动美育目标从单向传授向生态化生成转型。</w:t>
      </w:r>
    </w:p>
    <w:p w14:paraId="48EF4BD9">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1</w:t>
      </w:r>
      <w:r>
        <w:rPr>
          <w:rFonts w:hint="eastAsia" w:cs="Times New Roman" w:asciiTheme="minorEastAsia" w:hAnsiTheme="minorEastAsia" w:eastAsiaTheme="minorEastAsia"/>
          <w:b/>
          <w:bCs/>
          <w:sz w:val="21"/>
          <w:szCs w:val="21"/>
          <w:lang w:val="en-US" w:eastAsia="zh-CN"/>
        </w:rPr>
        <w:t>.情境创设法：沉浸美的氛围</w:t>
      </w:r>
    </w:p>
    <w:p w14:paraId="736BDDA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情境创设法通过构建沉浸式场景，唤醒幼儿的审美兴趣。以“探秘神秘海洋·邂逅海洋精灵”活动为例，教师以故事化情境导入，讲述“海洋小精灵守护海底世界”的奇幻情节，激发幼儿探索欲望。幼儿佩戴自制的“潜水镜”进入海洋馆，在模拟海底世界的环境中观察水母游动轨迹、小丑鱼斑纹色彩，并惊叹于珊瑚礁的绚丽形态（如描述“珊瑚像彩色的树枝”）。在“滨江建筑探秘”活动中，教师以“小小建筑师”任务导入，幼儿手持放大镜观察建筑纹理，用黏土复刻砖石肌理，最后用锡箔纸模拟玻璃幕墙的反光效果，将零散观察升华为艺术创作。情境创设法通过具身体验与想象融合，让幼儿在“玩中学”，潜移默化建构审美认知。</w:t>
      </w:r>
    </w:p>
    <w:p w14:paraId="03404560">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2</w:t>
      </w:r>
      <w:r>
        <w:rPr>
          <w:rFonts w:hint="eastAsia" w:cs="Times New Roman" w:asciiTheme="minorEastAsia" w:hAnsiTheme="minorEastAsia" w:eastAsiaTheme="minorEastAsia"/>
          <w:b/>
          <w:bCs/>
          <w:sz w:val="21"/>
          <w:szCs w:val="21"/>
          <w:lang w:val="en-US" w:eastAsia="zh-CN"/>
        </w:rPr>
        <w:t>.互动体验法：增强美的感受</w:t>
      </w:r>
    </w:p>
    <w:p w14:paraId="0C0CFA8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互动体验法强调幼儿与环境、同伴及成人的多维互动。例如“趣玩蔓舞奇境”活动中，教师引导幼儿在西岸美术馆内探索藤蔓的连接方式，幼儿通过缠绕、拼接彩色藤蔓，创造个性化的“藤蔓世界”。分享环节中，幼儿围坐展示作品，交流创作思路（如“我的藤蔓会发光”）；同时与场馆工作人员互动，提问“藤蔓为什么是彩色的”，通过专业解答理解艺术材料的特性。在“美术馆对话日”中，教师引导幼儿与展品“对话”：“这幅画的颜色让你想到什么季节？”“如果画中的小鸟会说话，它想告诉我们什么？”幼儿的回答被记录为“艺术猜想卡”，家长协助整理成绘本，形成家园共读素材。社区场景中，幼儿与环卫工人合作设计“落叶艺术墙”，用收集的枯枝、松果拼贴成动物图案，工人分享清扫工具的使用技巧，幼儿则讲解作品寓意，实现跨代际的审美交流。互动中，教师采用“追问—联想—拓展”三步引导法，例如当幼儿描述“江水像丝绸”，教师追问“丝绸摸起来什么感觉？风中的丝绸会怎样动？”，激发幼儿更细腻的感知与表达。互动体验法不仅提升幼儿的动手能力与创造力，还通过社会对话增强审美理解的深度。</w:t>
      </w:r>
    </w:p>
    <w:p w14:paraId="188BB0BE">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3</w:t>
      </w:r>
      <w:r>
        <w:rPr>
          <w:rFonts w:hint="eastAsia" w:cs="Times New Roman" w:asciiTheme="minorEastAsia" w:hAnsiTheme="minorEastAsia" w:eastAsiaTheme="minorEastAsia"/>
          <w:b/>
          <w:bCs/>
          <w:sz w:val="21"/>
          <w:szCs w:val="21"/>
          <w:lang w:val="en-US" w:eastAsia="zh-CN"/>
        </w:rPr>
        <w:t>.问题引导法：启发美的思考</w:t>
      </w:r>
    </w:p>
    <w:p w14:paraId="1AECEAF9">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问题引导法以启发性问题驱动幼儿的主动思考与审美分析。在“玩‘美’徐汇滨江——相约冬日‘童’行”活动中，教师提出“为什么冬季与夏季的滨江风景不同”，引导幼儿观察树木、江水的季节变化，思考自然与人文景观的关联。幼儿提出“挂彩灯”“种植冬季开花植物”等美化建议，尝试用艺术思维解决真实问题。在“如何让社区更美丽”项目中，教师抛出核心问题，幼儿分组调研社区环境，提出“增设昆虫旅馆”“绘制彩虹斑马线”等方案。家长协助收集废旧材料（如塑料瓶、木片），社区工程师指导结构设计，最终在公园角落搭建“昆虫之家”，用环保颜料绘制地面图案。活动中，教师通过阶梯式提问深化思考：“昆虫需要什么样的家？”“彩虹线条怎样让行人更安全？”，幼儿用图画日记记录设计思路，并在社区展览中担任讲解员。问题引导法将美育与科学、社会领域融合，审美教育从被动接受转向主动建构，培养幼儿从多角度发现美、表达美的能力。</w:t>
      </w:r>
    </w:p>
    <w:p w14:paraId="26D5A0A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4.</w:t>
      </w:r>
      <w:r>
        <w:rPr>
          <w:rFonts w:hint="eastAsia" w:cs="Times New Roman" w:asciiTheme="minorEastAsia" w:hAnsiTheme="minorEastAsia" w:eastAsiaTheme="minorEastAsia"/>
          <w:b/>
          <w:bCs/>
          <w:sz w:val="21"/>
          <w:szCs w:val="21"/>
          <w:lang w:val="en-US" w:eastAsia="zh-CN"/>
        </w:rPr>
        <w:t>弹性调整法：捕捉美的灵感</w:t>
      </w:r>
    </w:p>
    <w:p w14:paraId="619AEB5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建立“观察—响应—迭代”的生成性教学机制，通过动态捕捉幼儿兴趣，将偶发灵感转化为课程生长点。教师随身携带“灵感速记本”，实时记录幼儿在真实场景中的好奇瞬间。例如，活动时幼儿发现墙角苔藓，惊叹“绿色毛毛毯好可爱”，教师次日增设“微观生态圈”活动，提供放大镜与透明容器，引导幼儿观察苔藓结构，用黏土捏制“迷你森林”，并延伸至家庭任务“寻找家中的小绿洲”。家长通过微信群上传孩子模仿蚂蚁搬家的视频，教师将其转化为集体活动“昆虫建筑师”，幼儿用树枝、石子搭建微型蚁穴，用树叶模拟食物运输轨迹，在角色扮演中理解自然协作之美。这种“以童为本”的调整机制，使课程既能呼应教育目标，又能贴合幼儿的真实需求，让美育从单向传授转向双向互动，真正成为幼儿主动探索、自然生发的过程。</w:t>
      </w:r>
    </w:p>
    <w:p w14:paraId="027E1BB6">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上述四类方法共同构建“感知—互动—思辨—生成”的美育闭环。情境创设奠定情感基础，互动体验强化实践参与，问题引导深化思维拓展，弹性调整法动态捕捉幼儿的灵感火花，四者层层递进，形成“情感浸润—实践参与—思维深化—灵感延伸”的完整链条，使美育从单向传授转向生态化生长，真正实现“以童为师、向美而生”的教育愿景。</w:t>
      </w:r>
    </w:p>
    <w:p w14:paraId="3130BE2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（五）教师支持与专业发展</w:t>
      </w:r>
    </w:p>
    <w:p w14:paraId="426270E6">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教师支持与专业发展是家园共育视域下户外美育实践落地的核心保障，其定位兼具“能力进阶的脚手架”与“生态共建的联结者”双重角色。一方面，教师需突破传统技能传授者的局限，通过系统性能力建设提升资源转化、生成性课程设计与风险管理能力，以适应动态化、开放化的美育场景需求；另一方面，教师作为家园社协同生态的关键节点，需依托工具赋能与协作网络重构，推动课程从单向执行转向多元共建。这种定位以协同机制理论为根基，强调教师不仅是教育目标的践行者，更是资源整合的策动者、协作关系的协调者与课程生态的守护者。</w:t>
      </w:r>
    </w:p>
    <w:p w14:paraId="4C48887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1.分层培训体系与能力进阶路径</w:t>
      </w:r>
    </w:p>
    <w:p w14:paraId="0157DC9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针对教师专业能力的结构性差异，构建“基础—拓展—创新”三级培训体系。新任教师参与“户外美育基础研修”，重点学习资源筛选与多感官游戏设计，例如在“自然材料触摸”工作坊中，模拟幼儿可能提出的问题（如“树叶为什么有不同形状”），演练科学回应的策略。骨干教师进入“生成性课程开发”高阶培训，通过案例研讨掌握兴趣捕捉与动态调整技巧，如分析“幼儿对昆虫洞穴的持续追问”如何延伸为“地下建筑师”项目式学习。创新层教师与高校专家结对，参与“自然美育”课题研究，开发本土化课程资源包，例如将徐汇滨江的工业遗迹转化为“锈迹艺术”课程，引导幼儿用拓印、拼贴表现时间痕迹。</w:t>
      </w:r>
    </w:p>
    <w:p w14:paraId="3B89E8F1">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2.工具支持与资源管理赋能</w:t>
      </w:r>
    </w:p>
    <w:p w14:paraId="7EF563E2">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为教师配备“行走课堂工具包”，内含便携式急救包、防水画纸、多倍率放大镜等实操工具，并附《资源转化指南》。例如指南建议：“发现幼儿对地砖纹样感兴趣时，可提供硫酸纸拓印工具，延伸至几何认知活动。”同步开发数字化资源管理平台，教师可实时查看“15分钟美育圈”内各场馆的开放时间、特色展览与安全须知，一键生成活动备案表。平台设置“灵感共享区”，教师上传自创活动方案，获点赞最多的案例纳入园本课程库，形成共创共生的专业生态。</w:t>
      </w:r>
    </w:p>
    <w:p w14:paraId="4B7957BE">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3. 跨学科协作与反思共同体建设</w:t>
      </w:r>
    </w:p>
    <w:p w14:paraId="3066E8A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通过构建跨学科协作网络与常态化反思机制，推动教师从经验型实践者向研究型教育者转型。园所定期组织多领域专家与教师对话，围绕资源开发、活动设计等议题展开联合研讨，促进自然、艺术、社会等学科知识的融合渗透。建立分层次的反思体系，通过日常记录、专题研讨与阶段性总结，系统梳理教学实践中的关键问题与优化策略，形成“实践—反思—改进”的良性循环。这种协作与反思并行的模式，为教师专业成长提供持续支持，也为课程创新注入多元视角与科学依据。</w:t>
      </w:r>
    </w:p>
    <w:p w14:paraId="6C497A61">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4.安全保障与心理支持网络</w:t>
      </w:r>
    </w:p>
    <w:p w14:paraId="6277618F">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建立系统化的安全管理与心理支持机制，通过制定安全管理规范，明确户外活动中的风险防控流程，针对常见突发情况预设应急方案，确保活动有序开展。关注教师心理健康，定期组织团队建设与压力疏导活动，帮助教师平衡工作负荷。园所还构建教师互助支持机制，通过经验分享、即时沟通等方式，为新教师提供专业指导与情感支持，营造温暖协作的成长环境，为课程实施提供坚实的保障基础。</w:t>
      </w:r>
    </w:p>
    <w:p w14:paraId="3411DA1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（六）加强家园协作，凝聚“行走课堂”教育合力</w:t>
      </w:r>
    </w:p>
    <w:p w14:paraId="1543E722">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家庭作为幼儿美育的重要延伸场域，其深度参与是“行走课堂”可持续推进的关键。上海徐汇实验幼儿园通过“资源互通—活动共建—成果共享”的协同机制，构建家园社三位一体的美育生态。</w:t>
      </w:r>
    </w:p>
    <w:p w14:paraId="075F247B">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1.角色重构：从参与者到共建者</w:t>
      </w:r>
    </w:p>
    <w:p w14:paraId="1A6AF736">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家庭与社区的角色定位从“活动陪同者”转向“课程共建者”，形成阶梯式参与机制。初级阶段，家长作为“资源贡献者”，依托职业或家庭文化提供特色素材。例如，医生家长讲解人体对称美学，幼儿用黏土捏制左右对称的器官模型；传统手工艺家庭提供刺绣工具，协助开设“针尖上的童话”工作坊。进阶阶段，家长升级为“活动协作者”，与教师共同设计任务。在“滨江印象”项目中，设计师家庭指导幼儿测量步道宽度，用自然材料拼贴比例模型；工程师家长演示桥梁承重原理，幼儿用木棍搭建“迷你拱桥”。最终阶段，家长作为“课程评价者”，通过线上线下双渠道反馈优化建议。例如，在“最美行走瞬间”评选中，家长从安全性、趣味性等维度投票，推动活动方案迭代。</w:t>
      </w:r>
    </w:p>
    <w:p w14:paraId="77D25BDD">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2.工具赋能：降低协作门槛的实操支持</w:t>
      </w:r>
    </w:p>
    <w:p w14:paraId="4FA0221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为解决家庭参与的技术障碍与场景局限，开发“四季家庭美育工具包”与轻量化数字工具，确保协作实效。工具包按季节配置基础材料与任务指南，例如春季提供透明胶片与种子收纳袋，秋季配备安全胶水与拓印工具。活动小程序同步日程并推送准备清单，资源共创平台支持家长上传作品，自动生成可打印的“家庭美育档案”。针对老年家庭，语音助手提供简易任务，社区志愿者上门演示工具使用；家长互助群实时响应实操疑问。成果共享依托数字化平台实现多向互动。云端共享库收录家长上传的家庭美育案例（如阳台种植记录、节日民俗实践），教师将其转化为课程资源；微信公众号开设“行走瞬间”专栏，推送活动花絮与幼儿作品，家长可在线评论、投票支持，形成教育共同体。例如“藤蔓艺术创作”后，家长上传家庭藤蔓手工视频，激发更多创意灵感。《实幼宝贝行走手册》成为家园共育的核心纽带，手册中“亲子任务卡”引导家庭在社区探索中完成“肌理收集”“色彩捕捉”等任务；“感悟记录页”鼓励家长与幼儿共同撰写发现日记，教师定期组织“最美行走故事”评选，强化教育目标的同频共振。这一机制将美育从园所单向输出，转化为家庭、社区与幼儿园的多向共创，真正实现“行走”教育的生活化与长效化。</w:t>
      </w:r>
    </w:p>
    <w:p w14:paraId="45165FDA">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3.活动共创：任务驱动下的深度互动</w:t>
      </w:r>
    </w:p>
    <w:p w14:paraId="6E36087E">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设计“家园双线任务”，将园所活动自然延伸至家庭场景。在“自然侦探”系列中，园内开展“树叶探秘”科学活动，幼儿用放大镜观察叶脉结构；家庭任务为“寻找社区的树叶朋友”，亲子拍摄不同树种照片并制作电子图鉴，在班级屏幕轮播展示。社区共建活动强调三方协作，例如“老城记忆”项目中，祖辈口述石库门生活故事，幼儿用纸板搭建弄堂模型，社区工作者提供历史照片对比。重要节庆设计“跨代际创作”，如重阳节邀请祖孙共同绘制“家族故事长卷”，用符号记录老物件轨迹（如爷爷的自行车、妈妈的电脑），在社区展览中引发代际对话。</w:t>
      </w:r>
    </w:p>
    <w:p w14:paraId="6CA30860">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4.反馈循环：多元评价促进协同升级</w:t>
      </w:r>
    </w:p>
    <w:p w14:paraId="32680BA5">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建立“幼儿—家庭—社区”三方互评机制，形成动态改进闭环。幼儿通过贴纸符号表达活动体验（如太阳表示“超喜欢”，云朵表示“没玩够”）；家长填写“三句话反馈表”（最惊喜的发现、待改进的细节、新活动建议）；社区单位从资源利用效率、社会影响力等维度评分。每学期末举办“行走课堂听证会”，家长代表、社区专家与教师共同审议活动方案。评价数据同步可视化呈现，如用“协作能量树”墙面展示家庭参与次数、社区资源激活率，激发持续投入的动力。</w:t>
      </w:r>
    </w:p>
    <w:p w14:paraId="619E59B3">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成果共享依托数字化平台实现多向互动。云端共享库收录家长上传的家庭美育案例（如阳台种植记录、节日民俗实践），教师将其转化为课程资源；微信公众号开设“行走瞬间”专栏，推送活动花絮与幼儿作品，家长可在线评论、投票支持，形成教育共同体。例如“藤蔓艺术创作”后，家长上传家庭藤蔓手工视频，激发更多创意灵感。</w:t>
      </w:r>
    </w:p>
    <w:p w14:paraId="694BBFDB">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0"/>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五、实施成效与反思</w:t>
      </w:r>
    </w:p>
    <w:p w14:paraId="26C813D9">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（一）实施成效</w:t>
      </w:r>
    </w:p>
    <w:p w14:paraId="04DB90E4">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default" w:cs="Times New Roman" w:asciiTheme="minorEastAsia" w:hAnsiTheme="minorEastAsia" w:eastAsiaTheme="minorEastAsia"/>
          <w:sz w:val="21"/>
          <w:szCs w:val="21"/>
          <w:lang w:val="en-US" w:eastAsia="zh-CN"/>
        </w:rPr>
      </w:pPr>
      <w:r>
        <w:rPr>
          <w:rFonts w:hint="default" w:cs="Times New Roman" w:asciiTheme="minorEastAsia" w:hAnsiTheme="minorEastAsia" w:eastAsiaTheme="minorEastAsia"/>
          <w:sz w:val="21"/>
          <w:szCs w:val="21"/>
          <w:lang w:val="en-US" w:eastAsia="zh-CN"/>
        </w:rPr>
        <w:t>经过两年</w:t>
      </w:r>
      <w:r>
        <w:rPr>
          <w:rFonts w:hint="eastAsia" w:cs="Times New Roman" w:asciiTheme="minorEastAsia" w:hAnsiTheme="minorEastAsia" w:eastAsiaTheme="minorEastAsia"/>
          <w:sz w:val="21"/>
          <w:szCs w:val="21"/>
          <w:lang w:val="en-US" w:eastAsia="zh-CN"/>
        </w:rPr>
        <w:t>多的</w:t>
      </w:r>
      <w:r>
        <w:rPr>
          <w:rFonts w:hint="default" w:cs="Times New Roman" w:asciiTheme="minorEastAsia" w:hAnsiTheme="minorEastAsia" w:eastAsiaTheme="minorEastAsia"/>
          <w:sz w:val="21"/>
          <w:szCs w:val="21"/>
          <w:lang w:val="en-US" w:eastAsia="zh-CN"/>
        </w:rPr>
        <w:t>实践探索，</w:t>
      </w:r>
      <w:r>
        <w:rPr>
          <w:rFonts w:hint="eastAsia" w:cs="Times New Roman" w:asciiTheme="minorEastAsia" w:hAnsiTheme="minorEastAsia" w:eastAsiaTheme="minorEastAsia"/>
          <w:sz w:val="21"/>
          <w:szCs w:val="21"/>
          <w:lang w:val="en-US" w:eastAsia="zh-CN"/>
        </w:rPr>
        <w:t>上海徐汇实验幼儿园的“</w:t>
      </w:r>
      <w:r>
        <w:rPr>
          <w:rFonts w:hint="default" w:cs="Times New Roman" w:asciiTheme="minorEastAsia" w:hAnsiTheme="minorEastAsia" w:eastAsiaTheme="minorEastAsia"/>
          <w:sz w:val="21"/>
          <w:szCs w:val="21"/>
          <w:lang w:val="en-US" w:eastAsia="zh-CN"/>
        </w:rPr>
        <w:t>行走课堂”模式在家园共育与户外美育融合中取得多维成效，具体体现在幼儿能力、家庭参与、社区协作、教师发展及课程创新五</w:t>
      </w:r>
      <w:r>
        <w:rPr>
          <w:rFonts w:hint="eastAsia" w:cs="Times New Roman" w:asciiTheme="minorEastAsia" w:hAnsiTheme="minorEastAsia" w:eastAsiaTheme="minorEastAsia"/>
          <w:sz w:val="21"/>
          <w:szCs w:val="21"/>
          <w:lang w:val="en-US" w:eastAsia="zh-CN"/>
        </w:rPr>
        <w:t>个</w:t>
      </w:r>
      <w:r>
        <w:rPr>
          <w:rFonts w:hint="default" w:cs="Times New Roman" w:asciiTheme="minorEastAsia" w:hAnsiTheme="minorEastAsia" w:eastAsiaTheme="minorEastAsia"/>
          <w:sz w:val="21"/>
          <w:szCs w:val="21"/>
          <w:lang w:val="en-US" w:eastAsia="zh-CN"/>
        </w:rPr>
        <w:t>维度。</w:t>
      </w:r>
    </w:p>
    <w:p w14:paraId="2A20D652">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1</w:t>
      </w:r>
      <w:r>
        <w:rPr>
          <w:rFonts w:hint="eastAsia" w:cs="Times New Roman" w:asciiTheme="minorEastAsia" w:hAnsiTheme="minorEastAsia" w:eastAsiaTheme="minorEastAsia"/>
          <w:b/>
          <w:bCs/>
          <w:sz w:val="21"/>
          <w:szCs w:val="21"/>
          <w:lang w:val="en-US" w:eastAsia="zh-CN"/>
        </w:rPr>
        <w:t>.幼儿审美素养与综合能力的全面提升</w:t>
      </w:r>
    </w:p>
    <w:p w14:paraId="0C20EFD4">
      <w:pPr>
        <w:pageBreakBefore w:val="0"/>
        <w:kinsoku/>
        <w:wordWrap/>
        <w:overflowPunct/>
        <w:topLinePunct w:val="0"/>
        <w:autoSpaceDE/>
        <w:autoSpaceDN/>
        <w:bidi w:val="0"/>
        <w:adjustRightInd/>
        <w:snapToGrid/>
        <w:spacing w:line="400" w:lineRule="exact"/>
        <w:ind w:firstLine="422" w:firstLineChars="200"/>
        <w:jc w:val="center"/>
        <w:rPr>
          <w:rFonts w:hint="default" w:cstheme="minorBidi"/>
          <w:b/>
          <w:bCs/>
          <w:color w:val="FF0000"/>
          <w:kern w:val="2"/>
          <w:sz w:val="21"/>
          <w:szCs w:val="21"/>
          <w:lang w:val="en-US" w:eastAsia="zh-CN" w:bidi="ar-SA"/>
        </w:rPr>
      </w:pPr>
      <w:r>
        <w:rPr>
          <w:rFonts w:hint="eastAsia" w:cstheme="minorBidi"/>
          <w:b/>
          <w:bCs/>
          <w:kern w:val="2"/>
          <w:sz w:val="21"/>
          <w:szCs w:val="21"/>
          <w:lang w:val="en-US" w:eastAsia="zh-CN" w:bidi="ar-SA"/>
        </w:rPr>
        <w:t>表</w:t>
      </w:r>
      <w:r>
        <w:rPr>
          <w:rFonts w:hint="default" w:cstheme="minorBidi"/>
          <w:b/>
          <w:bCs/>
          <w:kern w:val="2"/>
          <w:sz w:val="21"/>
          <w:szCs w:val="21"/>
          <w:lang w:val="en-US" w:eastAsia="zh-CN" w:bidi="ar-SA"/>
        </w:rPr>
        <w:t xml:space="preserve"> </w:t>
      </w:r>
      <w:r>
        <w:rPr>
          <w:rFonts w:hint="eastAsia" w:cstheme="minorBidi"/>
          <w:b/>
          <w:bCs/>
          <w:kern w:val="2"/>
          <w:sz w:val="21"/>
          <w:szCs w:val="21"/>
          <w:lang w:val="en-US" w:eastAsia="zh-CN" w:bidi="ar-SA"/>
        </w:rPr>
        <w:t>5</w:t>
      </w:r>
      <w:r>
        <w:rPr>
          <w:rFonts w:hint="default" w:cstheme="minorBidi"/>
          <w:b/>
          <w:bCs/>
          <w:kern w:val="2"/>
          <w:sz w:val="21"/>
          <w:szCs w:val="21"/>
          <w:lang w:val="en-US" w:eastAsia="zh-CN" w:bidi="ar-SA"/>
        </w:rPr>
        <w:t>-</w:t>
      </w:r>
      <w:r>
        <w:rPr>
          <w:rFonts w:hint="eastAsia" w:cstheme="minorBidi"/>
          <w:b/>
          <w:bCs/>
          <w:kern w:val="2"/>
          <w:sz w:val="21"/>
          <w:szCs w:val="21"/>
          <w:lang w:val="en-US" w:eastAsia="zh-CN" w:bidi="ar-SA"/>
        </w:rPr>
        <w:t>1 幼儿审美素养与综合能力提升对比</w:t>
      </w:r>
    </w:p>
    <w:tbl>
      <w:tblPr>
        <w:tblStyle w:val="10"/>
        <w:tblW w:w="0" w:type="auto"/>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3"/>
        <w:gridCol w:w="1812"/>
        <w:gridCol w:w="1716"/>
        <w:gridCol w:w="1176"/>
        <w:gridCol w:w="1705"/>
      </w:tblGrid>
      <w:tr w14:paraId="1E5BF30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13" w:type="dxa"/>
            <w:tcBorders>
              <w:bottom w:val="single" w:color="000000" w:sz="8" w:space="0"/>
              <w:tl2br w:val="nil"/>
              <w:tr2bl w:val="nil"/>
            </w:tcBorders>
          </w:tcPr>
          <w:p w14:paraId="4246529C">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评价指标</w:t>
            </w:r>
          </w:p>
        </w:tc>
        <w:tc>
          <w:tcPr>
            <w:tcW w:w="1812" w:type="dxa"/>
            <w:tcBorders>
              <w:bottom w:val="single" w:color="000000" w:sz="8" w:space="0"/>
              <w:tl2br w:val="nil"/>
              <w:tr2bl w:val="nil"/>
            </w:tcBorders>
          </w:tcPr>
          <w:p w14:paraId="6E1EA2DD">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实施前（202</w:t>
            </w:r>
            <w:r>
              <w:rPr>
                <w:rFonts w:hint="default" w:cstheme="minorBidi"/>
                <w:kern w:val="2"/>
                <w:sz w:val="21"/>
                <w:szCs w:val="21"/>
                <w:lang w:val="en-US" w:eastAsia="zh-CN" w:bidi="ar-SA"/>
              </w:rPr>
              <w:t>3</w:t>
            </w:r>
            <w:r>
              <w:rPr>
                <w:rFonts w:hint="eastAsia" w:cstheme="minorBidi"/>
                <w:kern w:val="2"/>
                <w:sz w:val="21"/>
                <w:szCs w:val="21"/>
                <w:lang w:val="en-US" w:eastAsia="zh-CN" w:bidi="ar-SA"/>
              </w:rPr>
              <w:t>年）</w:t>
            </w:r>
          </w:p>
        </w:tc>
        <w:tc>
          <w:tcPr>
            <w:tcW w:w="1716" w:type="dxa"/>
            <w:tcBorders>
              <w:bottom w:val="single" w:color="000000" w:sz="8" w:space="0"/>
              <w:tl2br w:val="nil"/>
              <w:tr2bl w:val="nil"/>
            </w:tcBorders>
          </w:tcPr>
          <w:p w14:paraId="280CBE1D">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实施后（202</w:t>
            </w:r>
            <w:r>
              <w:rPr>
                <w:rFonts w:hint="default" w:cstheme="minorBidi"/>
                <w:kern w:val="2"/>
                <w:sz w:val="21"/>
                <w:szCs w:val="21"/>
                <w:lang w:val="en-US" w:eastAsia="zh-CN" w:bidi="ar-SA"/>
              </w:rPr>
              <w:t>5</w:t>
            </w:r>
            <w:r>
              <w:rPr>
                <w:rFonts w:hint="eastAsia" w:cstheme="minorBidi"/>
                <w:kern w:val="2"/>
                <w:sz w:val="21"/>
                <w:szCs w:val="21"/>
                <w:lang w:val="en-US" w:eastAsia="zh-CN" w:bidi="ar-SA"/>
              </w:rPr>
              <w:t>年）</w:t>
            </w:r>
          </w:p>
        </w:tc>
        <w:tc>
          <w:tcPr>
            <w:tcW w:w="1176" w:type="dxa"/>
            <w:tcBorders>
              <w:bottom w:val="single" w:color="000000" w:sz="8" w:space="0"/>
              <w:tl2br w:val="nil"/>
              <w:tr2bl w:val="nil"/>
            </w:tcBorders>
          </w:tcPr>
          <w:p w14:paraId="71E044AD">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提升幅度</w:t>
            </w:r>
          </w:p>
        </w:tc>
        <w:tc>
          <w:tcPr>
            <w:tcW w:w="1705" w:type="dxa"/>
            <w:tcBorders>
              <w:bottom w:val="single" w:color="000000" w:sz="8" w:space="0"/>
              <w:tl2br w:val="nil"/>
              <w:tr2bl w:val="nil"/>
            </w:tcBorders>
          </w:tcPr>
          <w:p w14:paraId="5C549A75">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数据来源</w:t>
            </w:r>
          </w:p>
        </w:tc>
      </w:tr>
      <w:tr w14:paraId="693EF2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13" w:type="dxa"/>
            <w:tcBorders>
              <w:top w:val="single" w:color="000000" w:sz="8" w:space="0"/>
              <w:tl2br w:val="nil"/>
              <w:tr2bl w:val="nil"/>
            </w:tcBorders>
          </w:tcPr>
          <w:p w14:paraId="63FE00FE">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自然观察描述能力</w:t>
            </w:r>
          </w:p>
        </w:tc>
        <w:tc>
          <w:tcPr>
            <w:tcW w:w="1812" w:type="dxa"/>
            <w:tcBorders>
              <w:top w:val="single" w:color="000000" w:sz="8" w:space="0"/>
              <w:tl2br w:val="nil"/>
              <w:tr2bl w:val="nil"/>
            </w:tcBorders>
          </w:tcPr>
          <w:p w14:paraId="47BF6E1E">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58%</w:t>
            </w:r>
          </w:p>
        </w:tc>
        <w:tc>
          <w:tcPr>
            <w:tcW w:w="1716" w:type="dxa"/>
            <w:tcBorders>
              <w:top w:val="single" w:color="000000" w:sz="8" w:space="0"/>
              <w:tl2br w:val="nil"/>
              <w:tr2bl w:val="nil"/>
            </w:tcBorders>
          </w:tcPr>
          <w:p w14:paraId="3453A0A9">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89%</w:t>
            </w:r>
          </w:p>
        </w:tc>
        <w:tc>
          <w:tcPr>
            <w:tcW w:w="1176" w:type="dxa"/>
            <w:tcBorders>
              <w:top w:val="single" w:color="000000" w:sz="8" w:space="0"/>
              <w:tl2br w:val="nil"/>
              <w:tr2bl w:val="nil"/>
            </w:tcBorders>
          </w:tcPr>
          <w:p w14:paraId="645A6393">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+31%</w:t>
            </w:r>
          </w:p>
        </w:tc>
        <w:tc>
          <w:tcPr>
            <w:tcW w:w="1705" w:type="dxa"/>
            <w:tcBorders>
              <w:top w:val="single" w:color="000000" w:sz="8" w:space="0"/>
              <w:tl2br w:val="nil"/>
              <w:tr2bl w:val="nil"/>
            </w:tcBorders>
          </w:tcPr>
          <w:p w14:paraId="6FAF8319">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问卷、作品档案</w:t>
            </w:r>
          </w:p>
        </w:tc>
      </w:tr>
      <w:tr w14:paraId="5C9DA97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13" w:type="dxa"/>
            <w:tcBorders>
              <w:tl2br w:val="nil"/>
              <w:tr2bl w:val="nil"/>
            </w:tcBorders>
          </w:tcPr>
          <w:p w14:paraId="35CA5A97">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艺术创作自主性</w:t>
            </w:r>
          </w:p>
        </w:tc>
        <w:tc>
          <w:tcPr>
            <w:tcW w:w="1812" w:type="dxa"/>
            <w:tcBorders>
              <w:tl2br w:val="nil"/>
              <w:tr2bl w:val="nil"/>
            </w:tcBorders>
          </w:tcPr>
          <w:p w14:paraId="22C390E6">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47%</w:t>
            </w:r>
          </w:p>
        </w:tc>
        <w:tc>
          <w:tcPr>
            <w:tcW w:w="1716" w:type="dxa"/>
            <w:tcBorders>
              <w:tl2br w:val="nil"/>
              <w:tr2bl w:val="nil"/>
            </w:tcBorders>
          </w:tcPr>
          <w:p w14:paraId="014B047A">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82%</w:t>
            </w:r>
          </w:p>
        </w:tc>
        <w:tc>
          <w:tcPr>
            <w:tcW w:w="1176" w:type="dxa"/>
            <w:tcBorders>
              <w:tl2br w:val="nil"/>
              <w:tr2bl w:val="nil"/>
            </w:tcBorders>
          </w:tcPr>
          <w:p w14:paraId="3B85DA1F">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+35%</w:t>
            </w:r>
          </w:p>
        </w:tc>
        <w:tc>
          <w:tcPr>
            <w:tcW w:w="1705" w:type="dxa"/>
            <w:tcBorders>
              <w:tl2br w:val="nil"/>
              <w:tr2bl w:val="nil"/>
            </w:tcBorders>
          </w:tcPr>
          <w:p w14:paraId="63615DAE">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教师评价记录</w:t>
            </w:r>
          </w:p>
        </w:tc>
      </w:tr>
      <w:tr w14:paraId="19A19D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13" w:type="dxa"/>
            <w:tcBorders>
              <w:tl2br w:val="nil"/>
              <w:tr2bl w:val="nil"/>
            </w:tcBorders>
          </w:tcPr>
          <w:p w14:paraId="26AC6EF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社会协作效率</w:t>
            </w:r>
          </w:p>
        </w:tc>
        <w:tc>
          <w:tcPr>
            <w:tcW w:w="1812" w:type="dxa"/>
            <w:tcBorders>
              <w:tl2br w:val="nil"/>
              <w:tr2bl w:val="nil"/>
            </w:tcBorders>
          </w:tcPr>
          <w:p w14:paraId="50D788D9">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52%</w:t>
            </w:r>
          </w:p>
        </w:tc>
        <w:tc>
          <w:tcPr>
            <w:tcW w:w="1716" w:type="dxa"/>
            <w:tcBorders>
              <w:tl2br w:val="nil"/>
              <w:tr2bl w:val="nil"/>
            </w:tcBorders>
          </w:tcPr>
          <w:p w14:paraId="5F42B5F6">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78%</w:t>
            </w:r>
          </w:p>
        </w:tc>
        <w:tc>
          <w:tcPr>
            <w:tcW w:w="1176" w:type="dxa"/>
            <w:tcBorders>
              <w:tl2br w:val="nil"/>
              <w:tr2bl w:val="nil"/>
            </w:tcBorders>
          </w:tcPr>
          <w:p w14:paraId="5E755EEC">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+26%</w:t>
            </w:r>
          </w:p>
        </w:tc>
        <w:tc>
          <w:tcPr>
            <w:tcW w:w="1705" w:type="dxa"/>
            <w:tcBorders>
              <w:tl2br w:val="nil"/>
              <w:tr2bl w:val="nil"/>
            </w:tcBorders>
          </w:tcPr>
          <w:p w14:paraId="5FD6FB20">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活动观察日志</w:t>
            </w:r>
          </w:p>
        </w:tc>
      </w:tr>
      <w:tr w14:paraId="56BFBF9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13" w:type="dxa"/>
            <w:tcBorders>
              <w:tl2br w:val="nil"/>
              <w:tr2bl w:val="nil"/>
            </w:tcBorders>
          </w:tcPr>
          <w:p w14:paraId="5E22FD27">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跨学科问题解决能力</w:t>
            </w:r>
          </w:p>
        </w:tc>
        <w:tc>
          <w:tcPr>
            <w:tcW w:w="1812" w:type="dxa"/>
            <w:tcBorders>
              <w:tl2br w:val="nil"/>
              <w:tr2bl w:val="nil"/>
            </w:tcBorders>
          </w:tcPr>
          <w:p w14:paraId="4F40BD68">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38%</w:t>
            </w:r>
          </w:p>
        </w:tc>
        <w:tc>
          <w:tcPr>
            <w:tcW w:w="1716" w:type="dxa"/>
            <w:tcBorders>
              <w:tl2br w:val="nil"/>
              <w:tr2bl w:val="nil"/>
            </w:tcBorders>
          </w:tcPr>
          <w:p w14:paraId="483AAC68">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65%</w:t>
            </w:r>
          </w:p>
        </w:tc>
        <w:tc>
          <w:tcPr>
            <w:tcW w:w="1176" w:type="dxa"/>
            <w:tcBorders>
              <w:tl2br w:val="nil"/>
              <w:tr2bl w:val="nil"/>
            </w:tcBorders>
          </w:tcPr>
          <w:p w14:paraId="04E285F7">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+27%</w:t>
            </w:r>
          </w:p>
        </w:tc>
        <w:tc>
          <w:tcPr>
            <w:tcW w:w="1705" w:type="dxa"/>
            <w:tcBorders>
              <w:tl2br w:val="nil"/>
              <w:tr2bl w:val="nil"/>
            </w:tcBorders>
          </w:tcPr>
          <w:p w14:paraId="56CEE015">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学习成果分析</w:t>
            </w:r>
          </w:p>
        </w:tc>
      </w:tr>
    </w:tbl>
    <w:p w14:paraId="52C4889B">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从表</w:t>
      </w:r>
      <w:r>
        <w:rPr>
          <w:rFonts w:hint="default" w:cs="Times New Roman" w:asciiTheme="minorEastAsia" w:hAnsiTheme="minorEastAsia" w:eastAsiaTheme="minorEastAsia"/>
          <w:sz w:val="21"/>
          <w:szCs w:val="21"/>
          <w:lang w:val="en-US" w:eastAsia="zh-CN"/>
        </w:rPr>
        <w:t>7-1</w:t>
      </w:r>
      <w:r>
        <w:rPr>
          <w:rFonts w:hint="eastAsia" w:cs="Times New Roman" w:asciiTheme="minorEastAsia" w:hAnsiTheme="minorEastAsia" w:eastAsiaTheme="minorEastAsia"/>
          <w:sz w:val="21"/>
          <w:szCs w:val="21"/>
          <w:lang w:val="en-US" w:eastAsia="zh-CN"/>
        </w:rPr>
        <w:t>可以看出，幼儿审美感知与表达能力显著增强。89%的家长反馈孩子能主动用生活化语言描述自然与艺术细节，例如中班幼儿在滨江写生中形容“江水的皱纹像老爷爷的额头”“大楼的玻璃像亮晶晶的糖纸”。在“制作海洋问题计划书”项目中，大班幼儿团队合作完成海洋环保装置设计，提出“减少塑料污染”“保护珊瑚礁”等方案，创作自主性提升35%。社会性协作能力通过真实任务显著改善，如“昆虫旅馆”项目中，幼儿分组测量、搭建与装饰，冲突解决效率从52%提升至78%，教师记录显示：“孩子们学会用‘猜拳表决’‘轮流发言’化解争执，无需成人干预。”</w:t>
      </w:r>
    </w:p>
    <w:p w14:paraId="20C35316">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textAlignment w:val="auto"/>
        <w:rPr>
          <w:rFonts w:hint="eastAsia" w:cs="Times New Roman" w:asciiTheme="minorEastAsia" w:hAnsiTheme="minorEastAsia" w:eastAsiaTheme="minorEastAsia"/>
          <w:sz w:val="21"/>
          <w:szCs w:val="21"/>
          <w:lang w:val="en-US" w:eastAsia="zh-CN"/>
        </w:rPr>
      </w:pPr>
    </w:p>
    <w:p w14:paraId="7BDD54B4">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b/>
          <w:bCs/>
          <w:sz w:val="21"/>
          <w:szCs w:val="21"/>
          <w:lang w:val="en-US" w:eastAsia="zh-CN"/>
        </w:rPr>
        <w:t>2. 教师专业能力的进阶发展</w:t>
      </w:r>
    </w:p>
    <w:p w14:paraId="27B62469">
      <w:pPr>
        <w:pageBreakBefore w:val="0"/>
        <w:kinsoku/>
        <w:wordWrap/>
        <w:overflowPunct/>
        <w:topLinePunct w:val="0"/>
        <w:autoSpaceDE/>
        <w:autoSpaceDN/>
        <w:bidi w:val="0"/>
        <w:adjustRightInd/>
        <w:snapToGrid/>
        <w:spacing w:line="400" w:lineRule="exact"/>
        <w:ind w:firstLine="420" w:firstLineChars="200"/>
        <w:jc w:val="center"/>
        <w:rPr>
          <w:rFonts w:hint="default" w:cstheme="minorBidi"/>
          <w:kern w:val="2"/>
          <w:sz w:val="21"/>
          <w:szCs w:val="21"/>
          <w:lang w:val="en-US" w:eastAsia="zh-CN" w:bidi="ar-SA"/>
        </w:rPr>
      </w:pPr>
    </w:p>
    <w:p w14:paraId="45DCEE07">
      <w:pPr>
        <w:pageBreakBefore w:val="0"/>
        <w:kinsoku/>
        <w:wordWrap/>
        <w:overflowPunct/>
        <w:topLinePunct w:val="0"/>
        <w:autoSpaceDE/>
        <w:autoSpaceDN/>
        <w:bidi w:val="0"/>
        <w:adjustRightInd/>
        <w:snapToGrid/>
        <w:spacing w:line="400" w:lineRule="exact"/>
        <w:ind w:firstLine="420" w:firstLineChars="200"/>
        <w:jc w:val="center"/>
        <w:rPr>
          <w:rFonts w:hint="default" w:cstheme="minorBidi"/>
          <w:kern w:val="2"/>
          <w:sz w:val="21"/>
          <w:szCs w:val="21"/>
          <w:lang w:val="en-US" w:eastAsia="zh-CN" w:bidi="ar-SA"/>
        </w:rPr>
      </w:pPr>
    </w:p>
    <w:p w14:paraId="1FB9CBFF">
      <w:pPr>
        <w:pageBreakBefore w:val="0"/>
        <w:kinsoku/>
        <w:wordWrap/>
        <w:overflowPunct/>
        <w:topLinePunct w:val="0"/>
        <w:autoSpaceDE/>
        <w:autoSpaceDN/>
        <w:bidi w:val="0"/>
        <w:adjustRightInd/>
        <w:snapToGrid/>
        <w:spacing w:line="400" w:lineRule="exact"/>
        <w:ind w:firstLine="420" w:firstLineChars="200"/>
        <w:jc w:val="center"/>
        <w:rPr>
          <w:rFonts w:hint="default" w:cstheme="minorBidi"/>
          <w:kern w:val="2"/>
          <w:sz w:val="21"/>
          <w:szCs w:val="21"/>
          <w:lang w:val="en-US" w:eastAsia="zh-CN" w:bidi="ar-SA"/>
        </w:rPr>
      </w:pPr>
    </w:p>
    <w:p w14:paraId="362A5DE2">
      <w:pPr>
        <w:pageBreakBefore w:val="0"/>
        <w:kinsoku/>
        <w:wordWrap/>
        <w:overflowPunct/>
        <w:topLinePunct w:val="0"/>
        <w:autoSpaceDE/>
        <w:autoSpaceDN/>
        <w:bidi w:val="0"/>
        <w:adjustRightInd/>
        <w:snapToGrid/>
        <w:spacing w:line="400" w:lineRule="exact"/>
        <w:ind w:firstLine="420" w:firstLineChars="200"/>
        <w:jc w:val="center"/>
        <w:rPr>
          <w:rFonts w:hint="default" w:cstheme="minorBidi"/>
          <w:kern w:val="2"/>
          <w:sz w:val="21"/>
          <w:szCs w:val="21"/>
          <w:lang w:val="en-US" w:eastAsia="zh-CN" w:bidi="ar-SA"/>
        </w:rPr>
      </w:pPr>
    </w:p>
    <w:p w14:paraId="2B72B5D3">
      <w:pPr>
        <w:pageBreakBefore w:val="0"/>
        <w:kinsoku/>
        <w:wordWrap/>
        <w:overflowPunct/>
        <w:topLinePunct w:val="0"/>
        <w:autoSpaceDE/>
        <w:autoSpaceDN/>
        <w:bidi w:val="0"/>
        <w:adjustRightInd/>
        <w:snapToGrid/>
        <w:spacing w:line="400" w:lineRule="exact"/>
        <w:ind w:firstLine="422" w:firstLineChars="200"/>
        <w:jc w:val="center"/>
        <w:rPr>
          <w:rFonts w:hint="default" w:cstheme="minorBidi"/>
          <w:b/>
          <w:bCs/>
          <w:kern w:val="2"/>
          <w:sz w:val="24"/>
          <w:szCs w:val="24"/>
          <w:lang w:val="en-US" w:eastAsia="zh-CN" w:bidi="ar-SA"/>
        </w:rPr>
      </w:pPr>
      <w:r>
        <w:rPr>
          <w:rFonts w:hint="default" w:cstheme="minorBidi"/>
          <w:b/>
          <w:bCs/>
          <w:kern w:val="2"/>
          <w:sz w:val="21"/>
          <w:szCs w:val="21"/>
          <w:lang w:val="en-US" w:eastAsia="zh-CN" w:bidi="ar-SA"/>
        </w:rPr>
        <w:t>表</w:t>
      </w:r>
      <w:r>
        <w:rPr>
          <w:rFonts w:hint="eastAsia" w:cstheme="minorBidi"/>
          <w:b/>
          <w:bCs/>
          <w:kern w:val="2"/>
          <w:sz w:val="21"/>
          <w:szCs w:val="21"/>
          <w:lang w:val="en-US" w:eastAsia="zh-CN" w:bidi="ar-SA"/>
        </w:rPr>
        <w:t>5</w:t>
      </w:r>
      <w:r>
        <w:rPr>
          <w:rFonts w:hint="default" w:cstheme="minorBidi"/>
          <w:b/>
          <w:bCs/>
          <w:kern w:val="2"/>
          <w:sz w:val="21"/>
          <w:szCs w:val="21"/>
          <w:lang w:val="en-US" w:eastAsia="zh-CN" w:bidi="ar-SA"/>
        </w:rPr>
        <w:t>-2 教师专业能力与课程创新对比</w:t>
      </w:r>
    </w:p>
    <w:tbl>
      <w:tblPr>
        <w:tblStyle w:val="10"/>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45"/>
        <w:gridCol w:w="1716"/>
        <w:gridCol w:w="1956"/>
        <w:gridCol w:w="1224"/>
        <w:gridCol w:w="1381"/>
      </w:tblGrid>
      <w:tr w14:paraId="4D2ED38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45" w:type="dxa"/>
            <w:tcBorders>
              <w:bottom w:val="single" w:color="000000" w:sz="8" w:space="0"/>
              <w:tl2br w:val="nil"/>
              <w:tr2bl w:val="nil"/>
            </w:tcBorders>
          </w:tcPr>
          <w:p w14:paraId="2985CC20">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评价指标</w:t>
            </w:r>
          </w:p>
        </w:tc>
        <w:tc>
          <w:tcPr>
            <w:tcW w:w="1716" w:type="dxa"/>
            <w:tcBorders>
              <w:bottom w:val="single" w:color="000000" w:sz="8" w:space="0"/>
              <w:tl2br w:val="nil"/>
              <w:tr2bl w:val="nil"/>
            </w:tcBorders>
          </w:tcPr>
          <w:p w14:paraId="30EF6585">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实施前（2023年）</w:t>
            </w:r>
          </w:p>
        </w:tc>
        <w:tc>
          <w:tcPr>
            <w:tcW w:w="1956" w:type="dxa"/>
            <w:tcBorders>
              <w:bottom w:val="single" w:color="000000" w:sz="8" w:space="0"/>
              <w:tl2br w:val="nil"/>
              <w:tr2bl w:val="nil"/>
            </w:tcBorders>
          </w:tcPr>
          <w:p w14:paraId="545A4AF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实施后（2025年）</w:t>
            </w:r>
          </w:p>
        </w:tc>
        <w:tc>
          <w:tcPr>
            <w:tcW w:w="1224" w:type="dxa"/>
            <w:tcBorders>
              <w:bottom w:val="single" w:color="000000" w:sz="8" w:space="0"/>
              <w:tl2br w:val="nil"/>
              <w:tr2bl w:val="nil"/>
            </w:tcBorders>
          </w:tcPr>
          <w:p w14:paraId="152599C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提升幅度</w:t>
            </w:r>
          </w:p>
        </w:tc>
        <w:tc>
          <w:tcPr>
            <w:tcW w:w="1381" w:type="dxa"/>
            <w:tcBorders>
              <w:bottom w:val="single" w:color="000000" w:sz="8" w:space="0"/>
              <w:tl2br w:val="nil"/>
              <w:tr2bl w:val="nil"/>
            </w:tcBorders>
          </w:tcPr>
          <w:p w14:paraId="4F46F4CE">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数据来源</w:t>
            </w:r>
          </w:p>
        </w:tc>
      </w:tr>
      <w:tr w14:paraId="13D593D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45" w:type="dxa"/>
            <w:tcBorders>
              <w:top w:val="single" w:color="000000" w:sz="8" w:space="0"/>
              <w:tl2br w:val="nil"/>
              <w:tr2bl w:val="nil"/>
            </w:tcBorders>
          </w:tcPr>
          <w:p w14:paraId="0E5EBB12">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教师原创课程占比</w:t>
            </w:r>
          </w:p>
        </w:tc>
        <w:tc>
          <w:tcPr>
            <w:tcW w:w="1716" w:type="dxa"/>
            <w:tcBorders>
              <w:top w:val="single" w:color="000000" w:sz="8" w:space="0"/>
              <w:tl2br w:val="nil"/>
              <w:tr2bl w:val="nil"/>
            </w:tcBorders>
          </w:tcPr>
          <w:p w14:paraId="5FFE060E">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35%</w:t>
            </w:r>
          </w:p>
        </w:tc>
        <w:tc>
          <w:tcPr>
            <w:tcW w:w="1956" w:type="dxa"/>
            <w:tcBorders>
              <w:top w:val="single" w:color="000000" w:sz="8" w:space="0"/>
              <w:tl2br w:val="nil"/>
              <w:tr2bl w:val="nil"/>
            </w:tcBorders>
          </w:tcPr>
          <w:p w14:paraId="75D19914">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80%</w:t>
            </w:r>
          </w:p>
        </w:tc>
        <w:tc>
          <w:tcPr>
            <w:tcW w:w="1224" w:type="dxa"/>
            <w:tcBorders>
              <w:top w:val="single" w:color="000000" w:sz="8" w:space="0"/>
              <w:tl2br w:val="nil"/>
              <w:tr2bl w:val="nil"/>
            </w:tcBorders>
          </w:tcPr>
          <w:p w14:paraId="1BAEA117">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+45%</w:t>
            </w:r>
          </w:p>
        </w:tc>
        <w:tc>
          <w:tcPr>
            <w:tcW w:w="1381" w:type="dxa"/>
            <w:tcBorders>
              <w:top w:val="single" w:color="000000" w:sz="8" w:space="0"/>
              <w:tl2br w:val="nil"/>
              <w:tr2bl w:val="nil"/>
            </w:tcBorders>
          </w:tcPr>
          <w:p w14:paraId="76C76FAA">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园本教案库</w:t>
            </w:r>
          </w:p>
        </w:tc>
      </w:tr>
      <w:tr w14:paraId="7BCE7B3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45" w:type="dxa"/>
            <w:tcBorders>
              <w:tl2br w:val="nil"/>
              <w:tr2bl w:val="nil"/>
            </w:tcBorders>
          </w:tcPr>
          <w:p w14:paraId="7CAFBEE3">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资源转化能力达标率</w:t>
            </w:r>
          </w:p>
        </w:tc>
        <w:tc>
          <w:tcPr>
            <w:tcW w:w="1716" w:type="dxa"/>
            <w:tcBorders>
              <w:tl2br w:val="nil"/>
              <w:tr2bl w:val="nil"/>
            </w:tcBorders>
          </w:tcPr>
          <w:p w14:paraId="4F088F7F">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50%</w:t>
            </w:r>
          </w:p>
        </w:tc>
        <w:tc>
          <w:tcPr>
            <w:tcW w:w="1956" w:type="dxa"/>
            <w:tcBorders>
              <w:tl2br w:val="nil"/>
              <w:tr2bl w:val="nil"/>
            </w:tcBorders>
          </w:tcPr>
          <w:p w14:paraId="6125A491">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92%</w:t>
            </w:r>
          </w:p>
        </w:tc>
        <w:tc>
          <w:tcPr>
            <w:tcW w:w="1224" w:type="dxa"/>
            <w:tcBorders>
              <w:tl2br w:val="nil"/>
              <w:tr2bl w:val="nil"/>
            </w:tcBorders>
          </w:tcPr>
          <w:p w14:paraId="536FB370">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+42%</w:t>
            </w:r>
          </w:p>
        </w:tc>
        <w:tc>
          <w:tcPr>
            <w:tcW w:w="1381" w:type="dxa"/>
            <w:tcBorders>
              <w:tl2br w:val="nil"/>
              <w:tr2bl w:val="nil"/>
            </w:tcBorders>
          </w:tcPr>
          <w:p w14:paraId="66F9E36F">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教研评估</w:t>
            </w:r>
          </w:p>
        </w:tc>
      </w:tr>
      <w:tr w14:paraId="41D7B18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45" w:type="dxa"/>
            <w:tcBorders>
              <w:tl2br w:val="nil"/>
              <w:tr2bl w:val="nil"/>
            </w:tcBorders>
          </w:tcPr>
          <w:p w14:paraId="336DD76A">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跨学科课程开发数</w:t>
            </w:r>
          </w:p>
        </w:tc>
        <w:tc>
          <w:tcPr>
            <w:tcW w:w="1716" w:type="dxa"/>
            <w:tcBorders>
              <w:tl2br w:val="nil"/>
              <w:tr2bl w:val="nil"/>
            </w:tcBorders>
          </w:tcPr>
          <w:p w14:paraId="68CA7561">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4门/年</w:t>
            </w:r>
          </w:p>
        </w:tc>
        <w:tc>
          <w:tcPr>
            <w:tcW w:w="1956" w:type="dxa"/>
            <w:tcBorders>
              <w:tl2br w:val="nil"/>
              <w:tr2bl w:val="nil"/>
            </w:tcBorders>
          </w:tcPr>
          <w:p w14:paraId="3536B3E4">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default" w:cstheme="minorBidi"/>
                <w:kern w:val="2"/>
                <w:sz w:val="21"/>
                <w:szCs w:val="21"/>
                <w:lang w:val="en-US" w:eastAsia="zh-CN" w:bidi="ar-SA"/>
              </w:rPr>
              <w:t>18门/年</w:t>
            </w:r>
          </w:p>
        </w:tc>
        <w:tc>
          <w:tcPr>
            <w:tcW w:w="1224" w:type="dxa"/>
            <w:tcBorders>
              <w:tl2br w:val="nil"/>
              <w:tr2bl w:val="nil"/>
            </w:tcBorders>
          </w:tcPr>
          <w:p w14:paraId="4C8A4D1A">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+350%</w:t>
            </w:r>
          </w:p>
        </w:tc>
        <w:tc>
          <w:tcPr>
            <w:tcW w:w="1381" w:type="dxa"/>
            <w:tcBorders>
              <w:tl2br w:val="nil"/>
              <w:tr2bl w:val="nil"/>
            </w:tcBorders>
          </w:tcPr>
          <w:p w14:paraId="4E00837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cstheme="minorBidi"/>
                <w:kern w:val="2"/>
                <w:sz w:val="21"/>
                <w:szCs w:val="21"/>
                <w:lang w:val="en-US" w:eastAsia="zh-CN" w:bidi="ar-SA"/>
              </w:rPr>
              <w:t>课程清单</w:t>
            </w:r>
          </w:p>
        </w:tc>
      </w:tr>
      <w:tr w14:paraId="4EC7BF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245" w:type="dxa"/>
            <w:tcBorders>
              <w:tl2br w:val="nil"/>
              <w:tr2bl w:val="nil"/>
            </w:tcBorders>
          </w:tcPr>
          <w:p w14:paraId="3CF208DD">
            <w:pPr>
              <w:pageBreakBefore w:val="0"/>
              <w:kinsoku/>
              <w:wordWrap/>
              <w:overflowPunct/>
              <w:topLinePunct w:val="0"/>
              <w:autoSpaceDE/>
              <w:autoSpaceDN/>
              <w:bidi w:val="0"/>
              <w:adjustRightInd/>
              <w:snapToGrid/>
              <w:spacing w:line="400" w:lineRule="exact"/>
              <w:ind w:left="0" w:leftChars="0" w:firstLine="0" w:firstLineChars="0"/>
              <w:jc w:val="both"/>
              <w:rPr>
                <w:rFonts w:hint="default" w:cstheme="minorBidi"/>
                <w:kern w:val="2"/>
                <w:sz w:val="21"/>
                <w:szCs w:val="21"/>
                <w:lang w:val="en-US" w:eastAsia="zh-CN" w:bidi="ar-SA"/>
              </w:rPr>
            </w:pPr>
            <w:r>
              <w:rPr>
                <w:rFonts w:hint="default" w:cstheme="minorBidi"/>
                <w:kern w:val="2"/>
                <w:sz w:val="21"/>
                <w:szCs w:val="21"/>
                <w:lang w:val="en-US" w:eastAsia="zh-CN" w:bidi="ar-SA"/>
              </w:rPr>
              <w:t>自主生成游戏比例</w:t>
            </w:r>
          </w:p>
        </w:tc>
        <w:tc>
          <w:tcPr>
            <w:tcW w:w="1716" w:type="dxa"/>
            <w:tcBorders>
              <w:tl2br w:val="nil"/>
              <w:tr2bl w:val="nil"/>
            </w:tcBorders>
          </w:tcPr>
          <w:p w14:paraId="06A05F17">
            <w:pPr>
              <w:pageBreakBefore w:val="0"/>
              <w:kinsoku/>
              <w:wordWrap/>
              <w:overflowPunct/>
              <w:topLinePunct w:val="0"/>
              <w:autoSpaceDE/>
              <w:autoSpaceDN/>
              <w:bidi w:val="0"/>
              <w:adjustRightInd/>
              <w:snapToGrid/>
              <w:spacing w:line="400" w:lineRule="exact"/>
              <w:ind w:firstLine="420" w:firstLineChars="200"/>
              <w:jc w:val="both"/>
              <w:rPr>
                <w:rFonts w:hint="default" w:cstheme="minorBidi"/>
                <w:kern w:val="2"/>
                <w:sz w:val="21"/>
                <w:szCs w:val="21"/>
                <w:lang w:val="en-US" w:eastAsia="zh-CN" w:bidi="ar-SA"/>
              </w:rPr>
            </w:pPr>
            <w:r>
              <w:rPr>
                <w:rFonts w:hint="default" w:cstheme="minorBidi"/>
                <w:kern w:val="2"/>
                <w:sz w:val="21"/>
                <w:szCs w:val="21"/>
                <w:lang w:val="en-US" w:eastAsia="zh-CN" w:bidi="ar-SA"/>
              </w:rPr>
              <w:t>28%</w:t>
            </w:r>
          </w:p>
        </w:tc>
        <w:tc>
          <w:tcPr>
            <w:tcW w:w="1956" w:type="dxa"/>
            <w:tcBorders>
              <w:tl2br w:val="nil"/>
              <w:tr2bl w:val="nil"/>
            </w:tcBorders>
          </w:tcPr>
          <w:p w14:paraId="3C14CFD5">
            <w:pPr>
              <w:pageBreakBefore w:val="0"/>
              <w:kinsoku/>
              <w:wordWrap/>
              <w:overflowPunct/>
              <w:topLinePunct w:val="0"/>
              <w:autoSpaceDE/>
              <w:autoSpaceDN/>
              <w:bidi w:val="0"/>
              <w:adjustRightInd/>
              <w:snapToGrid/>
              <w:spacing w:line="400" w:lineRule="exact"/>
              <w:ind w:firstLine="420" w:firstLineChars="200"/>
              <w:jc w:val="both"/>
              <w:rPr>
                <w:rFonts w:hint="default" w:cstheme="minorBidi"/>
                <w:kern w:val="2"/>
                <w:sz w:val="21"/>
                <w:szCs w:val="21"/>
                <w:lang w:val="en-US" w:eastAsia="zh-CN" w:bidi="ar-SA"/>
              </w:rPr>
            </w:pPr>
            <w:r>
              <w:rPr>
                <w:rFonts w:hint="default" w:cstheme="minorBidi"/>
                <w:kern w:val="2"/>
                <w:sz w:val="21"/>
                <w:szCs w:val="21"/>
                <w:lang w:val="en-US" w:eastAsia="zh-CN" w:bidi="ar-SA"/>
              </w:rPr>
              <w:t>65%</w:t>
            </w:r>
          </w:p>
        </w:tc>
        <w:tc>
          <w:tcPr>
            <w:tcW w:w="1224" w:type="dxa"/>
            <w:tcBorders>
              <w:tl2br w:val="nil"/>
              <w:tr2bl w:val="nil"/>
            </w:tcBorders>
          </w:tcPr>
          <w:p w14:paraId="0C4E891F">
            <w:pPr>
              <w:pageBreakBefore w:val="0"/>
              <w:kinsoku/>
              <w:wordWrap/>
              <w:overflowPunct/>
              <w:topLinePunct w:val="0"/>
              <w:autoSpaceDE/>
              <w:autoSpaceDN/>
              <w:bidi w:val="0"/>
              <w:adjustRightInd/>
              <w:snapToGrid/>
              <w:spacing w:line="400" w:lineRule="exact"/>
              <w:ind w:left="0" w:leftChars="0" w:firstLine="0" w:firstLineChars="0"/>
              <w:jc w:val="both"/>
              <w:rPr>
                <w:rFonts w:hint="default" w:cstheme="minorBidi"/>
                <w:kern w:val="2"/>
                <w:sz w:val="21"/>
                <w:szCs w:val="21"/>
                <w:lang w:val="en-US" w:eastAsia="zh-CN" w:bidi="ar-SA"/>
              </w:rPr>
            </w:pPr>
            <w:r>
              <w:rPr>
                <w:rFonts w:hint="default" w:cstheme="minorBidi"/>
                <w:kern w:val="2"/>
                <w:sz w:val="21"/>
                <w:szCs w:val="21"/>
                <w:lang w:val="en-US" w:eastAsia="zh-CN" w:bidi="ar-SA"/>
              </w:rPr>
              <w:t>+37%</w:t>
            </w:r>
          </w:p>
        </w:tc>
        <w:tc>
          <w:tcPr>
            <w:tcW w:w="1381" w:type="dxa"/>
            <w:tcBorders>
              <w:tl2br w:val="nil"/>
              <w:tr2bl w:val="nil"/>
            </w:tcBorders>
          </w:tcPr>
          <w:p w14:paraId="3213B87B">
            <w:pPr>
              <w:pageBreakBefore w:val="0"/>
              <w:kinsoku/>
              <w:wordWrap/>
              <w:overflowPunct/>
              <w:topLinePunct w:val="0"/>
              <w:autoSpaceDE/>
              <w:autoSpaceDN/>
              <w:bidi w:val="0"/>
              <w:adjustRightInd/>
              <w:snapToGrid/>
              <w:spacing w:line="400" w:lineRule="exact"/>
              <w:ind w:left="0" w:leftChars="0" w:firstLine="0" w:firstLineChars="0"/>
              <w:jc w:val="both"/>
              <w:rPr>
                <w:rFonts w:hint="default" w:cstheme="minorBidi"/>
                <w:kern w:val="2"/>
                <w:sz w:val="21"/>
                <w:szCs w:val="21"/>
                <w:lang w:val="en-US" w:eastAsia="zh-CN" w:bidi="ar-SA"/>
              </w:rPr>
            </w:pPr>
            <w:r>
              <w:rPr>
                <w:rFonts w:hint="default" w:cstheme="minorBidi"/>
                <w:kern w:val="2"/>
                <w:sz w:val="21"/>
                <w:szCs w:val="21"/>
                <w:lang w:val="en-US" w:eastAsia="zh-CN" w:bidi="ar-SA"/>
              </w:rPr>
              <w:t>观察记录表</w:t>
            </w:r>
          </w:p>
        </w:tc>
      </w:tr>
    </w:tbl>
    <w:p w14:paraId="5D5D3208">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从表</w:t>
      </w:r>
      <w:r>
        <w:rPr>
          <w:rFonts w:hint="default" w:cs="Times New Roman" w:asciiTheme="minorEastAsia" w:hAnsiTheme="minorEastAsia" w:eastAsiaTheme="minorEastAsia"/>
          <w:sz w:val="21"/>
          <w:szCs w:val="21"/>
          <w:lang w:val="en-US" w:eastAsia="zh-CN"/>
        </w:rPr>
        <w:t>7-2</w:t>
      </w:r>
      <w:r>
        <w:rPr>
          <w:rFonts w:hint="eastAsia" w:cs="Times New Roman" w:asciiTheme="minorEastAsia" w:hAnsiTheme="minorEastAsia" w:eastAsiaTheme="minorEastAsia"/>
          <w:sz w:val="21"/>
          <w:szCs w:val="21"/>
          <w:lang w:val="en-US" w:eastAsia="zh-CN"/>
        </w:rPr>
        <w:t>可以看出，</w:t>
      </w:r>
      <w:r>
        <w:rPr>
          <w:rFonts w:hint="default" w:cs="Times New Roman" w:asciiTheme="minorEastAsia" w:hAnsiTheme="minorEastAsia" w:eastAsiaTheme="minorEastAsia"/>
          <w:sz w:val="21"/>
          <w:szCs w:val="21"/>
          <w:lang w:val="en-US" w:eastAsia="zh-CN"/>
        </w:rPr>
        <w:t>教师</w:t>
      </w:r>
      <w:r>
        <w:rPr>
          <w:rFonts w:hint="eastAsia" w:cs="Times New Roman" w:asciiTheme="minorEastAsia" w:hAnsiTheme="minorEastAsia" w:eastAsiaTheme="minorEastAsia"/>
          <w:sz w:val="21"/>
          <w:szCs w:val="21"/>
          <w:lang w:val="en-US" w:eastAsia="zh-CN"/>
        </w:rPr>
        <w:t>实现</w:t>
      </w:r>
      <w:r>
        <w:rPr>
          <w:rFonts w:hint="default" w:cs="Times New Roman" w:asciiTheme="minorEastAsia" w:hAnsiTheme="minorEastAsia" w:eastAsiaTheme="minorEastAsia"/>
          <w:sz w:val="21"/>
          <w:szCs w:val="21"/>
          <w:lang w:val="en-US" w:eastAsia="zh-CN"/>
        </w:rPr>
        <w:t>从传统的技能传授模式向以游戏化为核心的创意美术教学模式的深度转型。教师通过案例分析与现场观摩，提炼出“自然互动、自由表达、动态生成”的美育游戏三要素，并运用“六顶反思帽法”进行多</w:t>
      </w:r>
      <w:r>
        <w:rPr>
          <w:rFonts w:hint="eastAsia" w:cs="Times New Roman" w:asciiTheme="minorEastAsia" w:hAnsiTheme="minorEastAsia" w:eastAsiaTheme="minorEastAsia"/>
          <w:sz w:val="21"/>
          <w:szCs w:val="21"/>
          <w:lang w:val="en-US" w:eastAsia="zh-CN"/>
        </w:rPr>
        <w:t>角度</w:t>
      </w:r>
      <w:r>
        <w:rPr>
          <w:rFonts w:hint="default" w:cs="Times New Roman" w:asciiTheme="minorEastAsia" w:hAnsiTheme="minorEastAsia" w:eastAsiaTheme="minorEastAsia"/>
          <w:sz w:val="21"/>
          <w:szCs w:val="21"/>
          <w:lang w:val="en-US" w:eastAsia="zh-CN"/>
        </w:rPr>
        <w:t>研讨</w:t>
      </w:r>
      <w:r>
        <w:rPr>
          <w:rFonts w:hint="eastAsia" w:cs="Times New Roman" w:asciiTheme="minorEastAsia" w:hAnsiTheme="minorEastAsia" w:eastAsiaTheme="minorEastAsia"/>
          <w:sz w:val="21"/>
          <w:szCs w:val="21"/>
          <w:lang w:val="en-US" w:eastAsia="zh-CN"/>
        </w:rPr>
        <w:t>。</w:t>
      </w:r>
      <w:r>
        <w:rPr>
          <w:rFonts w:hint="default" w:cs="Times New Roman" w:asciiTheme="minorEastAsia" w:hAnsiTheme="minorEastAsia" w:eastAsiaTheme="minorEastAsia"/>
          <w:sz w:val="21"/>
          <w:szCs w:val="21"/>
          <w:lang w:val="en-US" w:eastAsia="zh-CN"/>
        </w:rPr>
        <w:t>户外创意美术游戏成为课程创新的核心载体，教师将自然场景转化为游戏场域，将科学探索与艺术表达自然融合。</w:t>
      </w:r>
      <w:r>
        <w:rPr>
          <w:rFonts w:hint="eastAsia" w:cs="Times New Roman" w:asciiTheme="minorEastAsia" w:hAnsiTheme="minorEastAsia" w:eastAsiaTheme="minorEastAsia"/>
          <w:sz w:val="21"/>
          <w:szCs w:val="21"/>
          <w:lang w:val="en-US" w:eastAsia="zh-CN"/>
        </w:rPr>
        <w:t>通过创意美术游戏观察表的调整，教师的游戏观显著转变，实现“学会观察分析幼儿的游戏行为”、“以儿童为中心交流分享”、“幼儿自主生成游戏”</w:t>
      </w:r>
      <w:r>
        <w:rPr>
          <w:rFonts w:hint="default" w:cs="Times New Roman" w:asciiTheme="minorEastAsia" w:hAnsiTheme="minorEastAsia" w:eastAsiaTheme="minorEastAsia"/>
          <w:sz w:val="21"/>
          <w:szCs w:val="21"/>
          <w:lang w:val="en-US" w:eastAsia="zh-CN"/>
        </w:rPr>
        <w:t>，幼儿自主生成游戏的比例从28%提升至65%。两年间，教师累计形成《户外创意美术游戏案例集》xx例，发表《xxxx》等论文x篇，影响力辐射长三角幼教论坛</w:t>
      </w:r>
      <w:r>
        <w:rPr>
          <w:rFonts w:hint="eastAsia" w:cs="Times New Roman" w:asciiTheme="minorEastAsia" w:hAnsiTheme="minorEastAsia" w:eastAsiaTheme="minorEastAsia"/>
          <w:sz w:val="21"/>
          <w:szCs w:val="21"/>
          <w:lang w:val="en-US" w:eastAsia="zh-CN"/>
        </w:rPr>
        <w:t>，</w:t>
      </w:r>
      <w:r>
        <w:rPr>
          <w:rFonts w:hint="default" w:cs="Times New Roman" w:asciiTheme="minorEastAsia" w:hAnsiTheme="minorEastAsia" w:eastAsiaTheme="minorEastAsia"/>
          <w:sz w:val="21"/>
          <w:szCs w:val="21"/>
          <w:lang w:val="en-US" w:eastAsia="zh-CN"/>
        </w:rPr>
        <w:t>专业成长轨迹清晰可循</w:t>
      </w:r>
      <w:r>
        <w:rPr>
          <w:rFonts w:hint="eastAsia" w:cs="Times New Roman" w:asciiTheme="minorEastAsia" w:hAnsiTheme="minorEastAsia" w:eastAsiaTheme="minorEastAsia"/>
          <w:sz w:val="21"/>
          <w:szCs w:val="21"/>
          <w:lang w:val="en-US" w:eastAsia="zh-CN"/>
        </w:rPr>
        <w:t>。2024年，经上海市儿童友好学校评审专家组评审，上海徐汇实验幼儿园荣获上海市首批儿童友好学校试点校称号。</w:t>
      </w:r>
    </w:p>
    <w:p w14:paraId="115B16BC">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3.</w:t>
      </w:r>
      <w:r>
        <w:rPr>
          <w:rFonts w:hint="eastAsia" w:cs="Times New Roman" w:asciiTheme="minorEastAsia" w:hAnsiTheme="minorEastAsia" w:eastAsiaTheme="minorEastAsia"/>
          <w:b/>
          <w:bCs/>
          <w:sz w:val="21"/>
          <w:szCs w:val="21"/>
          <w:lang w:val="en-US" w:eastAsia="zh-CN"/>
        </w:rPr>
        <w:t xml:space="preserve"> 家庭参与度与协作模式深化</w:t>
      </w:r>
    </w:p>
    <w:p w14:paraId="391EDED1">
      <w:pPr>
        <w:pageBreakBefore w:val="0"/>
        <w:kinsoku/>
        <w:wordWrap/>
        <w:overflowPunct/>
        <w:topLinePunct w:val="0"/>
        <w:autoSpaceDE/>
        <w:autoSpaceDN/>
        <w:bidi w:val="0"/>
        <w:adjustRightInd/>
        <w:snapToGrid/>
        <w:spacing w:line="400" w:lineRule="exact"/>
        <w:ind w:firstLine="422" w:firstLineChars="200"/>
        <w:jc w:val="center"/>
        <w:rPr>
          <w:rFonts w:hint="eastAsia" w:cstheme="minorBidi"/>
          <w:b/>
          <w:bCs/>
          <w:kern w:val="2"/>
          <w:sz w:val="21"/>
          <w:szCs w:val="21"/>
          <w:lang w:val="en-US" w:eastAsia="zh-CN" w:bidi="ar-SA"/>
        </w:rPr>
      </w:pPr>
      <w:r>
        <w:rPr>
          <w:rFonts w:hint="eastAsia" w:cstheme="minorBidi"/>
          <w:b/>
          <w:bCs/>
          <w:kern w:val="2"/>
          <w:sz w:val="21"/>
          <w:szCs w:val="21"/>
          <w:lang w:val="en-US" w:eastAsia="zh-CN" w:bidi="ar-SA"/>
        </w:rPr>
        <w:t>表5</w:t>
      </w:r>
      <w:r>
        <w:rPr>
          <w:rFonts w:hint="default" w:cstheme="minorBidi"/>
          <w:b/>
          <w:bCs/>
          <w:kern w:val="2"/>
          <w:sz w:val="21"/>
          <w:szCs w:val="21"/>
          <w:lang w:val="en-US" w:eastAsia="zh-CN" w:bidi="ar-SA"/>
        </w:rPr>
        <w:t>-3</w:t>
      </w:r>
      <w:r>
        <w:rPr>
          <w:rFonts w:hint="eastAsia" w:cstheme="minorBidi"/>
          <w:b/>
          <w:bCs/>
          <w:kern w:val="2"/>
          <w:sz w:val="21"/>
          <w:szCs w:val="21"/>
          <w:lang w:val="en-US" w:eastAsia="zh-CN" w:bidi="ar-SA"/>
        </w:rPr>
        <w:t xml:space="preserve"> 家庭参与度与协作模式深化对比</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1"/>
        <w:gridCol w:w="1848"/>
        <w:gridCol w:w="1800"/>
        <w:gridCol w:w="1248"/>
        <w:gridCol w:w="1705"/>
      </w:tblGrid>
      <w:tr w14:paraId="2C03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1" w:type="dxa"/>
            <w:tcBorders>
              <w:top w:val="single" w:color="000000" w:sz="12" w:space="0"/>
              <w:left w:val="nil"/>
              <w:bottom w:val="single" w:color="000000" w:sz="8" w:space="0"/>
              <w:right w:val="nil"/>
            </w:tcBorders>
          </w:tcPr>
          <w:p w14:paraId="518C04BF">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评价指标</w:t>
            </w:r>
          </w:p>
        </w:tc>
        <w:tc>
          <w:tcPr>
            <w:tcW w:w="1848" w:type="dxa"/>
            <w:tcBorders>
              <w:top w:val="single" w:color="000000" w:sz="12" w:space="0"/>
              <w:left w:val="nil"/>
              <w:bottom w:val="single" w:color="000000" w:sz="8" w:space="0"/>
              <w:right w:val="nil"/>
            </w:tcBorders>
          </w:tcPr>
          <w:p w14:paraId="5463E2AA">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实施前（202</w:t>
            </w:r>
            <w:r>
              <w:rPr>
                <w:rFonts w:hint="default" w:cstheme="minorBidi"/>
                <w:kern w:val="2"/>
                <w:sz w:val="21"/>
                <w:szCs w:val="21"/>
                <w:lang w:val="en-US" w:eastAsia="zh-CN" w:bidi="ar-SA"/>
              </w:rPr>
              <w:t>3</w:t>
            </w:r>
            <w:r>
              <w:rPr>
                <w:rFonts w:hint="eastAsia" w:cstheme="minorBidi"/>
                <w:kern w:val="2"/>
                <w:sz w:val="21"/>
                <w:szCs w:val="21"/>
                <w:lang w:val="en-US" w:eastAsia="zh-CN" w:bidi="ar-SA"/>
              </w:rPr>
              <w:t>年）</w:t>
            </w:r>
          </w:p>
        </w:tc>
        <w:tc>
          <w:tcPr>
            <w:tcW w:w="1800" w:type="dxa"/>
            <w:tcBorders>
              <w:top w:val="single" w:color="000000" w:sz="12" w:space="0"/>
              <w:left w:val="nil"/>
              <w:bottom w:val="single" w:color="000000" w:sz="8" w:space="0"/>
              <w:right w:val="nil"/>
            </w:tcBorders>
          </w:tcPr>
          <w:p w14:paraId="2AEB92D6">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实施后（202</w:t>
            </w:r>
            <w:r>
              <w:rPr>
                <w:rFonts w:hint="default" w:cstheme="minorBidi"/>
                <w:kern w:val="2"/>
                <w:sz w:val="21"/>
                <w:szCs w:val="21"/>
                <w:lang w:val="en-US" w:eastAsia="zh-CN" w:bidi="ar-SA"/>
              </w:rPr>
              <w:t>5</w:t>
            </w:r>
            <w:r>
              <w:rPr>
                <w:rFonts w:hint="eastAsia" w:cstheme="minorBidi"/>
                <w:kern w:val="2"/>
                <w:sz w:val="21"/>
                <w:szCs w:val="21"/>
                <w:lang w:val="en-US" w:eastAsia="zh-CN" w:bidi="ar-SA"/>
              </w:rPr>
              <w:t>年）</w:t>
            </w:r>
          </w:p>
        </w:tc>
        <w:tc>
          <w:tcPr>
            <w:tcW w:w="1248" w:type="dxa"/>
            <w:tcBorders>
              <w:top w:val="single" w:color="000000" w:sz="12" w:space="0"/>
              <w:left w:val="nil"/>
              <w:bottom w:val="single" w:color="000000" w:sz="8" w:space="0"/>
              <w:right w:val="nil"/>
            </w:tcBorders>
          </w:tcPr>
          <w:p w14:paraId="6A5A6F7E">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提升幅度</w:t>
            </w:r>
          </w:p>
        </w:tc>
        <w:tc>
          <w:tcPr>
            <w:tcW w:w="1705" w:type="dxa"/>
            <w:tcBorders>
              <w:top w:val="single" w:color="000000" w:sz="12" w:space="0"/>
              <w:left w:val="nil"/>
              <w:bottom w:val="single" w:color="000000" w:sz="8" w:space="0"/>
              <w:right w:val="nil"/>
            </w:tcBorders>
          </w:tcPr>
          <w:p w14:paraId="64704428">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数据来源</w:t>
            </w:r>
          </w:p>
        </w:tc>
      </w:tr>
      <w:tr w14:paraId="48ED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1" w:type="dxa"/>
            <w:tcBorders>
              <w:top w:val="single" w:color="000000" w:sz="8" w:space="0"/>
              <w:left w:val="nil"/>
              <w:bottom w:val="nil"/>
              <w:right w:val="nil"/>
            </w:tcBorders>
          </w:tcPr>
          <w:p w14:paraId="2178A33A">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家长深度参与率</w:t>
            </w:r>
          </w:p>
        </w:tc>
        <w:tc>
          <w:tcPr>
            <w:tcW w:w="1848" w:type="dxa"/>
            <w:tcBorders>
              <w:top w:val="single" w:color="000000" w:sz="8" w:space="0"/>
              <w:left w:val="nil"/>
              <w:bottom w:val="nil"/>
              <w:right w:val="nil"/>
            </w:tcBorders>
          </w:tcPr>
          <w:p w14:paraId="1A521058">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28%</w:t>
            </w:r>
          </w:p>
        </w:tc>
        <w:tc>
          <w:tcPr>
            <w:tcW w:w="1800" w:type="dxa"/>
            <w:tcBorders>
              <w:top w:val="single" w:color="000000" w:sz="8" w:space="0"/>
              <w:left w:val="nil"/>
              <w:bottom w:val="nil"/>
              <w:right w:val="nil"/>
            </w:tcBorders>
          </w:tcPr>
          <w:p w14:paraId="003A0C90">
            <w:pPr>
              <w:pageBreakBefore w:val="0"/>
              <w:kinsoku/>
              <w:wordWrap/>
              <w:overflowPunct/>
              <w:topLinePunct w:val="0"/>
              <w:autoSpaceDE/>
              <w:autoSpaceDN/>
              <w:bidi w:val="0"/>
              <w:adjustRightInd/>
              <w:snapToGrid/>
              <w:spacing w:line="400" w:lineRule="exact"/>
              <w:ind w:firstLine="630" w:firstLineChars="300"/>
              <w:jc w:val="both"/>
              <w:rPr>
                <w:sz w:val="21"/>
                <w:szCs w:val="21"/>
              </w:rPr>
            </w:pPr>
            <w:r>
              <w:rPr>
                <w:rFonts w:hint="eastAsia" w:cstheme="minorBidi"/>
                <w:kern w:val="2"/>
                <w:sz w:val="21"/>
                <w:szCs w:val="21"/>
                <w:lang w:val="en-US" w:eastAsia="zh-CN" w:bidi="ar-SA"/>
              </w:rPr>
              <w:t>73%</w:t>
            </w:r>
          </w:p>
        </w:tc>
        <w:tc>
          <w:tcPr>
            <w:tcW w:w="1248" w:type="dxa"/>
            <w:tcBorders>
              <w:top w:val="single" w:color="000000" w:sz="8" w:space="0"/>
              <w:left w:val="nil"/>
              <w:bottom w:val="nil"/>
              <w:right w:val="nil"/>
            </w:tcBorders>
          </w:tcPr>
          <w:p w14:paraId="725B0474">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+45%</w:t>
            </w:r>
          </w:p>
        </w:tc>
        <w:tc>
          <w:tcPr>
            <w:tcW w:w="1705" w:type="dxa"/>
            <w:tcBorders>
              <w:top w:val="single" w:color="000000" w:sz="8" w:space="0"/>
              <w:left w:val="nil"/>
              <w:bottom w:val="nil"/>
              <w:right w:val="nil"/>
            </w:tcBorders>
          </w:tcPr>
          <w:p w14:paraId="5A2BBC5B">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活动签到统计</w:t>
            </w:r>
          </w:p>
        </w:tc>
      </w:tr>
      <w:tr w14:paraId="40F8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1" w:type="dxa"/>
            <w:tcBorders>
              <w:top w:val="nil"/>
              <w:left w:val="nil"/>
              <w:bottom w:val="nil"/>
              <w:right w:val="nil"/>
            </w:tcBorders>
          </w:tcPr>
          <w:p w14:paraId="56C8A307">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家庭资源贡献类型</w:t>
            </w:r>
          </w:p>
        </w:tc>
        <w:tc>
          <w:tcPr>
            <w:tcW w:w="1848" w:type="dxa"/>
            <w:tcBorders>
              <w:top w:val="nil"/>
              <w:left w:val="nil"/>
              <w:bottom w:val="nil"/>
              <w:right w:val="nil"/>
            </w:tcBorders>
          </w:tcPr>
          <w:p w14:paraId="6EBD434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2类（物资、陪同）</w:t>
            </w:r>
          </w:p>
        </w:tc>
        <w:tc>
          <w:tcPr>
            <w:tcW w:w="1800" w:type="dxa"/>
            <w:tcBorders>
              <w:top w:val="nil"/>
              <w:left w:val="nil"/>
              <w:bottom w:val="nil"/>
              <w:right w:val="nil"/>
            </w:tcBorders>
          </w:tcPr>
          <w:p w14:paraId="71179896">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5类（设计、评价）</w:t>
            </w:r>
          </w:p>
        </w:tc>
        <w:tc>
          <w:tcPr>
            <w:tcW w:w="1248" w:type="dxa"/>
            <w:tcBorders>
              <w:top w:val="nil"/>
              <w:left w:val="nil"/>
              <w:bottom w:val="nil"/>
              <w:right w:val="nil"/>
            </w:tcBorders>
          </w:tcPr>
          <w:p w14:paraId="1AA860F6">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+150%</w:t>
            </w:r>
          </w:p>
        </w:tc>
        <w:tc>
          <w:tcPr>
            <w:tcW w:w="1705" w:type="dxa"/>
            <w:tcBorders>
              <w:top w:val="nil"/>
              <w:left w:val="nil"/>
              <w:bottom w:val="nil"/>
              <w:right w:val="nil"/>
            </w:tcBorders>
          </w:tcPr>
          <w:p w14:paraId="79A68E40">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家园资源库记录</w:t>
            </w:r>
          </w:p>
        </w:tc>
      </w:tr>
      <w:tr w14:paraId="5788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1" w:type="dxa"/>
            <w:tcBorders>
              <w:top w:val="nil"/>
              <w:left w:val="nil"/>
              <w:bottom w:val="single" w:color="000000" w:sz="12" w:space="0"/>
              <w:right w:val="nil"/>
            </w:tcBorders>
          </w:tcPr>
          <w:p w14:paraId="39EF97BF">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亲子任务完成率</w:t>
            </w:r>
          </w:p>
        </w:tc>
        <w:tc>
          <w:tcPr>
            <w:tcW w:w="1848" w:type="dxa"/>
            <w:tcBorders>
              <w:top w:val="nil"/>
              <w:left w:val="nil"/>
              <w:bottom w:val="single" w:color="000000" w:sz="12" w:space="0"/>
              <w:right w:val="nil"/>
            </w:tcBorders>
          </w:tcPr>
          <w:p w14:paraId="426CEA94">
            <w:pPr>
              <w:pageBreakBefore w:val="0"/>
              <w:kinsoku/>
              <w:wordWrap/>
              <w:overflowPunct/>
              <w:topLinePunct w:val="0"/>
              <w:autoSpaceDE/>
              <w:autoSpaceDN/>
              <w:bidi w:val="0"/>
              <w:adjustRightInd/>
              <w:snapToGrid/>
              <w:spacing w:line="400" w:lineRule="exact"/>
              <w:ind w:firstLine="420" w:firstLineChars="200"/>
              <w:jc w:val="both"/>
              <w:rPr>
                <w:sz w:val="21"/>
                <w:szCs w:val="21"/>
              </w:rPr>
            </w:pPr>
            <w:r>
              <w:rPr>
                <w:rFonts w:hint="eastAsia" w:cstheme="minorBidi"/>
                <w:kern w:val="2"/>
                <w:sz w:val="21"/>
                <w:szCs w:val="21"/>
                <w:lang w:val="en-US" w:eastAsia="zh-CN" w:bidi="ar-SA"/>
              </w:rPr>
              <w:t>60%</w:t>
            </w:r>
          </w:p>
        </w:tc>
        <w:tc>
          <w:tcPr>
            <w:tcW w:w="1800" w:type="dxa"/>
            <w:tcBorders>
              <w:top w:val="nil"/>
              <w:left w:val="nil"/>
              <w:bottom w:val="single" w:color="000000" w:sz="12" w:space="0"/>
              <w:right w:val="nil"/>
            </w:tcBorders>
          </w:tcPr>
          <w:p w14:paraId="486BE321">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88%</w:t>
            </w:r>
          </w:p>
        </w:tc>
        <w:tc>
          <w:tcPr>
            <w:tcW w:w="1248" w:type="dxa"/>
            <w:tcBorders>
              <w:top w:val="nil"/>
              <w:left w:val="nil"/>
              <w:bottom w:val="single" w:color="000000" w:sz="12" w:space="0"/>
              <w:right w:val="nil"/>
            </w:tcBorders>
          </w:tcPr>
          <w:p w14:paraId="2B91BB6D">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+28%</w:t>
            </w:r>
          </w:p>
        </w:tc>
        <w:tc>
          <w:tcPr>
            <w:tcW w:w="1705" w:type="dxa"/>
            <w:tcBorders>
              <w:top w:val="nil"/>
              <w:left w:val="nil"/>
              <w:bottom w:val="single" w:color="000000" w:sz="12" w:space="0"/>
              <w:right w:val="nil"/>
            </w:tcBorders>
          </w:tcPr>
          <w:p w14:paraId="1254A04F">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cstheme="minorBidi"/>
                <w:kern w:val="2"/>
                <w:sz w:val="21"/>
                <w:szCs w:val="21"/>
                <w:lang w:val="en-US" w:eastAsia="zh-CN" w:bidi="ar-SA"/>
              </w:rPr>
              <w:t>研学手册分析</w:t>
            </w:r>
          </w:p>
        </w:tc>
      </w:tr>
    </w:tbl>
    <w:p w14:paraId="75619780">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default"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从表</w:t>
      </w:r>
      <w:r>
        <w:rPr>
          <w:rFonts w:hint="default" w:cs="Times New Roman" w:asciiTheme="minorEastAsia" w:hAnsiTheme="minorEastAsia" w:eastAsiaTheme="minorEastAsia"/>
          <w:sz w:val="21"/>
          <w:szCs w:val="21"/>
          <w:lang w:val="en-US" w:eastAsia="zh-CN"/>
        </w:rPr>
        <w:t>7-3</w:t>
      </w:r>
      <w:r>
        <w:rPr>
          <w:rFonts w:hint="eastAsia" w:cs="Times New Roman" w:asciiTheme="minorEastAsia" w:hAnsiTheme="minorEastAsia" w:eastAsiaTheme="minorEastAsia"/>
          <w:sz w:val="21"/>
          <w:szCs w:val="21"/>
          <w:lang w:val="en-US" w:eastAsia="zh-CN"/>
        </w:rPr>
        <w:t>可以看出，家庭角色从“被动参与者”全面转向“主动共建者”。73%的家长深度介入课程设计、实施与评价环节。例如，在“</w:t>
      </w:r>
      <w:r>
        <w:rPr>
          <w:rFonts w:hint="default" w:cs="Times New Roman" w:asciiTheme="minorEastAsia" w:hAnsiTheme="minorEastAsia" w:eastAsiaTheme="minorEastAsia"/>
          <w:sz w:val="21"/>
          <w:szCs w:val="21"/>
          <w:lang w:val="en-US" w:eastAsia="zh-CN"/>
        </w:rPr>
        <w:t>上海动物园图鉴制作”项目中，家长与幼儿共同探访动物园，拍摄动物照片、记录习性特征，合作完成《我的动物朋友》主题手册。医生家庭讲解动物身体结构，幼儿用黏土捏制“大象的鼻子”“长颈鹿的脖子”；摄影师家庭指导构图技巧，</w:t>
      </w:r>
      <w:r>
        <w:rPr>
          <w:rFonts w:hint="eastAsia" w:cs="Times New Roman" w:asciiTheme="minorEastAsia" w:hAnsiTheme="minorEastAsia" w:eastAsiaTheme="minorEastAsia"/>
          <w:sz w:val="21"/>
          <w:szCs w:val="21"/>
          <w:lang w:val="en-US" w:eastAsia="zh-CN"/>
        </w:rPr>
        <w:t>幼儿</w:t>
      </w:r>
      <w:r>
        <w:rPr>
          <w:rFonts w:hint="default" w:cs="Times New Roman" w:asciiTheme="minorEastAsia" w:hAnsiTheme="minorEastAsia" w:eastAsiaTheme="minorEastAsia"/>
          <w:sz w:val="21"/>
          <w:szCs w:val="21"/>
          <w:lang w:val="en-US" w:eastAsia="zh-CN"/>
        </w:rPr>
        <w:t>用落叶拼贴模拟动物皮毛纹理。家庭资源贡献类型从简单的物资提供拓展至职业经验、文化线索等五类，增幅达150%。在“植物揭秘”活动中，家长带领幼儿观察社区植物，用放大镜探索叶脉形态，亲子合作制作“植物身份证”（包含手绘图案、采集日期与趣味昵称），亲子研学任务完成率提升至88%，</w:t>
      </w:r>
      <w:r>
        <w:rPr>
          <w:rFonts w:hint="eastAsia" w:cs="Times New Roman" w:asciiTheme="minorEastAsia" w:hAnsiTheme="minorEastAsia" w:eastAsiaTheme="minorEastAsia"/>
          <w:sz w:val="21"/>
          <w:szCs w:val="21"/>
          <w:lang w:val="en-US" w:eastAsia="zh-CN"/>
        </w:rPr>
        <w:t>在</w:t>
      </w:r>
      <w:r>
        <w:rPr>
          <w:rFonts w:hint="default" w:cs="Times New Roman" w:asciiTheme="minorEastAsia" w:hAnsiTheme="minorEastAsia" w:eastAsiaTheme="minorEastAsia"/>
          <w:sz w:val="21"/>
          <w:szCs w:val="21"/>
          <w:lang w:val="en-US" w:eastAsia="zh-CN"/>
        </w:rPr>
        <w:t>“家庭海洋日”活动中，90%的家庭提交了“家庭环保行动方案”</w:t>
      </w:r>
      <w:r>
        <w:rPr>
          <w:rFonts w:hint="eastAsia" w:cs="Times New Roman" w:asciiTheme="minorEastAsia" w:hAnsiTheme="minorEastAsia" w:eastAsiaTheme="minorEastAsia"/>
          <w:sz w:val="21"/>
          <w:szCs w:val="21"/>
          <w:lang w:val="en-US" w:eastAsia="zh-CN"/>
        </w:rPr>
        <w:t>，</w:t>
      </w:r>
      <w:r>
        <w:rPr>
          <w:rFonts w:hint="default" w:cs="Times New Roman" w:asciiTheme="minorEastAsia" w:hAnsiTheme="minorEastAsia" w:eastAsiaTheme="minorEastAsia"/>
          <w:sz w:val="21"/>
          <w:szCs w:val="21"/>
          <w:lang w:val="en-US" w:eastAsia="zh-CN"/>
        </w:rPr>
        <w:t>部分家庭作品入选班级“自然发现角”。</w:t>
      </w:r>
    </w:p>
    <w:p w14:paraId="40B0EFA9">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default"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4.社区资源</w:t>
      </w:r>
      <w:r>
        <w:rPr>
          <w:rFonts w:hint="eastAsia" w:cs="Times New Roman" w:asciiTheme="minorEastAsia" w:hAnsiTheme="minorEastAsia" w:eastAsiaTheme="minorEastAsia"/>
          <w:b/>
          <w:bCs/>
          <w:sz w:val="21"/>
          <w:szCs w:val="21"/>
          <w:lang w:val="en-US" w:eastAsia="zh-CN"/>
        </w:rPr>
        <w:t>深度激活</w:t>
      </w:r>
    </w:p>
    <w:p w14:paraId="3A16C07B">
      <w:pPr>
        <w:pageBreakBefore w:val="0"/>
        <w:kinsoku/>
        <w:wordWrap/>
        <w:overflowPunct/>
        <w:topLinePunct w:val="0"/>
        <w:autoSpaceDE/>
        <w:autoSpaceDN/>
        <w:bidi w:val="0"/>
        <w:adjustRightInd/>
        <w:snapToGrid/>
        <w:spacing w:line="400" w:lineRule="exact"/>
        <w:jc w:val="center"/>
        <w:rPr>
          <w:rFonts w:hint="eastAsia"/>
          <w:sz w:val="21"/>
          <w:szCs w:val="21"/>
          <w:lang w:val="en-US" w:eastAsia="zh-CN"/>
        </w:rPr>
      </w:pPr>
    </w:p>
    <w:p w14:paraId="7823E0CC">
      <w:pPr>
        <w:pageBreakBefore w:val="0"/>
        <w:kinsoku/>
        <w:wordWrap/>
        <w:overflowPunct/>
        <w:topLinePunct w:val="0"/>
        <w:autoSpaceDE/>
        <w:autoSpaceDN/>
        <w:bidi w:val="0"/>
        <w:adjustRightInd/>
        <w:snapToGrid/>
        <w:spacing w:line="400" w:lineRule="exact"/>
        <w:jc w:val="center"/>
        <w:rPr>
          <w:rFonts w:hint="eastAsia"/>
          <w:sz w:val="21"/>
          <w:szCs w:val="21"/>
          <w:lang w:val="en-US" w:eastAsia="zh-CN"/>
        </w:rPr>
      </w:pPr>
    </w:p>
    <w:p w14:paraId="670D83AB">
      <w:pPr>
        <w:pageBreakBefore w:val="0"/>
        <w:kinsoku/>
        <w:wordWrap/>
        <w:overflowPunct/>
        <w:topLinePunct w:val="0"/>
        <w:autoSpaceDE/>
        <w:autoSpaceDN/>
        <w:bidi w:val="0"/>
        <w:adjustRightInd/>
        <w:snapToGrid/>
        <w:spacing w:line="400" w:lineRule="exact"/>
        <w:jc w:val="center"/>
        <w:rPr>
          <w:rFonts w:hint="eastAsia"/>
          <w:sz w:val="21"/>
          <w:szCs w:val="21"/>
          <w:lang w:val="en-US" w:eastAsia="zh-CN"/>
        </w:rPr>
      </w:pPr>
    </w:p>
    <w:p w14:paraId="7497FC18">
      <w:pPr>
        <w:pageBreakBefore w:val="0"/>
        <w:kinsoku/>
        <w:wordWrap/>
        <w:overflowPunct/>
        <w:topLinePunct w:val="0"/>
        <w:autoSpaceDE/>
        <w:autoSpaceDN/>
        <w:bidi w:val="0"/>
        <w:adjustRightInd/>
        <w:snapToGrid/>
        <w:spacing w:line="400" w:lineRule="exact"/>
        <w:jc w:val="center"/>
        <w:rPr>
          <w:rFonts w:hint="eastAsia"/>
          <w:b/>
          <w:bCs/>
          <w:sz w:val="21"/>
          <w:szCs w:val="21"/>
          <w:lang w:val="en-US" w:eastAsia="zh-CN"/>
        </w:rPr>
      </w:pPr>
      <w:r>
        <w:rPr>
          <w:rFonts w:hint="eastAsia"/>
          <w:b/>
          <w:bCs/>
          <w:sz w:val="21"/>
          <w:szCs w:val="21"/>
          <w:lang w:val="en-US" w:eastAsia="zh-CN"/>
        </w:rPr>
        <w:t>表5</w:t>
      </w:r>
      <w:r>
        <w:rPr>
          <w:rFonts w:hint="default"/>
          <w:b/>
          <w:bCs/>
          <w:sz w:val="21"/>
          <w:szCs w:val="21"/>
          <w:lang w:val="en-US" w:eastAsia="zh-CN"/>
        </w:rPr>
        <w:t>-4</w:t>
      </w:r>
      <w:r>
        <w:rPr>
          <w:rFonts w:hint="eastAsia"/>
          <w:b/>
          <w:bCs/>
          <w:sz w:val="21"/>
          <w:szCs w:val="21"/>
          <w:lang w:val="en-US" w:eastAsia="zh-CN"/>
        </w:rPr>
        <w:t xml:space="preserve"> 社区资源整合与协作成效对比</w:t>
      </w:r>
    </w:p>
    <w:tbl>
      <w:tblPr>
        <w:tblStyle w:val="10"/>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13"/>
        <w:gridCol w:w="1920"/>
        <w:gridCol w:w="1884"/>
        <w:gridCol w:w="1176"/>
        <w:gridCol w:w="1429"/>
      </w:tblGrid>
      <w:tr w14:paraId="58D5BE6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3" w:type="dxa"/>
            <w:tcBorders>
              <w:bottom w:val="single" w:color="000000" w:sz="8" w:space="0"/>
              <w:tl2br w:val="nil"/>
              <w:tr2bl w:val="nil"/>
            </w:tcBorders>
          </w:tcPr>
          <w:p w14:paraId="4DBF3953">
            <w:pPr>
              <w:pageBreakBefore w:val="0"/>
              <w:kinsoku/>
              <w:wordWrap/>
              <w:overflowPunct/>
              <w:topLinePunct w:val="0"/>
              <w:autoSpaceDE/>
              <w:autoSpaceDN/>
              <w:bidi w:val="0"/>
              <w:adjustRightInd/>
              <w:snapToGrid/>
              <w:spacing w:line="400" w:lineRule="exact"/>
              <w:jc w:val="both"/>
              <w:rPr>
                <w:sz w:val="21"/>
                <w:szCs w:val="21"/>
              </w:rPr>
            </w:pPr>
            <w:r>
              <w:rPr>
                <w:rFonts w:hint="eastAsia"/>
                <w:sz w:val="21"/>
                <w:szCs w:val="21"/>
                <w:lang w:val="en-US" w:eastAsia="zh-CN"/>
              </w:rPr>
              <w:t>评价指标</w:t>
            </w:r>
          </w:p>
        </w:tc>
        <w:tc>
          <w:tcPr>
            <w:tcW w:w="1920" w:type="dxa"/>
            <w:tcBorders>
              <w:bottom w:val="single" w:color="000000" w:sz="8" w:space="0"/>
              <w:tl2br w:val="nil"/>
              <w:tr2bl w:val="nil"/>
            </w:tcBorders>
          </w:tcPr>
          <w:p w14:paraId="270B1BFE">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实施前（202</w:t>
            </w:r>
            <w:r>
              <w:rPr>
                <w:rFonts w:hint="default"/>
                <w:sz w:val="21"/>
                <w:szCs w:val="21"/>
                <w:lang w:val="en-US" w:eastAsia="zh-CN"/>
              </w:rPr>
              <w:t>3</w:t>
            </w:r>
            <w:r>
              <w:rPr>
                <w:rFonts w:hint="eastAsia"/>
                <w:sz w:val="21"/>
                <w:szCs w:val="21"/>
                <w:lang w:val="en-US" w:eastAsia="zh-CN"/>
              </w:rPr>
              <w:t>年）</w:t>
            </w:r>
          </w:p>
        </w:tc>
        <w:tc>
          <w:tcPr>
            <w:tcW w:w="1884" w:type="dxa"/>
            <w:tcBorders>
              <w:bottom w:val="single" w:color="000000" w:sz="8" w:space="0"/>
              <w:tl2br w:val="nil"/>
              <w:tr2bl w:val="nil"/>
            </w:tcBorders>
          </w:tcPr>
          <w:p w14:paraId="02C2FE7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实施后（202</w:t>
            </w:r>
            <w:r>
              <w:rPr>
                <w:rFonts w:hint="default"/>
                <w:sz w:val="21"/>
                <w:szCs w:val="21"/>
                <w:lang w:val="en-US" w:eastAsia="zh-CN"/>
              </w:rPr>
              <w:t>5</w:t>
            </w:r>
            <w:r>
              <w:rPr>
                <w:rFonts w:hint="eastAsia"/>
                <w:sz w:val="21"/>
                <w:szCs w:val="21"/>
                <w:lang w:val="en-US" w:eastAsia="zh-CN"/>
              </w:rPr>
              <w:t>年）</w:t>
            </w:r>
          </w:p>
        </w:tc>
        <w:tc>
          <w:tcPr>
            <w:tcW w:w="1176" w:type="dxa"/>
            <w:tcBorders>
              <w:bottom w:val="single" w:color="000000" w:sz="8" w:space="0"/>
              <w:tl2br w:val="nil"/>
              <w:tr2bl w:val="nil"/>
            </w:tcBorders>
          </w:tcPr>
          <w:p w14:paraId="364F5E73">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提升幅度</w:t>
            </w:r>
          </w:p>
        </w:tc>
        <w:tc>
          <w:tcPr>
            <w:tcW w:w="1429" w:type="dxa"/>
            <w:tcBorders>
              <w:bottom w:val="single" w:color="000000" w:sz="8" w:space="0"/>
              <w:tl2br w:val="nil"/>
              <w:tr2bl w:val="nil"/>
            </w:tcBorders>
          </w:tcPr>
          <w:p w14:paraId="4D125DF1">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数据来源</w:t>
            </w:r>
          </w:p>
        </w:tc>
      </w:tr>
      <w:tr w14:paraId="37B6F1F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3" w:type="dxa"/>
            <w:tcBorders>
              <w:top w:val="single" w:color="000000" w:sz="8" w:space="0"/>
              <w:tl2br w:val="nil"/>
              <w:tr2bl w:val="nil"/>
            </w:tcBorders>
          </w:tcPr>
          <w:p w14:paraId="7B6C5217">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社区场馆利用率</w:t>
            </w:r>
          </w:p>
        </w:tc>
        <w:tc>
          <w:tcPr>
            <w:tcW w:w="1920" w:type="dxa"/>
            <w:tcBorders>
              <w:top w:val="single" w:color="000000" w:sz="8" w:space="0"/>
              <w:tl2br w:val="nil"/>
              <w:tr2bl w:val="nil"/>
            </w:tcBorders>
          </w:tcPr>
          <w:p w14:paraId="559769E7">
            <w:pPr>
              <w:pageBreakBefore w:val="0"/>
              <w:kinsoku/>
              <w:wordWrap/>
              <w:overflowPunct/>
              <w:topLinePunct w:val="0"/>
              <w:autoSpaceDE/>
              <w:autoSpaceDN/>
              <w:bidi w:val="0"/>
              <w:adjustRightInd/>
              <w:snapToGrid/>
              <w:spacing w:line="400" w:lineRule="exact"/>
              <w:ind w:firstLine="630" w:firstLineChars="300"/>
              <w:jc w:val="both"/>
              <w:rPr>
                <w:sz w:val="21"/>
                <w:szCs w:val="21"/>
              </w:rPr>
            </w:pPr>
            <w:r>
              <w:rPr>
                <w:rFonts w:hint="eastAsia"/>
                <w:sz w:val="21"/>
                <w:szCs w:val="21"/>
                <w:lang w:val="en-US" w:eastAsia="zh-CN"/>
              </w:rPr>
              <w:t>42%</w:t>
            </w:r>
          </w:p>
        </w:tc>
        <w:tc>
          <w:tcPr>
            <w:tcW w:w="1884" w:type="dxa"/>
            <w:tcBorders>
              <w:top w:val="single" w:color="000000" w:sz="8" w:space="0"/>
              <w:tl2br w:val="nil"/>
              <w:tr2bl w:val="nil"/>
            </w:tcBorders>
          </w:tcPr>
          <w:p w14:paraId="553419C8">
            <w:pPr>
              <w:pageBreakBefore w:val="0"/>
              <w:kinsoku/>
              <w:wordWrap/>
              <w:overflowPunct/>
              <w:topLinePunct w:val="0"/>
              <w:autoSpaceDE/>
              <w:autoSpaceDN/>
              <w:bidi w:val="0"/>
              <w:adjustRightInd/>
              <w:snapToGrid/>
              <w:spacing w:line="400" w:lineRule="exact"/>
              <w:ind w:firstLine="630" w:firstLineChars="300"/>
              <w:jc w:val="both"/>
              <w:rPr>
                <w:sz w:val="21"/>
                <w:szCs w:val="21"/>
              </w:rPr>
            </w:pPr>
            <w:r>
              <w:rPr>
                <w:rFonts w:hint="eastAsia"/>
                <w:sz w:val="21"/>
                <w:szCs w:val="21"/>
                <w:lang w:val="en-US" w:eastAsia="zh-CN"/>
              </w:rPr>
              <w:t>76%</w:t>
            </w:r>
          </w:p>
        </w:tc>
        <w:tc>
          <w:tcPr>
            <w:tcW w:w="1176" w:type="dxa"/>
            <w:tcBorders>
              <w:top w:val="single" w:color="000000" w:sz="8" w:space="0"/>
              <w:tl2br w:val="nil"/>
              <w:tr2bl w:val="nil"/>
            </w:tcBorders>
          </w:tcPr>
          <w:p w14:paraId="3280A025">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+34%</w:t>
            </w:r>
          </w:p>
        </w:tc>
        <w:tc>
          <w:tcPr>
            <w:tcW w:w="1429" w:type="dxa"/>
            <w:tcBorders>
              <w:top w:val="single" w:color="000000" w:sz="8" w:space="0"/>
              <w:tl2br w:val="nil"/>
              <w:tr2bl w:val="nil"/>
            </w:tcBorders>
          </w:tcPr>
          <w:p w14:paraId="33E17680">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活动台账</w:t>
            </w:r>
          </w:p>
        </w:tc>
      </w:tr>
      <w:tr w14:paraId="1676094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3" w:type="dxa"/>
            <w:tcBorders>
              <w:tl2br w:val="nil"/>
              <w:tr2bl w:val="nil"/>
            </w:tcBorders>
          </w:tcPr>
          <w:p w14:paraId="1FD77DF0">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社区专家参与课程数</w:t>
            </w:r>
          </w:p>
        </w:tc>
        <w:tc>
          <w:tcPr>
            <w:tcW w:w="1920" w:type="dxa"/>
            <w:tcBorders>
              <w:tl2br w:val="nil"/>
              <w:tr2bl w:val="nil"/>
            </w:tcBorders>
          </w:tcPr>
          <w:p w14:paraId="2D4581A7">
            <w:pPr>
              <w:pageBreakBefore w:val="0"/>
              <w:kinsoku/>
              <w:wordWrap/>
              <w:overflowPunct/>
              <w:topLinePunct w:val="0"/>
              <w:autoSpaceDE/>
              <w:autoSpaceDN/>
              <w:bidi w:val="0"/>
              <w:adjustRightInd/>
              <w:snapToGrid/>
              <w:spacing w:line="400" w:lineRule="exact"/>
              <w:ind w:firstLine="630" w:firstLineChars="300"/>
              <w:jc w:val="both"/>
              <w:rPr>
                <w:sz w:val="21"/>
                <w:szCs w:val="21"/>
              </w:rPr>
            </w:pPr>
            <w:r>
              <w:rPr>
                <w:rFonts w:hint="eastAsia"/>
                <w:sz w:val="21"/>
                <w:szCs w:val="21"/>
                <w:lang w:val="en-US" w:eastAsia="zh-CN"/>
              </w:rPr>
              <w:t>3项/年</w:t>
            </w:r>
          </w:p>
        </w:tc>
        <w:tc>
          <w:tcPr>
            <w:tcW w:w="1884" w:type="dxa"/>
            <w:tcBorders>
              <w:tl2br w:val="nil"/>
              <w:tr2bl w:val="nil"/>
            </w:tcBorders>
          </w:tcPr>
          <w:p w14:paraId="3FB4FE98">
            <w:pPr>
              <w:pageBreakBefore w:val="0"/>
              <w:kinsoku/>
              <w:wordWrap/>
              <w:overflowPunct/>
              <w:topLinePunct w:val="0"/>
              <w:autoSpaceDE/>
              <w:autoSpaceDN/>
              <w:bidi w:val="0"/>
              <w:adjustRightInd/>
              <w:snapToGrid/>
              <w:spacing w:line="400" w:lineRule="exact"/>
              <w:jc w:val="both"/>
              <w:rPr>
                <w:sz w:val="21"/>
                <w:szCs w:val="21"/>
              </w:rPr>
            </w:pPr>
            <w:r>
              <w:rPr>
                <w:rFonts w:hint="eastAsia"/>
                <w:sz w:val="21"/>
                <w:szCs w:val="21"/>
                <w:lang w:val="en-US" w:eastAsia="zh-CN"/>
              </w:rPr>
              <w:t>15项/年</w:t>
            </w:r>
          </w:p>
        </w:tc>
        <w:tc>
          <w:tcPr>
            <w:tcW w:w="1176" w:type="dxa"/>
            <w:tcBorders>
              <w:tl2br w:val="nil"/>
              <w:tr2bl w:val="nil"/>
            </w:tcBorders>
          </w:tcPr>
          <w:p w14:paraId="2B40813B">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+400%</w:t>
            </w:r>
          </w:p>
        </w:tc>
        <w:tc>
          <w:tcPr>
            <w:tcW w:w="1429" w:type="dxa"/>
            <w:tcBorders>
              <w:tl2br w:val="nil"/>
              <w:tr2bl w:val="nil"/>
            </w:tcBorders>
          </w:tcPr>
          <w:p w14:paraId="3E81D42C">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课程方案库</w:t>
            </w:r>
          </w:p>
        </w:tc>
      </w:tr>
      <w:tr w14:paraId="4BB9BC1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113" w:type="dxa"/>
            <w:tcBorders>
              <w:tl2br w:val="nil"/>
              <w:tr2bl w:val="nil"/>
            </w:tcBorders>
          </w:tcPr>
          <w:p w14:paraId="3EA77E58">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社区联合成果影响力</w:t>
            </w:r>
          </w:p>
        </w:tc>
        <w:tc>
          <w:tcPr>
            <w:tcW w:w="1920" w:type="dxa"/>
            <w:tcBorders>
              <w:tl2br w:val="nil"/>
              <w:tr2bl w:val="nil"/>
            </w:tcBorders>
          </w:tcPr>
          <w:p w14:paraId="2D71252B">
            <w:pPr>
              <w:pageBreakBefore w:val="0"/>
              <w:kinsoku/>
              <w:wordWrap/>
              <w:overflowPunct/>
              <w:topLinePunct w:val="0"/>
              <w:autoSpaceDE/>
              <w:autoSpaceDN/>
              <w:bidi w:val="0"/>
              <w:adjustRightInd/>
              <w:snapToGrid/>
              <w:spacing w:line="400" w:lineRule="exact"/>
              <w:ind w:left="0" w:leftChars="0" w:firstLine="630" w:firstLineChars="300"/>
              <w:jc w:val="both"/>
              <w:rPr>
                <w:sz w:val="21"/>
                <w:szCs w:val="21"/>
              </w:rPr>
            </w:pPr>
            <w:r>
              <w:rPr>
                <w:rFonts w:hint="eastAsia"/>
                <w:sz w:val="21"/>
                <w:szCs w:val="21"/>
                <w:lang w:val="en-US" w:eastAsia="zh-CN"/>
              </w:rPr>
              <w:t>1次/年</w:t>
            </w:r>
          </w:p>
        </w:tc>
        <w:tc>
          <w:tcPr>
            <w:tcW w:w="1884" w:type="dxa"/>
            <w:tcBorders>
              <w:tl2br w:val="nil"/>
              <w:tr2bl w:val="nil"/>
            </w:tcBorders>
          </w:tcPr>
          <w:p w14:paraId="32136FA0">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default"/>
                <w:sz w:val="21"/>
                <w:szCs w:val="21"/>
                <w:lang w:val="en-US" w:eastAsia="zh-CN"/>
              </w:rPr>
              <w:t xml:space="preserve">    </w:t>
            </w:r>
            <w:r>
              <w:rPr>
                <w:rFonts w:hint="eastAsia"/>
                <w:sz w:val="21"/>
                <w:szCs w:val="21"/>
                <w:lang w:val="en-US" w:eastAsia="zh-CN"/>
              </w:rPr>
              <w:t>6次/年</w:t>
            </w:r>
          </w:p>
        </w:tc>
        <w:tc>
          <w:tcPr>
            <w:tcW w:w="1176" w:type="dxa"/>
            <w:tcBorders>
              <w:tl2br w:val="nil"/>
              <w:tr2bl w:val="nil"/>
            </w:tcBorders>
          </w:tcPr>
          <w:p w14:paraId="794A44BB">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+500%</w:t>
            </w:r>
          </w:p>
        </w:tc>
        <w:tc>
          <w:tcPr>
            <w:tcW w:w="1429" w:type="dxa"/>
            <w:tcBorders>
              <w:tl2br w:val="nil"/>
              <w:tr2bl w:val="nil"/>
            </w:tcBorders>
          </w:tcPr>
          <w:p w14:paraId="41DE633D">
            <w:pPr>
              <w:pageBreakBefore w:val="0"/>
              <w:kinsoku/>
              <w:wordWrap/>
              <w:overflowPunct/>
              <w:topLinePunct w:val="0"/>
              <w:autoSpaceDE/>
              <w:autoSpaceDN/>
              <w:bidi w:val="0"/>
              <w:adjustRightInd/>
              <w:snapToGrid/>
              <w:spacing w:line="400" w:lineRule="exact"/>
              <w:ind w:left="0" w:leftChars="0" w:firstLine="0" w:firstLineChars="0"/>
              <w:jc w:val="both"/>
              <w:rPr>
                <w:sz w:val="21"/>
                <w:szCs w:val="21"/>
              </w:rPr>
            </w:pPr>
            <w:r>
              <w:rPr>
                <w:rFonts w:hint="eastAsia"/>
                <w:sz w:val="21"/>
                <w:szCs w:val="21"/>
                <w:lang w:val="en-US" w:eastAsia="zh-CN"/>
              </w:rPr>
              <w:t>活动报道</w:t>
            </w:r>
          </w:p>
        </w:tc>
      </w:tr>
    </w:tbl>
    <w:p w14:paraId="3414BBB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从表</w:t>
      </w:r>
      <w:r>
        <w:rPr>
          <w:rFonts w:hint="default" w:cs="Times New Roman" w:asciiTheme="minorEastAsia" w:hAnsiTheme="minorEastAsia" w:eastAsiaTheme="minorEastAsia"/>
          <w:sz w:val="21"/>
          <w:szCs w:val="21"/>
          <w:lang w:val="en-US" w:eastAsia="zh-CN"/>
        </w:rPr>
        <w:t>7-4</w:t>
      </w:r>
      <w:r>
        <w:rPr>
          <w:rFonts w:hint="eastAsia" w:cs="Times New Roman" w:asciiTheme="minorEastAsia" w:hAnsiTheme="minorEastAsia" w:eastAsiaTheme="minorEastAsia"/>
          <w:sz w:val="21"/>
          <w:szCs w:val="21"/>
          <w:lang w:val="en-US" w:eastAsia="zh-CN"/>
        </w:rPr>
        <w:t>可以看出，社区资源深度激活，形成常态化协作生态。西岸美术馆、上海植物园、</w:t>
      </w:r>
      <w:r>
        <w:rPr>
          <w:rFonts w:hint="default" w:cs="Times New Roman" w:asciiTheme="minorEastAsia" w:hAnsiTheme="minorEastAsia" w:eastAsiaTheme="minorEastAsia"/>
          <w:sz w:val="21"/>
          <w:szCs w:val="21"/>
          <w:lang w:val="en-US" w:eastAsia="zh-Hans"/>
        </w:rPr>
        <w:t>上海昆虫博物馆</w:t>
      </w:r>
      <w:r>
        <w:rPr>
          <w:rFonts w:hint="eastAsia" w:cs="Times New Roman" w:asciiTheme="minorEastAsia" w:hAnsiTheme="minorEastAsia" w:eastAsiaTheme="minorEastAsia"/>
          <w:sz w:val="21"/>
          <w:szCs w:val="21"/>
          <w:lang w:val="en-US" w:eastAsia="zh-CN"/>
        </w:rPr>
        <w:t>等6家单位签订长期协议，年均合作课程从3项增至15项。例如，美术馆策展人定期入园指导幼儿布置“班级画廊”，年均为200名幼儿提供沉浸式艺术体验；</w:t>
      </w:r>
      <w:r>
        <w:rPr>
          <w:rFonts w:hint="default" w:cs="Times New Roman" w:asciiTheme="minorEastAsia" w:hAnsiTheme="minorEastAsia" w:eastAsiaTheme="minorEastAsia"/>
          <w:sz w:val="21"/>
          <w:szCs w:val="21"/>
          <w:lang w:val="en-US" w:eastAsia="zh-Hans"/>
        </w:rPr>
        <w:t>交大水下技术工程研究中心</w:t>
      </w:r>
      <w:r>
        <w:rPr>
          <w:rFonts w:hint="eastAsia" w:cs="Times New Roman" w:asciiTheme="minorEastAsia" w:hAnsiTheme="minorEastAsia" w:eastAsiaTheme="minorEastAsia"/>
          <w:sz w:val="21"/>
          <w:szCs w:val="21"/>
          <w:lang w:val="en-US" w:eastAsia="zh-CN"/>
        </w:rPr>
        <w:t>开设“桥梁工程师”工作坊，幼儿在工程师指导下用木棍与黏土测试拱桥承重极限。与</w:t>
      </w:r>
      <w:r>
        <w:rPr>
          <w:rFonts w:hint="default" w:cs="Times New Roman" w:asciiTheme="minorEastAsia" w:hAnsiTheme="minorEastAsia" w:eastAsiaTheme="minorEastAsia"/>
          <w:sz w:val="21"/>
          <w:szCs w:val="21"/>
          <w:lang w:val="en-US" w:eastAsia="zh-Hans"/>
        </w:rPr>
        <w:t>中海瀛台居委会、长桥新村派出所、铭言集团妇联、长桥社区医院等单位签订共建协议，积极挖掘社区资源开发幼儿活动基地，不断丰富主题资源</w:t>
      </w:r>
      <w:r>
        <w:rPr>
          <w:rFonts w:hint="eastAsia" w:cs="Times New Roman" w:asciiTheme="minorEastAsia" w:hAnsiTheme="minorEastAsia" w:eastAsiaTheme="minorEastAsia"/>
          <w:sz w:val="21"/>
          <w:szCs w:val="21"/>
          <w:lang w:val="en-US" w:eastAsia="zh-CN"/>
        </w:rPr>
        <w:t>；社区联合成果从单一的园内展览扩展至公园、商场等公共空间，年均举办6场“行走课堂成果展”，参观人次超5000人，社区美育影响力显著提升。</w:t>
      </w:r>
    </w:p>
    <w:p w14:paraId="66FC5C50">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1"/>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（二）实践反思与优化方向</w:t>
      </w:r>
    </w:p>
    <w:p w14:paraId="3B1B5C39">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1.</w:t>
      </w:r>
      <w:r>
        <w:rPr>
          <w:rFonts w:hint="eastAsia" w:cs="Times New Roman" w:asciiTheme="minorEastAsia" w:hAnsiTheme="minorEastAsia" w:eastAsiaTheme="minorEastAsia"/>
          <w:b/>
          <w:bCs/>
          <w:sz w:val="21"/>
          <w:szCs w:val="21"/>
          <w:lang w:val="en-US" w:eastAsia="zh-CN"/>
        </w:rPr>
        <w:t>资源整合的系统性有待提升</w:t>
      </w:r>
    </w:p>
    <w:p w14:paraId="625D5B70">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各类资源的分类标准尚不统一，动态更新机制有待完善，导致部分优质资源未能得到充分利用。自然景观、文化场馆与社区单位之间的联动性较弱，资源间的协同效应尚未充分发挥。特别是在季节更替时，资源的适配性调整不够及时，影响了课程的连贯性。未来需建立更加科学的资源管理体系，制定明确的分类标准与调用流程，同时加强资源间的主题化联动，形成更具整体性的课程生态。通过定期评估与更新资源库，确保各类资源能够持续为美育活动提供支持。</w:t>
      </w:r>
    </w:p>
    <w:p w14:paraId="0BA30773">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2.</w:t>
      </w:r>
      <w:r>
        <w:rPr>
          <w:rFonts w:hint="eastAsia" w:cs="Times New Roman" w:asciiTheme="minorEastAsia" w:hAnsiTheme="minorEastAsia" w:eastAsiaTheme="minorEastAsia"/>
          <w:b/>
          <w:bCs/>
          <w:sz w:val="21"/>
          <w:szCs w:val="21"/>
          <w:lang w:val="en-US" w:eastAsia="zh-CN"/>
        </w:rPr>
        <w:t>课程设计的灵活性仍需加强</w:t>
      </w:r>
    </w:p>
    <w:p w14:paraId="3CEE4207">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部分活动过于依赖预设教案，未能充分捕捉幼儿在真实场景中的即时兴趣，限制了其创造力的发挥。活动形式的多样性有待拓展，成果展示方式较为单一，未能全面体现幼儿的个性化表达。未来应进一步优化课程设计的灵活性，建立动态调整机制，鼓励教师根据幼儿的实际反应及时调整活动内容。丰富成果展示形式，引入更多元的表现手法，为幼儿提供更广阔的创作空间。</w:t>
      </w:r>
    </w:p>
    <w:p w14:paraId="6B92C13C">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3.</w:t>
      </w:r>
      <w:r>
        <w:rPr>
          <w:rFonts w:hint="eastAsia" w:cs="Times New Roman" w:asciiTheme="minorEastAsia" w:hAnsiTheme="minorEastAsia" w:eastAsiaTheme="minorEastAsia"/>
          <w:b/>
          <w:bCs/>
          <w:sz w:val="21"/>
          <w:szCs w:val="21"/>
          <w:lang w:val="en-US" w:eastAsia="zh-CN"/>
        </w:rPr>
        <w:t>协同机制的深度尚需深化</w:t>
      </w:r>
    </w:p>
    <w:p w14:paraId="5B326F81">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家园社协同机制在形式上已初步建立，但深度协作仍有待加强。不分家长的参与仍停留在活动陪同层面，未能充分融入课程设计、实施与评价的全流程。社区资源的利用也以场地支持为主，专业资源的开发潜力尚未完全释放。未来需进一步明确各方角色定位，构建更加紧密的协作网络。通过设计更具参与性的任务和工具，降低家庭与社区的参与门槛，激发其主动性和创造力。同时，建立常态化的沟通与反馈机制，确保协同效果能够持续深化。</w:t>
      </w:r>
    </w:p>
    <w:p w14:paraId="4E146354">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2"/>
        <w:rPr>
          <w:rFonts w:hint="eastAsia" w:cs="Times New Roman" w:asciiTheme="minorEastAsia" w:hAnsiTheme="minorEastAsia" w:eastAsiaTheme="minorEastAsia"/>
          <w:b/>
          <w:bCs/>
          <w:sz w:val="21"/>
          <w:szCs w:val="21"/>
          <w:lang w:val="en-US" w:eastAsia="zh-CN"/>
        </w:rPr>
      </w:pPr>
      <w:r>
        <w:rPr>
          <w:rFonts w:hint="default" w:cs="Times New Roman" w:asciiTheme="minorEastAsia" w:hAnsiTheme="minorEastAsia" w:eastAsiaTheme="minorEastAsia"/>
          <w:b/>
          <w:bCs/>
          <w:sz w:val="21"/>
          <w:szCs w:val="21"/>
          <w:lang w:val="en-US" w:eastAsia="zh-CN"/>
        </w:rPr>
        <w:t>4.</w:t>
      </w:r>
      <w:r>
        <w:rPr>
          <w:rFonts w:hint="eastAsia" w:cs="Times New Roman" w:asciiTheme="minorEastAsia" w:hAnsiTheme="minorEastAsia" w:eastAsiaTheme="minorEastAsia"/>
          <w:b/>
          <w:bCs/>
          <w:sz w:val="21"/>
          <w:szCs w:val="21"/>
          <w:lang w:val="en-US" w:eastAsia="zh-CN"/>
        </w:rPr>
        <w:t>教师能力的结构性差异亟待平衡</w:t>
      </w:r>
    </w:p>
    <w:p w14:paraId="3EF1EB7B">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教师队伍的专业能力呈现出明显的结构性差异，新教师与资深教师在资源转化、课程设计等方面的能力差距较大。跨学科知识的不足也制约了部分活动的深度，影响了课程的整体质量。未来应进一步完善分层培训体系，针对不同发展阶段教师的需求提供差异化支持。通过跨学科教研、案例研讨等形式，提升教师的综合素养与创新能力。同时，建立师徒结对机制，促进经验共享与团队成长，逐步缩小能力差距，推动教师队伍的整体提升。</w:t>
      </w:r>
    </w:p>
    <w:p w14:paraId="2CC5DADF">
      <w:pPr>
        <w:keepNext w:val="0"/>
        <w:keepLines w:val="0"/>
        <w:pageBreakBefore w:val="0"/>
        <w:widowControl w:val="0"/>
        <w:kinsoku/>
        <w:wordWrap/>
        <w:overflowPunct/>
        <w:topLinePunct w:val="0"/>
        <w:autoSpaceDE/>
        <w:autoSpaceDN/>
        <w:bidi w:val="0"/>
        <w:adjustRightInd w:val="0"/>
        <w:snapToGrid w:val="0"/>
        <w:spacing w:line="360" w:lineRule="exact"/>
        <w:ind w:firstLine="422" w:firstLineChars="200"/>
        <w:textAlignment w:val="auto"/>
        <w:outlineLvl w:val="0"/>
        <w:rPr>
          <w:rFonts w:hint="eastAsia" w:cs="Times New Roman" w:asciiTheme="minorEastAsia" w:hAnsiTheme="minorEastAsia" w:eastAsiaTheme="minorEastAsia"/>
          <w:b/>
          <w:bCs/>
          <w:sz w:val="21"/>
          <w:szCs w:val="21"/>
          <w:lang w:val="en-US" w:eastAsia="zh-CN"/>
        </w:rPr>
      </w:pPr>
      <w:r>
        <w:rPr>
          <w:rFonts w:hint="eastAsia" w:cs="Times New Roman" w:asciiTheme="minorEastAsia" w:hAnsiTheme="minorEastAsia" w:eastAsiaTheme="minorEastAsia"/>
          <w:b/>
          <w:bCs/>
          <w:sz w:val="21"/>
          <w:szCs w:val="21"/>
          <w:lang w:val="en-US" w:eastAsia="zh-CN"/>
        </w:rPr>
        <w:t>六、结论与展望</w:t>
      </w:r>
    </w:p>
    <w:p w14:paraId="1238148A">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本研究以家园共育为视角，聚焦户外创意美术活动的系统化实践，通过构建“自然—艺术—社会”资源联动的课程生态，探索了幼儿园美育从封闭走向开放、从技能训练转向生态化生成的可能路径。研究证实，以“行走课堂”为载体的户外美育模式能够有效突破传统课堂的边界限制，通过真实场景的沉浸式体验与多方主体的深度协作，显著激发幼儿的审美感知力、创造力与社会性发展。自然景观、文化场馆与社区资源的整合，不仅拓展了美育的物理空间，更通过生活化、游戏化的活动设计，将审美教育根植于幼儿的日常经验，实现了“美源于生活”的教育理念向实践的有效转化。家园社协同机制的创新实践，重构了家庭与社区的教育角色，推动资源提供者向课程共建者转型，为幼儿的全面发展构建了多维联动的育人生态。</w:t>
      </w:r>
    </w:p>
    <w:p w14:paraId="79EADBCC">
      <w:pPr>
        <w:keepNext w:val="0"/>
        <w:keepLines w:val="0"/>
        <w:pageBreakBefore w:val="0"/>
        <w:widowControl w:val="0"/>
        <w:kinsoku/>
        <w:wordWrap/>
        <w:overflowPunct/>
        <w:topLinePunct w:val="0"/>
        <w:autoSpaceDE/>
        <w:autoSpaceDN/>
        <w:bidi w:val="0"/>
        <w:adjustRightInd w:val="0"/>
        <w:snapToGrid w:val="0"/>
        <w:spacing w:line="360" w:lineRule="exact"/>
        <w:ind w:firstLine="420"/>
        <w:textAlignment w:val="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lang w:val="en-US" w:eastAsia="zh-CN"/>
        </w:rPr>
        <w:t>未来，户外创意美术活动的深化发展需进一步强化系统性思维，在资源整合、课程设计、协同机制与教师能力等维度持续优化。在资源管理层面，需建立动态化、主题化的资源网络，通过科学的分类标签与长效协作框架，破解季节适配性不足与联动逻辑薄弱的问题，推动自然、文化与社区资源的深度融合。课程设计应更加注重生成性与开放性，通过弹性调整机制捕捉幼儿的即时兴趣，将偶发灵感转化为课程生长点，同时拓展跨学科整合路径，强化科学探究、文化传承与艺术表达的有机衔接。协同机制建设需向纵深推进，通过数字化工具与契约化合作模式，明确家庭在课程共建中的核心职能，激活社区专业力量的教育价值，构建更具包容性与长效性的协同生态。教师专业发展则需聚焦能力均衡与创新素养，通过分层培训与跨学科教研，提升资源转化能力与生成性课程设计水平，推动教师从经验执行者向研究型实践者转型。</w:t>
      </w:r>
    </w:p>
    <w:p w14:paraId="0927F752">
      <w:pPr>
        <w:pageBreakBefore w:val="0"/>
        <w:kinsoku/>
        <w:wordWrap/>
        <w:overflowPunct/>
        <w:topLinePunct w:val="0"/>
        <w:autoSpaceDE/>
        <w:autoSpaceDN/>
        <w:bidi w:val="0"/>
        <w:adjustRightInd/>
        <w:snapToGrid/>
        <w:spacing w:line="400" w:lineRule="exact"/>
        <w:ind w:left="0" w:leftChars="0" w:firstLine="0" w:firstLineChars="0"/>
        <w:jc w:val="both"/>
        <w:outlineLvl w:val="0"/>
        <w:rPr>
          <w:rFonts w:hint="eastAsia" w:cs="Times New Roman" w:asciiTheme="minorEastAsia" w:hAnsiTheme="minorEastAsia" w:eastAsiaTheme="minorEastAsia"/>
          <w:bCs w:val="0"/>
          <w:kern w:val="2"/>
          <w:sz w:val="21"/>
          <w:szCs w:val="21"/>
          <w:lang w:val="en-US" w:eastAsia="zh-CN" w:bidi="ar-SA"/>
        </w:rPr>
      </w:pPr>
    </w:p>
    <w:p w14:paraId="34194061">
      <w:pPr>
        <w:pageBreakBefore w:val="0"/>
        <w:kinsoku/>
        <w:wordWrap/>
        <w:overflowPunct/>
        <w:topLinePunct w:val="0"/>
        <w:autoSpaceDE/>
        <w:autoSpaceDN/>
        <w:bidi w:val="0"/>
        <w:adjustRightInd/>
        <w:snapToGrid/>
        <w:spacing w:line="400" w:lineRule="exact"/>
        <w:ind w:left="0" w:leftChars="0" w:firstLine="0" w:firstLineChars="0"/>
        <w:jc w:val="left"/>
        <w:outlineLvl w:val="0"/>
        <w:rPr>
          <w:rFonts w:hint="eastAsia" w:cs="Times New Roman" w:asciiTheme="minorEastAsia" w:hAnsiTheme="minorEastAsia" w:eastAsiaTheme="minorEastAsia"/>
          <w:b/>
          <w:bCs/>
          <w:kern w:val="2"/>
          <w:sz w:val="21"/>
          <w:szCs w:val="21"/>
          <w:lang w:val="en-US" w:eastAsia="zh-CN" w:bidi="ar-SA"/>
        </w:rPr>
      </w:pPr>
      <w:r>
        <w:rPr>
          <w:rFonts w:hint="eastAsia" w:cs="Times New Roman" w:asciiTheme="minorEastAsia" w:hAnsiTheme="minorEastAsia" w:eastAsiaTheme="minorEastAsia"/>
          <w:b/>
          <w:bCs/>
          <w:kern w:val="2"/>
          <w:sz w:val="21"/>
          <w:szCs w:val="21"/>
          <w:lang w:val="en-US" w:eastAsia="zh-CN" w:bidi="ar-SA"/>
        </w:rPr>
        <w:t>附录：访谈提纲</w:t>
      </w:r>
    </w:p>
    <w:p w14:paraId="14314C79">
      <w:pPr>
        <w:pageBreakBefore w:val="0"/>
        <w:kinsoku/>
        <w:wordWrap/>
        <w:overflowPunct/>
        <w:topLinePunct w:val="0"/>
        <w:autoSpaceDE/>
        <w:autoSpaceDN/>
        <w:bidi w:val="0"/>
        <w:adjustRightInd/>
        <w:snapToGrid/>
        <w:spacing w:line="400" w:lineRule="exact"/>
        <w:ind w:firstLine="420" w:firstLineChars="200"/>
        <w:jc w:val="both"/>
        <w:outlineLvl w:val="0"/>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一、教师访谈提纲</w:t>
      </w:r>
    </w:p>
    <w:p w14:paraId="31D58253">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（一）资源整合与活动设计</w:t>
      </w:r>
    </w:p>
    <w:p w14:paraId="35A98456">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在设计和实施户外创意美术活动时，您通常如何选择与整合周边的自然、社区资源？请举例说明。</w:t>
      </w:r>
    </w:p>
    <w:p w14:paraId="0D07D86C">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您认为当前资源利用的主要瓶颈是什么？（如分类标准、动态管理、季节适配性等）</w:t>
      </w:r>
    </w:p>
    <w:p w14:paraId="5827D362">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3.</w:t>
      </w:r>
      <w:r>
        <w:rPr>
          <w:rFonts w:hint="eastAsia" w:cs="Times New Roman" w:asciiTheme="minorEastAsia" w:hAnsiTheme="minorEastAsia" w:eastAsiaTheme="minorEastAsia"/>
          <w:bCs w:val="0"/>
          <w:kern w:val="2"/>
          <w:sz w:val="21"/>
          <w:szCs w:val="21"/>
          <w:lang w:val="en-US" w:eastAsia="zh-CN" w:bidi="ar-SA"/>
        </w:rPr>
        <w:t>分层活动设计中，如何平衡小、中、大班幼儿的认知差异？遇到过哪些适配性问题？</w:t>
      </w:r>
    </w:p>
    <w:p w14:paraId="16509A9E">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（二）家园社协同机制</w:t>
      </w:r>
    </w:p>
    <w:p w14:paraId="53A79AA5">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家长和社区工作者在活动中承担哪些具体角色？他们的参与深度是否达到预期？</w:t>
      </w:r>
    </w:p>
    <w:p w14:paraId="5251D313">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您认为线上平台（如微信公众号）在促进家园协作中有哪些优势与不足？</w:t>
      </w:r>
    </w:p>
    <w:p w14:paraId="67A21B50">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3.</w:t>
      </w:r>
      <w:r>
        <w:rPr>
          <w:rFonts w:hint="eastAsia" w:cs="Times New Roman" w:asciiTheme="minorEastAsia" w:hAnsiTheme="minorEastAsia" w:eastAsiaTheme="minorEastAsia"/>
          <w:bCs w:val="0"/>
          <w:kern w:val="2"/>
          <w:sz w:val="21"/>
          <w:szCs w:val="21"/>
          <w:lang w:val="en-US" w:eastAsia="zh-CN" w:bidi="ar-SA"/>
        </w:rPr>
        <w:t>如何评价当前与社区单位的合作模式？是否存在未被开发的潜在资源？</w:t>
      </w:r>
    </w:p>
    <w:p w14:paraId="270CBB1E">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（三）专业能力与支持需求</w:t>
      </w:r>
    </w:p>
    <w:p w14:paraId="49E39BC7">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在户外活动中，您认为教师最需要提升的能力是什么？（如跨学科知识、风险管理、生成性课程设计等）</w:t>
      </w:r>
    </w:p>
    <w:p w14:paraId="3858CA73">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园所或外部机构提供了哪些专业支持？这些支持是否足够？</w:t>
      </w:r>
    </w:p>
    <w:p w14:paraId="5D599CF4">
      <w:pPr>
        <w:pageBreakBefore w:val="0"/>
        <w:kinsoku/>
        <w:wordWrap/>
        <w:overflowPunct/>
        <w:topLinePunct w:val="0"/>
        <w:autoSpaceDE/>
        <w:autoSpaceDN/>
        <w:bidi w:val="0"/>
        <w:adjustRightInd/>
        <w:snapToGrid/>
        <w:spacing w:line="400" w:lineRule="exact"/>
        <w:ind w:firstLine="420" w:firstLineChars="200"/>
        <w:jc w:val="both"/>
        <w:outlineLvl w:val="0"/>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二、家长访谈提纲</w:t>
      </w:r>
    </w:p>
    <w:p w14:paraId="7015F9EF">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（一）参与体验与价值认知</w:t>
      </w:r>
    </w:p>
    <w:p w14:paraId="6A247D0B">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您如何理解“家园共育”在户外美术活动中的作用？请结合具体活动说明。</w:t>
      </w:r>
    </w:p>
    <w:p w14:paraId="33AB87F7">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您参与过哪些户外美育活动？最满意或最不满意的一次经历是什么？</w:t>
      </w:r>
    </w:p>
    <w:p w14:paraId="7BF919DA">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（二）角色定位与协作障碍</w:t>
      </w:r>
    </w:p>
    <w:p w14:paraId="39A5C511">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您认为自己在活动中更适合承担什么角色？（如资源提供者、活动协作者、课程评价者等）</w:t>
      </w:r>
    </w:p>
    <w:p w14:paraId="65E22836">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您觉得当前家庭参与的主要障碍是什么？（如时间冲突、信息不透明、缺乏参与路径等）</w:t>
      </w:r>
    </w:p>
    <w:p w14:paraId="46D5E305">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（三）优化建议</w:t>
      </w:r>
    </w:p>
    <w:p w14:paraId="1F13BE35">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您希望幼儿园如何改进现有的协同机制？（如增加家庭任务卡、开放课程设计通道等）</w:t>
      </w:r>
    </w:p>
    <w:p w14:paraId="224C9EC4">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您对社区资源的利用有哪些期待？（如开放民俗工坊、邀请艺术家驻园等）</w:t>
      </w:r>
    </w:p>
    <w:p w14:paraId="2EB42134">
      <w:pPr>
        <w:pageBreakBefore w:val="0"/>
        <w:kinsoku/>
        <w:wordWrap/>
        <w:overflowPunct/>
        <w:topLinePunct w:val="0"/>
        <w:autoSpaceDE/>
        <w:autoSpaceDN/>
        <w:bidi w:val="0"/>
        <w:adjustRightInd/>
        <w:snapToGrid/>
        <w:spacing w:line="400" w:lineRule="exact"/>
        <w:ind w:firstLine="420" w:firstLineChars="200"/>
        <w:jc w:val="both"/>
        <w:outlineLvl w:val="0"/>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三、社区工作者访谈提纲</w:t>
      </w:r>
    </w:p>
    <w:p w14:paraId="4E77F952">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（一）资源开发与合作现状</w:t>
      </w:r>
    </w:p>
    <w:p w14:paraId="437C6EF6">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您所在的单位（如美术馆、公园、共建企业）与幼儿园的合作形式有哪些？是否形成常态化机制？</w:t>
      </w:r>
    </w:p>
    <w:p w14:paraId="25BAB26B">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您认为当前合作中存在哪些问题？（如目标不明确、沟通低效、资源闲置等）</w:t>
      </w:r>
    </w:p>
    <w:p w14:paraId="50EB9541">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（二）专业支持与潜力挖掘</w:t>
      </w:r>
    </w:p>
    <w:p w14:paraId="0BDD2C57">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您的专业知识或资源如何转化为幼儿园的美育课程素材？请举例说明。</w:t>
      </w:r>
    </w:p>
    <w:p w14:paraId="597A27D2">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您对深化家园社协同有哪些建议？（如签订课程共建协议、开展联合教研等）</w:t>
      </w:r>
    </w:p>
    <w:p w14:paraId="38B0A70C">
      <w:pPr>
        <w:pageBreakBefore w:val="0"/>
        <w:kinsoku/>
        <w:wordWrap/>
        <w:overflowPunct/>
        <w:topLinePunct w:val="0"/>
        <w:autoSpaceDE/>
        <w:autoSpaceDN/>
        <w:bidi w:val="0"/>
        <w:adjustRightInd/>
        <w:snapToGrid/>
        <w:spacing w:line="400" w:lineRule="exact"/>
        <w:ind w:firstLine="420" w:firstLineChars="200"/>
        <w:jc w:val="both"/>
        <w:outlineLvl w:val="1"/>
        <w:rPr>
          <w:rFonts w:hint="eastAsia" w:cs="Times New Roman" w:asciiTheme="minorEastAsia" w:hAnsiTheme="minorEastAsia" w:eastAsiaTheme="minorEastAsia"/>
          <w:bCs w:val="0"/>
          <w:kern w:val="2"/>
          <w:sz w:val="21"/>
          <w:szCs w:val="21"/>
          <w:lang w:val="en-US" w:eastAsia="zh-CN" w:bidi="ar-SA"/>
        </w:rPr>
      </w:pPr>
      <w:r>
        <w:rPr>
          <w:rFonts w:hint="eastAsia" w:cs="Times New Roman" w:asciiTheme="minorEastAsia" w:hAnsiTheme="minorEastAsia" w:eastAsiaTheme="minorEastAsia"/>
          <w:bCs w:val="0"/>
          <w:kern w:val="2"/>
          <w:sz w:val="21"/>
          <w:szCs w:val="21"/>
          <w:lang w:val="en-US" w:eastAsia="zh-CN" w:bidi="ar-SA"/>
        </w:rPr>
        <w:t>（三）社区文化融入美育</w:t>
      </w:r>
    </w:p>
    <w:p w14:paraId="42E17B7A">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1.</w:t>
      </w:r>
      <w:r>
        <w:rPr>
          <w:rFonts w:hint="eastAsia" w:cs="Times New Roman" w:asciiTheme="minorEastAsia" w:hAnsiTheme="minorEastAsia" w:eastAsiaTheme="minorEastAsia"/>
          <w:bCs w:val="0"/>
          <w:kern w:val="2"/>
          <w:sz w:val="21"/>
          <w:szCs w:val="21"/>
          <w:lang w:val="en-US" w:eastAsia="zh-CN" w:bidi="ar-SA"/>
        </w:rPr>
        <w:t>您认为社区的历史、文化或科技资源如何与幼儿的审美教育结合？</w:t>
      </w:r>
    </w:p>
    <w:p w14:paraId="524CC040">
      <w:pPr>
        <w:pageBreakBefore w:val="0"/>
        <w:kinsoku/>
        <w:wordWrap/>
        <w:overflowPunct/>
        <w:topLinePunct w:val="0"/>
        <w:autoSpaceDE/>
        <w:autoSpaceDN/>
        <w:bidi w:val="0"/>
        <w:adjustRightInd/>
        <w:snapToGrid/>
        <w:spacing w:line="400" w:lineRule="exact"/>
        <w:ind w:firstLine="420" w:firstLineChars="200"/>
        <w:jc w:val="both"/>
        <w:rPr>
          <w:rFonts w:hint="eastAsia" w:cs="Times New Roman" w:asciiTheme="minorEastAsia" w:hAnsiTheme="minorEastAsia" w:eastAsiaTheme="minorEastAsia"/>
          <w:bCs w:val="0"/>
          <w:kern w:val="2"/>
          <w:sz w:val="21"/>
          <w:szCs w:val="21"/>
          <w:lang w:val="en-US" w:eastAsia="zh-CN" w:bidi="ar-SA"/>
        </w:rPr>
      </w:pPr>
      <w:r>
        <w:rPr>
          <w:rFonts w:hint="default" w:cs="Times New Roman" w:asciiTheme="minorEastAsia" w:hAnsiTheme="minorEastAsia" w:eastAsiaTheme="minorEastAsia"/>
          <w:bCs w:val="0"/>
          <w:kern w:val="2"/>
          <w:sz w:val="21"/>
          <w:szCs w:val="21"/>
          <w:lang w:val="en-US" w:eastAsia="zh-CN" w:bidi="ar-SA"/>
        </w:rPr>
        <w:t>2.</w:t>
      </w:r>
      <w:r>
        <w:rPr>
          <w:rFonts w:hint="eastAsia" w:cs="Times New Roman" w:asciiTheme="minorEastAsia" w:hAnsiTheme="minorEastAsia" w:eastAsiaTheme="minorEastAsia"/>
          <w:bCs w:val="0"/>
          <w:kern w:val="2"/>
          <w:sz w:val="21"/>
          <w:szCs w:val="21"/>
          <w:lang w:val="en-US" w:eastAsia="zh-CN" w:bidi="ar-SA"/>
        </w:rPr>
        <w:t>是否愿意参与幼儿园课程设计？希望以何种形式介入？</w:t>
      </w:r>
    </w:p>
    <w:sectPr>
      <w:footerReference r:id="rId5" w:type="default"/>
      <w:footnotePr>
        <w:numFmt w:val="decimal"/>
        <w:numRestart w:val="eachPage"/>
      </w:footnotePr>
      <w:pgSz w:w="11906" w:h="16838"/>
      <w:pgMar w:top="1701" w:right="1701" w:bottom="1701"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9C2C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7F654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07F654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2">
    <w:p>
      <w:pPr>
        <w:spacing w:line="360" w:lineRule="auto"/>
        <w:ind w:firstLine="480"/>
      </w:pPr>
      <w:r>
        <w:separator/>
      </w:r>
    </w:p>
  </w:footnote>
  <w:footnote w:type="continuationSeparator" w:id="33">
    <w:p>
      <w:pPr>
        <w:spacing w:line="360" w:lineRule="auto"/>
        <w:ind w:firstLine="480"/>
      </w:pPr>
      <w:r>
        <w:continuationSeparator/>
      </w:r>
    </w:p>
  </w:footnote>
  <w:footnote w:id="0">
    <w:p w14:paraId="28630DB7">
      <w:pPr>
        <w:pStyle w:val="8"/>
        <w:snapToGrid w:val="0"/>
      </w:pPr>
      <w:r>
        <w:rPr>
          <w:rFonts w:hint="eastAsia" w:ascii="Calibri" w:hAnsi="Calibri" w:eastAsia="宋体" w:cs="Calibri"/>
          <w:szCs w:val="21"/>
        </w:rPr>
        <w:t>[</w:t>
      </w:r>
      <w:r>
        <w:rPr>
          <w:rFonts w:hint="eastAsia" w:ascii="Calibri" w:hAnsi="Calibri" w:eastAsia="宋体" w:cs="Calibri"/>
          <w:szCs w:val="21"/>
        </w:rPr>
        <w:footnoteRef/>
      </w:r>
      <w:r>
        <w:rPr>
          <w:rFonts w:hint="eastAsia" w:ascii="Calibri" w:hAnsi="Calibri" w:eastAsia="宋体" w:cs="Calibri"/>
          <w:szCs w:val="21"/>
        </w:rPr>
        <w:t>] 约瑟夫</w:t>
      </w:r>
      <w:r>
        <w:rPr>
          <w:rFonts w:hint="eastAsia" w:ascii="Calibri" w:hAnsi="Calibri" w:cs="Calibri"/>
          <w:szCs w:val="21"/>
        </w:rPr>
        <w:t>•克奈尔[D].共享自然.天津人民出版社,20</w:t>
      </w:r>
      <w:r>
        <w:rPr>
          <w:rFonts w:hint="eastAsia" w:ascii="Calibri" w:hAnsi="Calibri" w:cs="Calibri"/>
          <w:szCs w:val="21"/>
          <w:lang w:val="en-US" w:eastAsia="zh-CN"/>
        </w:rPr>
        <w:t>18</w:t>
      </w:r>
      <w:r>
        <w:rPr>
          <w:rFonts w:hint="eastAsia" w:ascii="Calibri" w:hAnsi="Calibri" w:cs="Calibri"/>
          <w:szCs w:val="21"/>
        </w:rPr>
        <w:t>.</w:t>
      </w:r>
    </w:p>
  </w:footnote>
  <w:footnote w:id="1">
    <w:p w14:paraId="53943CE9">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Krasovska</w:t>
      </w:r>
      <w:r>
        <w:rPr>
          <w:rFonts w:hint="default"/>
        </w:rPr>
        <w:t xml:space="preserve"> O ,Miskova N ,Veremchuk A . Professional Training of Future Preschool Teachers in the Field of Artistic and Aesthetic Education by Means of Contextual Learning Technologies [J]. Behavioral Sciences, 2020, 10 (2): 50.</w:t>
      </w:r>
    </w:p>
  </w:footnote>
  <w:footnote w:id="2">
    <w:p w14:paraId="1009B639">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Jun</w:t>
      </w:r>
      <w:r>
        <w:rPr>
          <w:rFonts w:hint="default"/>
        </w:rPr>
        <w:t>g S H ,Ja Y K . A Early Childhood Pre-Teacher's Perceptions on Early Childhood Aesthetic Education [J]. Korean Association For Learner-Centered Curriculum And Instruction, 2017, 17 (19): 665-687.</w:t>
      </w:r>
    </w:p>
  </w:footnote>
  <w:footnote w:id="3">
    <w:p w14:paraId="0BBA906D">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吴昳</w:t>
      </w:r>
      <w:r>
        <w:rPr>
          <w:rFonts w:hint="default"/>
        </w:rPr>
        <w:t>云. 利用自然资源开展幼儿园美育活动的策略 [J]. 家长, 2025, (02): 156-158.</w:t>
      </w:r>
    </w:p>
  </w:footnote>
  <w:footnote w:id="4">
    <w:p w14:paraId="37B869A6">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林莉莉</w:t>
      </w:r>
      <w:r>
        <w:rPr>
          <w:rFonts w:hint="default"/>
        </w:rPr>
        <w:t>. 探索幼儿园户外游戏中自然美育的实践路径 [J]. 家长, 2024, (36): 130-132.</w:t>
      </w:r>
    </w:p>
  </w:footnote>
  <w:footnote w:id="5">
    <w:p w14:paraId="571B46C8">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xml:space="preserve">] 邱丹妮. </w:t>
      </w:r>
      <w:r>
        <w:rPr>
          <w:rFonts w:hint="default"/>
        </w:rPr>
        <w:t>幼儿园利用自然资源开展美育策略研究 [J]. 教育界, 2024, (30): 122-124.</w:t>
      </w:r>
    </w:p>
  </w:footnote>
  <w:footnote w:id="6">
    <w:p w14:paraId="157D885E">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秦红. 反思</w:t>
      </w:r>
      <w:r>
        <w:rPr>
          <w:rFonts w:hint="default"/>
        </w:rPr>
        <w:t>与探寻：美育浸润视角下的幼儿园传统艺术教育 [J]. 早期教育, 2024, (48): 37-41.</w:t>
      </w:r>
    </w:p>
  </w:footnote>
  <w:footnote w:id="7">
    <w:p w14:paraId="72FA2409">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张芳,沈</w:t>
      </w:r>
      <w:r>
        <w:rPr>
          <w:rFonts w:hint="default"/>
        </w:rPr>
        <w:t>明泓. 丰子恺儿童美育思想在幼儿美育中的实践研究 [J]. 林区教学, 2025, (01): 93-96.</w:t>
      </w:r>
    </w:p>
  </w:footnote>
  <w:footnote w:id="8">
    <w:p w14:paraId="315A8E6B">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谢燕,陈</w:t>
      </w:r>
      <w:r>
        <w:rPr>
          <w:rFonts w:hint="default"/>
        </w:rPr>
        <w:t>秉龙. 幼儿园根植本土的“大美育”课程架构与实施 [J]. 国家通用语言文字教学与研究, 2024, (10): 176-178.</w:t>
      </w:r>
    </w:p>
  </w:footnote>
  <w:footnote w:id="9">
    <w:p w14:paraId="1409D193">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俞</w:t>
      </w:r>
      <w:r>
        <w:rPr>
          <w:rFonts w:hint="default"/>
        </w:rPr>
        <w:t>昕馨. 幼儿艺术审美教育活动中的家园角色与协同育人路径探析 [J]. 现代教学, 2024, (24): 65-69.</w:t>
      </w:r>
    </w:p>
  </w:footnote>
  <w:footnote w:id="10">
    <w:p w14:paraId="2C385427">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李玉</w:t>
      </w:r>
      <w:r>
        <w:rPr>
          <w:rFonts w:hint="default"/>
        </w:rPr>
        <w:t>涵,沈明泓. 基于自贡地方特色文化的幼儿园“亲子行走”课堂实践与探索 [J]. 教育观察, 2024, 13 (12): 123-126.</w:t>
      </w:r>
    </w:p>
  </w:footnote>
  <w:footnote w:id="11">
    <w:p w14:paraId="65251EBC">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王姗姗,</w:t>
      </w:r>
      <w:r>
        <w:rPr>
          <w:rFonts w:hint="default"/>
        </w:rPr>
        <w:t>张倩. 与美共行：幼儿园生活美育课程中的环境创设 [J]. 教育视界, 2025, (03): 12-14.</w:t>
      </w:r>
    </w:p>
  </w:footnote>
  <w:footnote w:id="12">
    <w:p w14:paraId="01566F91">
      <w:pPr>
        <w:pStyle w:val="8"/>
        <w:snapToGrid w:val="0"/>
        <w:rPr>
          <w:rFonts w:hint="default" w:ascii="Times New Roman" w:hAnsi="Times New Roman" w:eastAsia="宋体"/>
        </w:rPr>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赵溢婷</w:t>
      </w:r>
      <w:r>
        <w:rPr>
          <w:rFonts w:hint="default"/>
        </w:rPr>
        <w:t xml:space="preserve">,沈明泓. 陈鹤琴“活教育”中的美育思想内涵及其对幼儿美育实践的启示 [J]. 教育观察, </w:t>
      </w:r>
      <w:r>
        <w:rPr>
          <w:rFonts w:hint="default" w:ascii="Times New Roman" w:hAnsi="Times New Roman" w:eastAsia="宋体"/>
        </w:rPr>
        <w:t>2024, 13 (33): 52-55.</w:t>
      </w:r>
    </w:p>
  </w:footnote>
  <w:footnote w:id="13">
    <w:p w14:paraId="6B758B60">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王真. 具身认</w:t>
      </w:r>
      <w:r>
        <w:rPr>
          <w:rFonts w:hint="default"/>
        </w:rPr>
        <w:t>知理论下幼儿园“浸润式”美育课程的实施策略 [J]. 新班主任, 2024, (32): 5-6.</w:t>
      </w:r>
    </w:p>
  </w:footnote>
  <w:footnote w:id="14">
    <w:p w14:paraId="53B25B22">
      <w:pPr>
        <w:pStyle w:val="8"/>
        <w:snapToGrid w:val="0"/>
      </w:pPr>
      <w:r>
        <w:rPr>
          <w:rFonts w:hint="default" w:ascii="Times New Roman" w:hAnsi="Times New Roman" w:eastAsia="宋体"/>
        </w:rPr>
        <w:t>[</w:t>
      </w:r>
      <w:r>
        <w:rPr>
          <w:rFonts w:hint="default" w:ascii="Times New Roman" w:hAnsi="Times New Roman" w:eastAsia="宋体"/>
        </w:rPr>
        <w:footnoteRef/>
      </w:r>
      <w:r>
        <w:rPr>
          <w:rFonts w:hint="default" w:ascii="Times New Roman" w:hAnsi="Times New Roman" w:eastAsia="宋体"/>
        </w:rPr>
        <w:t>] 陈建</w:t>
      </w:r>
      <w:r>
        <w:rPr>
          <w:rFonts w:hint="default"/>
        </w:rPr>
        <w:t>超,吴敏. 幼儿园浸润式美育的实践路径 [J]. 学前教育研究, 2024, (12): 88-91.</w:t>
      </w:r>
    </w:p>
  </w:footnote>
  <w:footnote w:id="15">
    <w:p w14:paraId="5F574BA6">
      <w:pPr>
        <w:pStyle w:val="8"/>
        <w:snapToGrid w:val="0"/>
      </w:pPr>
      <w:r>
        <w:rPr>
          <w:rFonts w:hint="eastAsia" w:ascii="Calibri" w:hAnsi="Calibri" w:eastAsia="宋体" w:cs="Calibri"/>
          <w:szCs w:val="21"/>
        </w:rPr>
        <w:t>[</w:t>
      </w:r>
      <w:r>
        <w:rPr>
          <w:rFonts w:hint="eastAsia" w:ascii="Calibri" w:hAnsi="Calibri" w:eastAsia="宋体" w:cs="Calibri"/>
          <w:szCs w:val="21"/>
        </w:rPr>
        <w:footnoteRef/>
      </w:r>
      <w:r>
        <w:rPr>
          <w:rFonts w:hint="eastAsia" w:ascii="Calibri" w:hAnsi="Calibri" w:eastAsia="宋体" w:cs="Calibri"/>
          <w:szCs w:val="21"/>
        </w:rPr>
        <w:t>] 约瑟夫•</w:t>
      </w:r>
      <w:r>
        <w:rPr>
          <w:rFonts w:hint="eastAsia" w:ascii="Calibri" w:hAnsi="Calibri" w:cs="Calibri"/>
          <w:szCs w:val="21"/>
        </w:rPr>
        <w:t>克奈尔[D].共享自然.天津人民出版社,20</w:t>
      </w:r>
      <w:r>
        <w:rPr>
          <w:rFonts w:hint="eastAsia" w:ascii="Calibri" w:hAnsi="Calibri" w:cs="Calibri"/>
          <w:szCs w:val="21"/>
          <w:lang w:val="en-US" w:eastAsia="zh-CN"/>
        </w:rPr>
        <w:t>18</w:t>
      </w:r>
      <w:r>
        <w:rPr>
          <w:rFonts w:hint="eastAsia" w:ascii="Calibri" w:hAnsi="Calibri" w:cs="Calibri"/>
          <w:szCs w:val="21"/>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C0E114"/>
    <w:multiLevelType w:val="singleLevel"/>
    <w:tmpl w:val="C7C0E114"/>
    <w:lvl w:ilvl="0" w:tentative="0">
      <w:start w:val="3"/>
      <w:numFmt w:val="chineseCounting"/>
      <w:suff w:val="nothing"/>
      <w:lvlText w:val="（%1）"/>
      <w:lvlJc w:val="left"/>
      <w:rPr>
        <w:rFonts w:hint="eastAsia"/>
      </w:rPr>
    </w:lvl>
  </w:abstractNum>
  <w:abstractNum w:abstractNumId="1">
    <w:nsid w:val="1023AC81"/>
    <w:multiLevelType w:val="singleLevel"/>
    <w:tmpl w:val="1023AC81"/>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numRestart w:val="eachPage"/>
    <w:footnote w:id="32"/>
    <w:footnote w:id="3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564A8"/>
    <w:rsid w:val="01CB2F01"/>
    <w:rsid w:val="065879D9"/>
    <w:rsid w:val="078B03FE"/>
    <w:rsid w:val="0A3A5295"/>
    <w:rsid w:val="0A7E2A60"/>
    <w:rsid w:val="0F065152"/>
    <w:rsid w:val="11EC2AE5"/>
    <w:rsid w:val="12406241"/>
    <w:rsid w:val="129C11B6"/>
    <w:rsid w:val="15F9247D"/>
    <w:rsid w:val="1BAA41E8"/>
    <w:rsid w:val="1DBD3CAB"/>
    <w:rsid w:val="1ED42199"/>
    <w:rsid w:val="223F443B"/>
    <w:rsid w:val="283A348C"/>
    <w:rsid w:val="2861109B"/>
    <w:rsid w:val="294564A8"/>
    <w:rsid w:val="29935180"/>
    <w:rsid w:val="299B6E98"/>
    <w:rsid w:val="2C4505FA"/>
    <w:rsid w:val="2CF91E6D"/>
    <w:rsid w:val="2DA42797"/>
    <w:rsid w:val="33E27B55"/>
    <w:rsid w:val="347C07CA"/>
    <w:rsid w:val="34B94F11"/>
    <w:rsid w:val="38BC7572"/>
    <w:rsid w:val="3B6C4F1D"/>
    <w:rsid w:val="3BAD1F38"/>
    <w:rsid w:val="42002ACC"/>
    <w:rsid w:val="43C755E8"/>
    <w:rsid w:val="444D386A"/>
    <w:rsid w:val="4494468F"/>
    <w:rsid w:val="45C559EC"/>
    <w:rsid w:val="470C027A"/>
    <w:rsid w:val="478064D2"/>
    <w:rsid w:val="4B86222C"/>
    <w:rsid w:val="4BD3740F"/>
    <w:rsid w:val="4CAF6B3E"/>
    <w:rsid w:val="546E61E6"/>
    <w:rsid w:val="5DE05E53"/>
    <w:rsid w:val="5E1E00A2"/>
    <w:rsid w:val="620B7DFC"/>
    <w:rsid w:val="6C161A96"/>
    <w:rsid w:val="6D9C75B4"/>
    <w:rsid w:val="74DB5659"/>
    <w:rsid w:val="756760F6"/>
    <w:rsid w:val="762F0208"/>
    <w:rsid w:val="784129CC"/>
    <w:rsid w:val="79B0091E"/>
    <w:rsid w:val="7ECD0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widowControl w:val="0"/>
      <w:spacing w:before="340" w:after="330" w:line="578" w:lineRule="auto"/>
      <w:jc w:val="center"/>
      <w:outlineLvl w:val="0"/>
    </w:pPr>
    <w:rPr>
      <w:rFonts w:ascii="Times New Roman" w:hAnsi="Times New Roman" w:eastAsia="黑体" w:cs="Times New Roman"/>
      <w:bCs/>
      <w:kern w:val="44"/>
      <w:sz w:val="36"/>
      <w:szCs w:val="44"/>
      <w:lang w:val="en-US" w:eastAsia="zh-CN" w:bidi="ar-SA"/>
    </w:rPr>
  </w:style>
  <w:style w:type="paragraph" w:styleId="3">
    <w:name w:val="heading 2"/>
    <w:basedOn w:val="1"/>
    <w:next w:val="1"/>
    <w:unhideWhenUsed/>
    <w:qFormat/>
    <w:uiPriority w:val="0"/>
    <w:pPr>
      <w:spacing w:before="61"/>
      <w:outlineLvl w:val="1"/>
    </w:pPr>
    <w:rPr>
      <w:rFonts w:ascii="宋体" w:hAnsi="宋体" w:eastAsia="黑体" w:cs="宋体"/>
      <w:sz w:val="28"/>
      <w:szCs w:val="36"/>
      <w:lang w:eastAsia="en-US"/>
    </w:rPr>
  </w:style>
  <w:style w:type="paragraph" w:styleId="4">
    <w:name w:val="heading 3"/>
    <w:basedOn w:val="1"/>
    <w:next w:val="1"/>
    <w:link w:val="15"/>
    <w:unhideWhenUsed/>
    <w:qFormat/>
    <w:uiPriority w:val="0"/>
    <w:pPr>
      <w:spacing w:before="1"/>
      <w:ind w:left="2369" w:hanging="526"/>
      <w:outlineLvl w:val="2"/>
    </w:pPr>
    <w:rPr>
      <w:rFonts w:ascii="宋体" w:hAnsi="宋体" w:eastAsia="黑体" w:cs="宋体"/>
      <w:sz w:val="24"/>
      <w:szCs w:val="30"/>
      <w:lang w:eastAsia="en-US"/>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footnote reference"/>
    <w:basedOn w:val="11"/>
    <w:qFormat/>
    <w:uiPriority w:val="0"/>
    <w:rPr>
      <w:vertAlign w:val="superscript"/>
    </w:rPr>
  </w:style>
  <w:style w:type="paragraph" w:customStyle="1" w:styleId="14">
    <w:name w:val="样式1"/>
    <w:basedOn w:val="1"/>
    <w:qFormat/>
    <w:uiPriority w:val="0"/>
    <w:pPr>
      <w:spacing w:before="50" w:beforeLines="50" w:line="300" w:lineRule="auto"/>
      <w:ind w:firstLine="0" w:firstLineChars="0"/>
      <w:jc w:val="both"/>
    </w:pPr>
    <w:rPr>
      <w:rFonts w:hint="eastAsia" w:ascii="宋体" w:hAnsi="宋体" w:eastAsia="宋体" w:cs="宋体"/>
      <w:sz w:val="24"/>
      <w:szCs w:val="24"/>
      <w:lang w:eastAsia="en-US"/>
    </w:rPr>
  </w:style>
  <w:style w:type="character" w:customStyle="1" w:styleId="15">
    <w:name w:val="标题 3 Char"/>
    <w:link w:val="4"/>
    <w:qFormat/>
    <w:uiPriority w:val="1"/>
    <w:rPr>
      <w:rFonts w:ascii="宋体" w:hAnsi="宋体" w:eastAsia="黑体" w:cs="宋体"/>
      <w:sz w:val="24"/>
      <w:szCs w:val="30"/>
      <w:lang w:eastAsia="en-US"/>
    </w:rPr>
  </w:style>
  <w:style w:type="paragraph" w:customStyle="1" w:styleId="16">
    <w:name w:val="样式2"/>
    <w:basedOn w:val="1"/>
    <w:next w:val="1"/>
    <w:qFormat/>
    <w:uiPriority w:val="0"/>
    <w:pPr>
      <w:keepNext/>
      <w:keepLines/>
      <w:spacing w:before="1280" w:beforeLines="410" w:after="1280" w:afterLines="410" w:line="440" w:lineRule="exact"/>
      <w:jc w:val="left"/>
      <w:outlineLvl w:val="1"/>
    </w:pPr>
    <w:rPr>
      <w:rFonts w:hint="eastAsia" w:ascii="Times New Roman" w:hAnsi="Times New Roman" w:eastAsia="黑体" w:cs="Times New Roman"/>
      <w:bCs/>
      <w:sz w:val="28"/>
      <w:szCs w:val="28"/>
    </w:rPr>
  </w:style>
  <w:style w:type="paragraph" w:customStyle="1" w:styleId="17">
    <w:name w:val="样式4"/>
    <w:basedOn w:val="1"/>
    <w:next w:val="1"/>
    <w:qFormat/>
    <w:uiPriority w:val="0"/>
    <w:pPr>
      <w:keepNext/>
      <w:keepLines/>
      <w:spacing w:before="50" w:beforeLines="50" w:after="50" w:afterLines="50" w:line="440" w:lineRule="exact"/>
      <w:jc w:val="left"/>
      <w:outlineLvl w:val="1"/>
    </w:pPr>
    <w:rPr>
      <w:rFonts w:hint="eastAsia" w:ascii="黑体" w:hAnsi="黑体" w:eastAsia="黑体"/>
      <w:bCs/>
      <w:sz w:val="28"/>
      <w:szCs w:val="3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15674</Words>
  <Characters>15876</Characters>
  <Lines>0</Lines>
  <Paragraphs>0</Paragraphs>
  <TotalTime>3</TotalTime>
  <ScaleCrop>false</ScaleCrop>
  <LinksUpToDate>false</LinksUpToDate>
  <CharactersWithSpaces>15884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2025-04-07T19:37:00Z</dcterms:created>
  <dc:creator>知足常乐</dc:creator>
  <cp:lastModifiedBy>兰玉荣</cp:lastModifiedBy>
  <dcterms:modified xsi:type="dcterms:W3CDTF">2025-06-08T00:49:49Z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40481CBB357F48F4BE0F7399BAF8AA48_13</vt:lpwstr>
  </property>
  <property fmtid="{D5CDD505-2E9C-101B-9397-08002B2CF9AE}" pid="4" name="KSOTemplateDocerSaveRecord">
    <vt:lpwstr>eyJoZGlkIjoiNDU4NGQ2YzAwNjg4NDc0NGM0Y2E5MzFlYjM1MWY5YmEiLCJ1c2VySWQiOiIxNjAxOTk2NzI4In0=</vt:lpwstr>
  </property>
</Properties>
</file>