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D15DB">
      <w:pPr>
        <w:spacing w:line="360" w:lineRule="auto"/>
        <w:jc w:val="center"/>
        <w:rPr>
          <w:rFonts w:ascii="黑体" w:hAnsi="黑体" w:eastAsia="黑体"/>
          <w:sz w:val="32"/>
          <w:szCs w:val="32"/>
        </w:rPr>
      </w:pPr>
      <w:r>
        <w:rPr>
          <w:rFonts w:hint="eastAsia" w:ascii="黑体" w:hAnsi="黑体" w:eastAsia="黑体"/>
          <w:sz w:val="32"/>
          <w:szCs w:val="32"/>
        </w:rPr>
        <w:t>近二十年国内教育领域无边界学习研究的现状与展望</w:t>
      </w:r>
    </w:p>
    <w:p w14:paraId="637C2835">
      <w:pPr>
        <w:spacing w:line="360" w:lineRule="auto"/>
        <w:jc w:val="right"/>
        <w:rPr>
          <w:rFonts w:hint="eastAsia" w:ascii="楷体" w:hAnsi="楷体" w:eastAsia="楷体"/>
          <w:sz w:val="28"/>
          <w:szCs w:val="28"/>
        </w:rPr>
      </w:pPr>
      <w:r>
        <w:rPr>
          <w:rFonts w:hint="eastAsia" w:ascii="楷体" w:hAnsi="楷体" w:eastAsia="楷体"/>
          <w:sz w:val="28"/>
          <w:szCs w:val="28"/>
        </w:rPr>
        <w:t>——基于</w:t>
      </w:r>
      <w:r>
        <w:rPr>
          <w:rFonts w:hint="default" w:ascii="Times New Roman" w:hAnsi="Times New Roman" w:eastAsia="楷体" w:cs="Times New Roman"/>
          <w:sz w:val="28"/>
          <w:szCs w:val="28"/>
        </w:rPr>
        <w:t>CiteSpace</w:t>
      </w:r>
      <w:r>
        <w:rPr>
          <w:rFonts w:hint="eastAsia" w:ascii="楷体" w:hAnsi="楷体" w:eastAsia="楷体"/>
          <w:sz w:val="28"/>
          <w:szCs w:val="28"/>
        </w:rPr>
        <w:t>文献计量的可视化分析</w:t>
      </w:r>
    </w:p>
    <w:p w14:paraId="7A312372">
      <w:pPr>
        <w:spacing w:line="360" w:lineRule="auto"/>
        <w:jc w:val="center"/>
        <w:rPr>
          <w:rFonts w:hint="default" w:ascii="楷体" w:hAnsi="楷体" w:eastAsia="楷体"/>
          <w:sz w:val="24"/>
          <w:szCs w:val="24"/>
          <w:lang w:val="en-US" w:eastAsia="zh-CN"/>
        </w:rPr>
      </w:pPr>
      <w:r>
        <w:rPr>
          <w:rFonts w:hint="eastAsia" w:ascii="楷体" w:hAnsi="楷体" w:eastAsia="楷体"/>
          <w:sz w:val="24"/>
          <w:szCs w:val="24"/>
          <w:lang w:val="en-US" w:eastAsia="zh-CN"/>
        </w:rPr>
        <w:t>上海市徐汇区科技幼儿园 陈璜</w:t>
      </w:r>
    </w:p>
    <w:p w14:paraId="6A6117A7">
      <w:pPr>
        <w:spacing w:line="360" w:lineRule="auto"/>
        <w:rPr>
          <w:rFonts w:ascii="楷体" w:hAnsi="楷体" w:eastAsia="楷体"/>
          <w:sz w:val="24"/>
          <w:szCs w:val="24"/>
        </w:rPr>
      </w:pPr>
      <w:bookmarkStart w:id="4" w:name="_GoBack"/>
      <w:bookmarkEnd w:id="4"/>
    </w:p>
    <w:p w14:paraId="29D560BF">
      <w:pPr>
        <w:spacing w:line="360" w:lineRule="auto"/>
        <w:rPr>
          <w:rFonts w:ascii="楷体" w:hAnsi="楷体" w:eastAsia="楷体"/>
          <w:sz w:val="24"/>
          <w:szCs w:val="24"/>
        </w:rPr>
      </w:pPr>
      <w:r>
        <w:rPr>
          <w:rFonts w:hint="eastAsia" w:ascii="楷体" w:hAnsi="楷体" w:eastAsia="楷体"/>
          <w:sz w:val="24"/>
          <w:szCs w:val="24"/>
        </w:rPr>
        <w:t>【</w:t>
      </w:r>
      <w:r>
        <w:rPr>
          <w:rFonts w:hint="eastAsia" w:ascii="黑体" w:hAnsi="黑体" w:eastAsia="黑体" w:cs="黑体"/>
          <w:sz w:val="24"/>
          <w:szCs w:val="24"/>
        </w:rPr>
        <w:t>摘  要</w:t>
      </w:r>
      <w:r>
        <w:rPr>
          <w:rFonts w:hint="eastAsia" w:ascii="楷体" w:hAnsi="楷体" w:eastAsia="楷体"/>
          <w:sz w:val="24"/>
          <w:szCs w:val="24"/>
        </w:rPr>
        <w:t>】本文运用文献计量分析法和科学知识图谱可视化分析方法，对近二十年国内教育领域无边界学习的相关文献进行系统梳理，呈现了我国无边界学习研究的共现与合作情况、关键词、研究热点和研究趋势。研究热点为无边界、中学生、幼儿园等，研究趋势主要表现为研究场域和对象扩大，由高等教育向基础教育领域渗透；研究内容由理论探讨、基础建设转向实践应用，逐渐走向丰富性和精细化。未来无边界学习的研究需回归教育本质，思考学校作用;加强顶层设计，聚焦整体架构;丰富理论建设，增强合作研究。</w:t>
      </w:r>
    </w:p>
    <w:p w14:paraId="79ED5B9F">
      <w:pPr>
        <w:spacing w:line="360" w:lineRule="auto"/>
        <w:rPr>
          <w:rFonts w:ascii="楷体" w:hAnsi="楷体" w:eastAsia="楷体"/>
          <w:sz w:val="24"/>
          <w:szCs w:val="24"/>
        </w:rPr>
      </w:pPr>
      <w:r>
        <w:rPr>
          <w:rFonts w:hint="eastAsia" w:ascii="楷体" w:hAnsi="楷体" w:eastAsia="楷体"/>
          <w:sz w:val="24"/>
          <w:szCs w:val="24"/>
        </w:rPr>
        <w:t>【</w:t>
      </w:r>
      <w:r>
        <w:rPr>
          <w:rFonts w:hint="eastAsia" w:ascii="黑体" w:hAnsi="黑体" w:eastAsia="黑体" w:cs="黑体"/>
          <w:sz w:val="24"/>
          <w:szCs w:val="24"/>
        </w:rPr>
        <w:t>关键词</w:t>
      </w:r>
      <w:r>
        <w:rPr>
          <w:rFonts w:hint="eastAsia" w:ascii="楷体" w:hAnsi="楷体" w:eastAsia="楷体"/>
          <w:sz w:val="24"/>
          <w:szCs w:val="24"/>
        </w:rPr>
        <w:t xml:space="preserve">】无边界学习 未来学校 核心素养 互联网 </w:t>
      </w:r>
    </w:p>
    <w:p w14:paraId="21E0D39B">
      <w:pPr>
        <w:spacing w:line="360" w:lineRule="auto"/>
        <w:rPr>
          <w:rFonts w:ascii="楷体" w:hAnsi="楷体" w:eastAsia="楷体"/>
          <w:sz w:val="24"/>
          <w:szCs w:val="24"/>
        </w:rPr>
      </w:pPr>
    </w:p>
    <w:p w14:paraId="4922AA10">
      <w:pPr>
        <w:spacing w:line="360" w:lineRule="auto"/>
        <w:ind w:firstLine="480" w:firstLineChars="200"/>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998</w:t>
      </w:r>
      <w:r>
        <w:rPr>
          <w:rFonts w:hint="eastAsia" w:ascii="宋体" w:hAnsi="宋体" w:eastAsia="宋体"/>
          <w:sz w:val="24"/>
          <w:szCs w:val="24"/>
        </w:rPr>
        <w:t>年，澳大利亚学者斯图尔特·卡宁汉姆等人在《新媒体和无边界教育：回顾全球媒体网络与高等教育供给的聚敛》的研究报告中首次提出了“无边界教育”的概念，并认为这是</w:t>
      </w:r>
      <w:r>
        <w:rPr>
          <w:rFonts w:ascii="宋体" w:hAnsi="宋体" w:eastAsia="宋体"/>
          <w:sz w:val="24"/>
          <w:szCs w:val="24"/>
        </w:rPr>
        <w:t>新媒体时代影响澳大利亚高等教育参与全球竞争的潜在因素</w:t>
      </w:r>
      <w:r>
        <w:rPr>
          <w:rFonts w:hint="eastAsia" w:ascii="宋体" w:hAnsi="宋体" w:eastAsia="宋体"/>
          <w:sz w:val="24"/>
          <w:szCs w:val="24"/>
        </w:rPr>
        <w:t>。随着新媒体、新技术、互联网在教育领域的广泛应用</w:t>
      </w:r>
      <w:r>
        <w:rPr>
          <w:rFonts w:ascii="宋体" w:hAnsi="宋体" w:eastAsia="宋体"/>
          <w:sz w:val="24"/>
          <w:szCs w:val="24"/>
        </w:rPr>
        <w:t xml:space="preserve">, </w:t>
      </w:r>
      <w:r>
        <w:rPr>
          <w:rFonts w:hint="eastAsia" w:ascii="宋体" w:hAnsi="宋体" w:eastAsia="宋体"/>
          <w:sz w:val="24"/>
          <w:szCs w:val="24"/>
        </w:rPr>
        <w:t>无边界教育也在英国、美国、加拿大、马来西亚、中东欧等国家蓬勃发展，出现了传统教育与远程教育、互联网教育融合的教育形式，而无边界学习（</w:t>
      </w:r>
      <w:r>
        <w:rPr>
          <w:rFonts w:ascii="宋体" w:hAnsi="宋体" w:eastAsia="宋体"/>
          <w:sz w:val="24"/>
          <w:szCs w:val="24"/>
        </w:rPr>
        <w:t>Borderless Learning）</w:t>
      </w:r>
      <w:r>
        <w:rPr>
          <w:rFonts w:hint="eastAsia" w:ascii="宋体" w:hAnsi="宋体" w:eastAsia="宋体"/>
          <w:sz w:val="24"/>
          <w:szCs w:val="24"/>
        </w:rPr>
        <w:t>的</w:t>
      </w:r>
      <w:r>
        <w:rPr>
          <w:rFonts w:ascii="宋体" w:hAnsi="宋体" w:eastAsia="宋体"/>
          <w:sz w:val="24"/>
          <w:szCs w:val="24"/>
        </w:rPr>
        <w:t>概念</w:t>
      </w:r>
      <w:r>
        <w:rPr>
          <w:rFonts w:hint="eastAsia" w:ascii="宋体" w:hAnsi="宋体" w:eastAsia="宋体"/>
          <w:sz w:val="24"/>
          <w:szCs w:val="24"/>
        </w:rPr>
        <w:t>也</w:t>
      </w:r>
      <w:r>
        <w:rPr>
          <w:rFonts w:ascii="宋体" w:hAnsi="宋体" w:eastAsia="宋体"/>
          <w:sz w:val="24"/>
          <w:szCs w:val="24"/>
        </w:rPr>
        <w:t>随之产生</w:t>
      </w:r>
      <w:r>
        <w:rPr>
          <w:rFonts w:hint="eastAsia" w:ascii="宋体" w:hAnsi="宋体" w:eastAsia="宋体"/>
          <w:sz w:val="24"/>
          <w:szCs w:val="24"/>
        </w:rPr>
        <w:t>，与“无边界教育”相比，它</w:t>
      </w:r>
      <w:bookmarkStart w:id="0" w:name="_Hlk132221480"/>
      <w:r>
        <w:rPr>
          <w:rFonts w:hint="eastAsia" w:ascii="宋体" w:hAnsi="宋体" w:eastAsia="宋体"/>
          <w:sz w:val="24"/>
          <w:szCs w:val="24"/>
        </w:rPr>
        <w:t>更加</w:t>
      </w:r>
      <w:r>
        <w:rPr>
          <w:rFonts w:ascii="宋体" w:hAnsi="宋体" w:eastAsia="宋体"/>
          <w:sz w:val="24"/>
          <w:szCs w:val="24"/>
        </w:rPr>
        <w:t>关注学习者的主体地位及其需求</w:t>
      </w:r>
      <w:bookmarkEnd w:id="0"/>
      <w:r>
        <w:rPr>
          <w:rFonts w:hint="eastAsia" w:ascii="宋体" w:hAnsi="宋体" w:eastAsia="宋体"/>
          <w:sz w:val="24"/>
          <w:szCs w:val="24"/>
        </w:rPr>
        <w:t>，是一种可以在任何时间（</w:t>
      </w:r>
      <w:r>
        <w:rPr>
          <w:rFonts w:ascii="宋体" w:hAnsi="宋体" w:eastAsia="宋体"/>
          <w:sz w:val="24"/>
          <w:szCs w:val="24"/>
        </w:rPr>
        <w:t>Anytime）、任何地</w:t>
      </w:r>
      <w:r>
        <w:rPr>
          <w:rFonts w:hint="eastAsia" w:ascii="宋体" w:hAnsi="宋体" w:eastAsia="宋体"/>
          <w:sz w:val="24"/>
          <w:szCs w:val="24"/>
        </w:rPr>
        <w:t>点（</w:t>
      </w:r>
      <w:r>
        <w:rPr>
          <w:rFonts w:ascii="宋体" w:hAnsi="宋体" w:eastAsia="宋体"/>
          <w:sz w:val="24"/>
          <w:szCs w:val="24"/>
        </w:rPr>
        <w:t>Anywhere）的任何人（Anyone）可以就任何内容</w:t>
      </w:r>
      <w:r>
        <w:rPr>
          <w:rFonts w:hint="eastAsia" w:ascii="宋体" w:hAnsi="宋体" w:eastAsia="宋体"/>
          <w:sz w:val="24"/>
          <w:szCs w:val="24"/>
        </w:rPr>
        <w:t>（</w:t>
      </w:r>
      <w:r>
        <w:rPr>
          <w:rFonts w:ascii="宋体" w:hAnsi="宋体" w:eastAsia="宋体"/>
          <w:sz w:val="24"/>
          <w:szCs w:val="24"/>
        </w:rPr>
        <w:t>Any Content）进行任何形式（Any Format）的学习形</w:t>
      </w:r>
      <w:r>
        <w:rPr>
          <w:rFonts w:hint="eastAsia" w:ascii="宋体" w:hAnsi="宋体" w:eastAsia="宋体"/>
          <w:sz w:val="24"/>
          <w:szCs w:val="24"/>
        </w:rPr>
        <w:t>态</w:t>
      </w:r>
      <w:r>
        <w:rPr>
          <w:rFonts w:ascii="宋体" w:hAnsi="宋体" w:eastAsia="宋体"/>
          <w:sz w:val="24"/>
          <w:szCs w:val="24"/>
        </w:rPr>
        <w:t>,</w:t>
      </w:r>
      <w:r>
        <w:rPr>
          <w:rFonts w:hint="eastAsia" w:ascii="宋体" w:hAnsi="宋体" w:eastAsia="宋体"/>
          <w:sz w:val="24"/>
          <w:szCs w:val="24"/>
        </w:rPr>
        <w:t>目的是使教育得以个性化和定制化</w:t>
      </w:r>
      <w:r>
        <w:rPr>
          <w:rStyle w:val="10"/>
          <w:rFonts w:ascii="宋体" w:hAnsi="宋体" w:eastAsia="宋体"/>
          <w:sz w:val="24"/>
          <w:szCs w:val="24"/>
        </w:rPr>
        <w:t>[</w:t>
      </w:r>
      <w:r>
        <w:rPr>
          <w:rStyle w:val="10"/>
          <w:rFonts w:ascii="宋体" w:hAnsi="宋体" w:eastAsia="宋体"/>
          <w:sz w:val="24"/>
          <w:szCs w:val="24"/>
        </w:rPr>
        <w:footnoteReference w:id="0"/>
      </w:r>
      <w:r>
        <w:rPr>
          <w:rStyle w:val="10"/>
          <w:rFonts w:ascii="宋体" w:hAnsi="宋体" w:eastAsia="宋体"/>
          <w:sz w:val="24"/>
          <w:szCs w:val="24"/>
        </w:rPr>
        <w:t>]</w:t>
      </w:r>
      <w:r>
        <w:rPr>
          <w:rFonts w:hint="eastAsia" w:ascii="宋体" w:hAnsi="宋体" w:eastAsia="宋体"/>
          <w:sz w:val="24"/>
          <w:szCs w:val="24"/>
        </w:rPr>
        <w:t>。</w:t>
      </w:r>
    </w:p>
    <w:p w14:paraId="51E30FF6">
      <w:pPr>
        <w:spacing w:line="360" w:lineRule="auto"/>
        <w:ind w:firstLine="480" w:firstLineChars="200"/>
        <w:rPr>
          <w:rFonts w:ascii="宋体" w:hAnsi="宋体" w:eastAsia="宋体"/>
          <w:sz w:val="24"/>
          <w:szCs w:val="24"/>
        </w:rPr>
      </w:pPr>
      <w:r>
        <w:rPr>
          <w:rFonts w:hint="eastAsia" w:ascii="宋体" w:hAnsi="宋体" w:eastAsia="宋体"/>
          <w:sz w:val="24"/>
          <w:szCs w:val="24"/>
        </w:rPr>
        <w:t>本研究拟运用文献计量分析法和科学知识图谱可视化分析方法，对2</w:t>
      </w:r>
      <w:r>
        <w:rPr>
          <w:rFonts w:ascii="宋体" w:hAnsi="宋体" w:eastAsia="宋体"/>
          <w:sz w:val="24"/>
          <w:szCs w:val="24"/>
        </w:rPr>
        <w:t>003</w:t>
      </w:r>
      <w:r>
        <w:rPr>
          <w:rFonts w:hint="eastAsia" w:ascii="宋体" w:hAnsi="宋体" w:eastAsia="宋体"/>
          <w:sz w:val="24"/>
          <w:szCs w:val="24"/>
        </w:rPr>
        <w:t>年以来有关无边界学习的相关文献进行系统梳理，尝试把握国内教育领域无边界学习的研究现状、特征、热点和发展趋势，并提出研究展望。</w:t>
      </w:r>
    </w:p>
    <w:p w14:paraId="0EE83CA4">
      <w:pPr>
        <w:spacing w:line="360" w:lineRule="auto"/>
        <w:ind w:firstLine="480" w:firstLineChars="200"/>
        <w:rPr>
          <w:rFonts w:ascii="宋体" w:hAnsi="宋体" w:eastAsia="宋体"/>
          <w:sz w:val="24"/>
          <w:szCs w:val="24"/>
        </w:rPr>
      </w:pPr>
    </w:p>
    <w:p w14:paraId="7E6B251C">
      <w:pPr>
        <w:spacing w:line="360" w:lineRule="auto"/>
        <w:ind w:firstLine="480" w:firstLineChars="200"/>
        <w:rPr>
          <w:rFonts w:ascii="黑体" w:hAnsi="黑体" w:eastAsia="黑体" w:cs="黑体"/>
          <w:sz w:val="24"/>
          <w:szCs w:val="24"/>
        </w:rPr>
      </w:pPr>
      <w:r>
        <w:rPr>
          <w:rFonts w:hint="eastAsia" w:ascii="黑体" w:hAnsi="黑体" w:eastAsia="黑体" w:cs="黑体"/>
          <w:sz w:val="24"/>
          <w:szCs w:val="24"/>
        </w:rPr>
        <w:t>一、无边界学习的概念理解</w:t>
      </w:r>
    </w:p>
    <w:p w14:paraId="6F7B9296">
      <w:pPr>
        <w:spacing w:line="360" w:lineRule="auto"/>
        <w:ind w:firstLine="480" w:firstLineChars="200"/>
        <w:rPr>
          <w:rFonts w:ascii="宋体" w:hAnsi="宋体" w:eastAsia="宋体"/>
          <w:sz w:val="24"/>
          <w:szCs w:val="24"/>
        </w:rPr>
      </w:pPr>
      <w:r>
        <w:rPr>
          <w:rFonts w:hint="eastAsia" w:ascii="宋体" w:hAnsi="宋体" w:eastAsia="宋体"/>
          <w:sz w:val="24"/>
          <w:szCs w:val="24"/>
        </w:rPr>
        <w:t>无边界学习的概念最早出现于管理领域，杰克·韦尔奇（美国通用电气公司</w:t>
      </w:r>
      <w:r>
        <w:rPr>
          <w:rFonts w:ascii="宋体" w:hAnsi="宋体" w:eastAsia="宋体"/>
          <w:sz w:val="24"/>
          <w:szCs w:val="24"/>
        </w:rPr>
        <w:t xml:space="preserve"> CEO）针对公</w:t>
      </w:r>
      <w:r>
        <w:rPr>
          <w:rFonts w:hint="eastAsia" w:ascii="宋体" w:hAnsi="宋体" w:eastAsia="宋体"/>
          <w:sz w:val="24"/>
          <w:szCs w:val="24"/>
        </w:rPr>
        <w:t>司结构臃肿、管理层级复杂、灵活性低的现状，提出了“无边界”概念，创造了扁平的、“无边界”的管理模式</w:t>
      </w:r>
      <w:r>
        <w:rPr>
          <w:rStyle w:val="10"/>
          <w:rFonts w:ascii="宋体" w:hAnsi="宋体" w:eastAsia="宋体"/>
          <w:sz w:val="24"/>
          <w:szCs w:val="24"/>
        </w:rPr>
        <w:t>[</w:t>
      </w:r>
      <w:r>
        <w:rPr>
          <w:rStyle w:val="10"/>
          <w:rFonts w:ascii="宋体" w:hAnsi="宋体" w:eastAsia="宋体"/>
          <w:sz w:val="24"/>
          <w:szCs w:val="24"/>
        </w:rPr>
        <w:footnoteReference w:id="1"/>
      </w:r>
      <w:r>
        <w:rPr>
          <w:rStyle w:val="10"/>
          <w:rFonts w:ascii="宋体" w:hAnsi="宋体" w:eastAsia="宋体"/>
          <w:sz w:val="24"/>
          <w:szCs w:val="24"/>
        </w:rPr>
        <w:t>]</w:t>
      </w:r>
      <w:r>
        <w:rPr>
          <w:rFonts w:hint="eastAsia" w:ascii="宋体" w:hAnsi="宋体" w:eastAsia="宋体"/>
          <w:sz w:val="24"/>
          <w:szCs w:val="24"/>
        </w:rPr>
        <w:t>。目的在于消除企业职能部门的障碍，实现部门间的自由流通，完全透明，实现扁平的、“无边界”的管理</w:t>
      </w:r>
      <w:r>
        <w:rPr>
          <w:rStyle w:val="10"/>
          <w:rFonts w:ascii="宋体" w:hAnsi="宋体" w:eastAsia="宋体"/>
          <w:sz w:val="24"/>
          <w:szCs w:val="24"/>
        </w:rPr>
        <w:t>[</w:t>
      </w:r>
      <w:r>
        <w:rPr>
          <w:rStyle w:val="10"/>
          <w:rFonts w:ascii="宋体" w:hAnsi="宋体" w:eastAsia="宋体"/>
          <w:sz w:val="24"/>
          <w:szCs w:val="24"/>
        </w:rPr>
        <w:footnoteReference w:id="2"/>
      </w:r>
      <w:r>
        <w:rPr>
          <w:rStyle w:val="10"/>
          <w:rFonts w:ascii="宋体" w:hAnsi="宋体" w:eastAsia="宋体"/>
          <w:sz w:val="24"/>
          <w:szCs w:val="24"/>
        </w:rPr>
        <w:t>]</w:t>
      </w:r>
      <w:r>
        <w:rPr>
          <w:rFonts w:hint="eastAsia" w:ascii="宋体" w:hAnsi="宋体" w:eastAsia="宋体"/>
          <w:sz w:val="24"/>
          <w:szCs w:val="24"/>
        </w:rPr>
        <w:t>。伴随着经济全球化和信息技术的快速发展，“无边界”理念逐渐从管理领域向教育领域渗透。</w:t>
      </w:r>
    </w:p>
    <w:p w14:paraId="72B38897">
      <w:pPr>
        <w:spacing w:line="360" w:lineRule="auto"/>
        <w:ind w:firstLine="480" w:firstLineChars="200"/>
        <w:rPr>
          <w:rFonts w:ascii="宋体" w:hAnsi="宋体" w:eastAsia="宋体"/>
          <w:sz w:val="24"/>
          <w:szCs w:val="24"/>
        </w:rPr>
      </w:pPr>
      <w:r>
        <w:rPr>
          <w:rFonts w:hint="eastAsia" w:ascii="宋体" w:hAnsi="宋体" w:eastAsia="宋体"/>
          <w:sz w:val="24"/>
          <w:szCs w:val="24"/>
        </w:rPr>
        <w:t>“无边界学习”的概念在2</w:t>
      </w:r>
      <w:r>
        <w:rPr>
          <w:rFonts w:ascii="宋体" w:hAnsi="宋体" w:eastAsia="宋体"/>
          <w:sz w:val="24"/>
          <w:szCs w:val="24"/>
        </w:rPr>
        <w:t>1</w:t>
      </w:r>
      <w:r>
        <w:rPr>
          <w:rFonts w:hint="eastAsia" w:ascii="宋体" w:hAnsi="宋体" w:eastAsia="宋体"/>
          <w:sz w:val="24"/>
          <w:szCs w:val="24"/>
        </w:rPr>
        <w:t>世纪初正式进入我国，香港教育大学的程尹昌（</w:t>
      </w:r>
      <w:r>
        <w:rPr>
          <w:rFonts w:ascii="宋体" w:hAnsi="宋体" w:eastAsia="宋体"/>
          <w:sz w:val="24"/>
          <w:szCs w:val="24"/>
        </w:rPr>
        <w:t>2000）学者提出</w:t>
      </w:r>
      <w:r>
        <w:rPr>
          <w:rFonts w:hint="eastAsia" w:ascii="宋体" w:hAnsi="宋体" w:eastAsia="宋体"/>
          <w:sz w:val="24"/>
          <w:szCs w:val="24"/>
        </w:rPr>
        <w:t>的</w:t>
      </w:r>
      <w:r>
        <w:rPr>
          <w:rFonts w:ascii="宋体" w:hAnsi="宋体" w:eastAsia="宋体"/>
          <w:sz w:val="24"/>
          <w:szCs w:val="24"/>
        </w:rPr>
        <w:t>21世纪改变课程和教学法的新范式——CMI（情景化多元智能）三重教育范式</w:t>
      </w:r>
      <w:r>
        <w:rPr>
          <w:rFonts w:hint="eastAsia" w:ascii="宋体" w:hAnsi="宋体" w:eastAsia="宋体"/>
          <w:sz w:val="24"/>
          <w:szCs w:val="24"/>
        </w:rPr>
        <w:t>即是一种无边界学习，它打破国家和人民之间互动的边界、社会提供的学习资源的边界、学校和教育系统的不同层面的边界、个人拥有的知识和技能的边界、现实世界和虚拟世界互动的边界。在这种学习范式下，学习无处不在，且终身进行，教师们以最大限度地发挥学生的潜力，以最佳方式促进学生的学习；同时教师们也不断发现、实验、自我实现、反思和实现专业发展</w:t>
      </w:r>
      <w:r>
        <w:rPr>
          <w:rStyle w:val="10"/>
          <w:rFonts w:ascii="宋体" w:hAnsi="宋体" w:eastAsia="宋体"/>
          <w:sz w:val="24"/>
          <w:szCs w:val="24"/>
        </w:rPr>
        <w:t>[</w:t>
      </w:r>
      <w:r>
        <w:rPr>
          <w:rStyle w:val="10"/>
          <w:rFonts w:ascii="宋体" w:hAnsi="宋体" w:eastAsia="宋体"/>
          <w:sz w:val="24"/>
          <w:szCs w:val="24"/>
        </w:rPr>
        <w:footnoteReference w:id="3"/>
      </w:r>
      <w:r>
        <w:rPr>
          <w:rStyle w:val="10"/>
          <w:rFonts w:ascii="宋体" w:hAnsi="宋体" w:eastAsia="宋体"/>
          <w:sz w:val="24"/>
          <w:szCs w:val="24"/>
        </w:rPr>
        <w:t>]</w:t>
      </w:r>
      <w:r>
        <w:rPr>
          <w:rFonts w:hint="eastAsia" w:ascii="宋体" w:hAnsi="宋体" w:eastAsia="宋体"/>
          <w:sz w:val="24"/>
          <w:szCs w:val="24"/>
        </w:rPr>
        <w:t>。</w:t>
      </w:r>
    </w:p>
    <w:p w14:paraId="6C8BEBAF">
      <w:pPr>
        <w:spacing w:line="360" w:lineRule="auto"/>
        <w:ind w:firstLine="480" w:firstLineChars="200"/>
        <w:rPr>
          <w:rFonts w:ascii="黑体" w:hAnsi="黑体" w:eastAsia="黑体" w:cs="黑体"/>
          <w:sz w:val="24"/>
          <w:szCs w:val="24"/>
        </w:rPr>
      </w:pPr>
    </w:p>
    <w:p w14:paraId="4EDD88E4">
      <w:pPr>
        <w:spacing w:line="360" w:lineRule="auto"/>
        <w:rPr>
          <w:rFonts w:ascii="黑体" w:hAnsi="黑体" w:eastAsia="黑体" w:cs="黑体"/>
          <w:sz w:val="24"/>
          <w:szCs w:val="24"/>
        </w:rPr>
      </w:pPr>
      <w:r>
        <w:rPr>
          <w:rFonts w:hint="eastAsia" w:ascii="黑体" w:hAnsi="黑体" w:eastAsia="黑体" w:cs="黑体"/>
          <w:sz w:val="24"/>
          <w:szCs w:val="24"/>
        </w:rPr>
        <w:t>二、研究设计</w:t>
      </w:r>
    </w:p>
    <w:p w14:paraId="23D97775">
      <w:pPr>
        <w:pStyle w:val="14"/>
        <w:spacing w:line="360" w:lineRule="auto"/>
        <w:ind w:firstLine="480"/>
        <w:rPr>
          <w:rFonts w:ascii="黑体" w:hAnsi="黑体" w:eastAsia="黑体" w:cs="黑体"/>
          <w:sz w:val="24"/>
          <w:szCs w:val="24"/>
        </w:rPr>
      </w:pPr>
      <w:r>
        <w:rPr>
          <w:rFonts w:hint="eastAsia" w:ascii="黑体" w:hAnsi="黑体" w:eastAsia="黑体" w:cs="黑体"/>
          <w:sz w:val="24"/>
          <w:szCs w:val="24"/>
        </w:rPr>
        <w:t>（一）数据来源</w:t>
      </w:r>
    </w:p>
    <w:p w14:paraId="68C89B2B">
      <w:pPr>
        <w:spacing w:line="360" w:lineRule="auto"/>
        <w:ind w:firstLine="480" w:firstLineChars="200"/>
        <w:rPr>
          <w:rFonts w:ascii="宋体" w:hAnsi="宋体" w:eastAsia="宋体"/>
          <w:sz w:val="24"/>
          <w:szCs w:val="24"/>
        </w:rPr>
      </w:pPr>
      <w:r>
        <w:rPr>
          <w:rFonts w:hint="eastAsia" w:ascii="宋体" w:hAnsi="宋体" w:eastAsia="宋体"/>
          <w:sz w:val="24"/>
          <w:szCs w:val="24"/>
        </w:rPr>
        <w:t>本研究以中国知网（C</w:t>
      </w:r>
      <w:r>
        <w:rPr>
          <w:rFonts w:ascii="宋体" w:hAnsi="宋体" w:eastAsia="宋体"/>
          <w:sz w:val="24"/>
          <w:szCs w:val="24"/>
        </w:rPr>
        <w:t>NKI</w:t>
      </w:r>
      <w:r>
        <w:rPr>
          <w:rFonts w:hint="eastAsia" w:ascii="宋体" w:hAnsi="宋体" w:eastAsia="宋体"/>
          <w:sz w:val="24"/>
          <w:szCs w:val="24"/>
        </w:rPr>
        <w:t>）数据库为文献来源，以“无边界学习”“无边界教育”为主题词，对2</w:t>
      </w:r>
      <w:r>
        <w:rPr>
          <w:rFonts w:ascii="宋体" w:hAnsi="宋体" w:eastAsia="宋体"/>
          <w:sz w:val="24"/>
          <w:szCs w:val="24"/>
        </w:rPr>
        <w:t>003</w:t>
      </w:r>
      <w:r>
        <w:rPr>
          <w:rFonts w:hint="eastAsia" w:ascii="宋体" w:hAnsi="宋体" w:eastAsia="宋体"/>
          <w:sz w:val="24"/>
          <w:szCs w:val="24"/>
        </w:rPr>
        <w:t>至2</w:t>
      </w:r>
      <w:r>
        <w:rPr>
          <w:rFonts w:ascii="宋体" w:hAnsi="宋体" w:eastAsia="宋体"/>
          <w:sz w:val="24"/>
          <w:szCs w:val="24"/>
        </w:rPr>
        <w:t>023</w:t>
      </w:r>
      <w:r>
        <w:rPr>
          <w:rFonts w:hint="eastAsia" w:ascii="宋体" w:hAnsi="宋体" w:eastAsia="宋体"/>
          <w:sz w:val="24"/>
          <w:szCs w:val="24"/>
        </w:rPr>
        <w:t>年间的教育领域期刊文献进行设定检索，剔除与主题不相关的文献，得到有效文献1</w:t>
      </w:r>
      <w:r>
        <w:rPr>
          <w:rFonts w:ascii="宋体" w:hAnsi="宋体" w:eastAsia="宋体"/>
          <w:sz w:val="24"/>
          <w:szCs w:val="24"/>
        </w:rPr>
        <w:t>50</w:t>
      </w:r>
      <w:r>
        <w:rPr>
          <w:rFonts w:hint="eastAsia" w:ascii="宋体" w:hAnsi="宋体" w:eastAsia="宋体"/>
          <w:sz w:val="24"/>
          <w:szCs w:val="24"/>
        </w:rPr>
        <w:t>篇。</w:t>
      </w:r>
    </w:p>
    <w:p w14:paraId="72F5AE63">
      <w:pPr>
        <w:pStyle w:val="14"/>
        <w:spacing w:line="360" w:lineRule="auto"/>
        <w:ind w:firstLine="480"/>
        <w:rPr>
          <w:rFonts w:ascii="黑体" w:hAnsi="黑体" w:eastAsia="黑体" w:cs="黑体"/>
          <w:sz w:val="24"/>
          <w:szCs w:val="24"/>
        </w:rPr>
      </w:pPr>
      <w:r>
        <w:rPr>
          <w:rFonts w:hint="eastAsia" w:ascii="黑体" w:hAnsi="黑体" w:eastAsia="黑体" w:cs="黑体"/>
          <w:sz w:val="24"/>
          <w:szCs w:val="24"/>
        </w:rPr>
        <w:t>（二）研究方法</w:t>
      </w:r>
    </w:p>
    <w:p w14:paraId="56301023">
      <w:pPr>
        <w:spacing w:line="360" w:lineRule="auto"/>
        <w:ind w:firstLine="480" w:firstLineChars="200"/>
        <w:rPr>
          <w:rFonts w:ascii="宋体" w:hAnsi="宋体" w:eastAsia="宋体"/>
          <w:sz w:val="24"/>
          <w:szCs w:val="24"/>
        </w:rPr>
      </w:pPr>
      <w:r>
        <w:rPr>
          <w:rFonts w:hint="eastAsia" w:ascii="宋体" w:hAnsi="宋体" w:eastAsia="宋体"/>
          <w:sz w:val="24"/>
          <w:szCs w:val="24"/>
        </w:rPr>
        <w:t>本研究结合文献计量分析法和科学知识图谱可视化呈现，使用</w:t>
      </w:r>
      <w:r>
        <w:rPr>
          <w:rFonts w:ascii="宋体" w:hAnsi="宋体" w:eastAsia="宋体"/>
          <w:sz w:val="24"/>
          <w:szCs w:val="24"/>
        </w:rPr>
        <w:t>CiteSpace软件，</w:t>
      </w:r>
      <w:r>
        <w:rPr>
          <w:rFonts w:hint="eastAsia" w:ascii="宋体" w:hAnsi="宋体" w:eastAsia="宋体"/>
          <w:sz w:val="24"/>
          <w:szCs w:val="24"/>
        </w:rPr>
        <w:t>对150篇有效文献进行处理和分析。文献计量分析最早由Pritchard （1969年）提出，作为一种量化分析方法，文献计量分析法能够对文献的标题、年份、关键词、摘要等信息进行量化分析。科学知识图谱是目前使用广泛的可视化分析方法，于 2005 年由陈超美教授及其团队引入中国，其开发的 CiteSpace软件可以通过图像的方式多元、分时、动态、直观地展现某个领域的研究现状及热点，可挖掘作者、机构、国家、关键词及被引文献之间的关系。</w:t>
      </w:r>
    </w:p>
    <w:p w14:paraId="0CE7F871">
      <w:pPr>
        <w:spacing w:line="360" w:lineRule="auto"/>
        <w:ind w:firstLine="480" w:firstLineChars="200"/>
        <w:rPr>
          <w:rFonts w:ascii="宋体" w:hAnsi="宋体" w:eastAsia="宋体"/>
          <w:sz w:val="24"/>
          <w:szCs w:val="24"/>
        </w:rPr>
      </w:pPr>
    </w:p>
    <w:p w14:paraId="3A32C5D7">
      <w:pPr>
        <w:pStyle w:val="14"/>
        <w:spacing w:line="360" w:lineRule="auto"/>
        <w:ind w:firstLine="0" w:firstLineChars="0"/>
        <w:rPr>
          <w:rFonts w:ascii="黑体" w:hAnsi="黑体" w:eastAsia="黑体" w:cs="黑体"/>
          <w:sz w:val="24"/>
          <w:szCs w:val="24"/>
        </w:rPr>
      </w:pPr>
      <w:r>
        <w:rPr>
          <w:rFonts w:hint="eastAsia" w:ascii="黑体" w:hAnsi="黑体" w:eastAsia="黑体" w:cs="黑体"/>
          <w:sz w:val="24"/>
          <w:szCs w:val="24"/>
        </w:rPr>
        <w:t>三、研究结果与分析</w:t>
      </w:r>
    </w:p>
    <w:p w14:paraId="48DCAB30">
      <w:pPr>
        <w:pStyle w:val="14"/>
        <w:spacing w:line="360" w:lineRule="auto"/>
        <w:ind w:firstLine="480"/>
        <w:rPr>
          <w:rFonts w:ascii="黑体" w:hAnsi="黑体" w:eastAsia="黑体" w:cs="黑体"/>
          <w:sz w:val="24"/>
          <w:szCs w:val="24"/>
        </w:rPr>
      </w:pPr>
      <w:r>
        <w:rPr>
          <w:rFonts w:hint="eastAsia" w:ascii="黑体" w:hAnsi="黑体" w:eastAsia="黑体" w:cs="黑体"/>
          <w:sz w:val="24"/>
          <w:szCs w:val="24"/>
        </w:rPr>
        <w:t>（一）我国无边界学习研究的作者合作网络分析</w:t>
      </w:r>
    </w:p>
    <w:p w14:paraId="54A0215C">
      <w:pPr>
        <w:spacing w:line="360" w:lineRule="auto"/>
        <w:ind w:firstLine="480" w:firstLineChars="200"/>
        <w:rPr>
          <w:rFonts w:ascii="宋体" w:hAnsi="宋体" w:eastAsia="宋体"/>
          <w:sz w:val="24"/>
          <w:szCs w:val="24"/>
        </w:rPr>
      </w:pPr>
      <w:r>
        <w:rPr>
          <w:rFonts w:hint="eastAsia" w:ascii="宋体" w:hAnsi="宋体" w:eastAsia="宋体"/>
          <w:sz w:val="24"/>
          <w:szCs w:val="24"/>
        </w:rPr>
        <w:t>作者合作网络分析可显示该研究领域的核心人物及研究者之间合作、互引关系</w:t>
      </w:r>
      <w:r>
        <w:rPr>
          <w:rStyle w:val="10"/>
          <w:rFonts w:ascii="宋体" w:hAnsi="宋体" w:eastAsia="宋体"/>
          <w:sz w:val="24"/>
          <w:szCs w:val="24"/>
        </w:rPr>
        <w:t>[</w:t>
      </w:r>
      <w:r>
        <w:rPr>
          <w:rStyle w:val="10"/>
          <w:rFonts w:ascii="宋体" w:hAnsi="宋体" w:eastAsia="宋体"/>
          <w:sz w:val="24"/>
          <w:szCs w:val="24"/>
        </w:rPr>
        <w:footnoteReference w:id="4"/>
      </w:r>
      <w:r>
        <w:rPr>
          <w:rStyle w:val="10"/>
          <w:rFonts w:ascii="宋体" w:hAnsi="宋体" w:eastAsia="宋体"/>
          <w:sz w:val="24"/>
          <w:szCs w:val="24"/>
        </w:rPr>
        <w:t>]</w:t>
      </w:r>
      <w:r>
        <w:rPr>
          <w:rFonts w:ascii="宋体" w:hAnsi="宋体" w:eastAsia="宋体"/>
          <w:sz w:val="24"/>
          <w:szCs w:val="24"/>
        </w:rPr>
        <w:t>。图1中共有1</w:t>
      </w:r>
      <w:r>
        <w:rPr>
          <w:rFonts w:hint="eastAsia" w:ascii="宋体" w:hAnsi="宋体" w:eastAsia="宋体"/>
          <w:sz w:val="24"/>
          <w:szCs w:val="24"/>
        </w:rPr>
        <w:t>49</w:t>
      </w:r>
      <w:r>
        <w:rPr>
          <w:rFonts w:ascii="宋体" w:hAnsi="宋体" w:eastAsia="宋体"/>
          <w:sz w:val="24"/>
          <w:szCs w:val="24"/>
        </w:rPr>
        <w:t>个节点数，表明在</w:t>
      </w:r>
      <w:r>
        <w:rPr>
          <w:rFonts w:hint="eastAsia" w:ascii="宋体" w:hAnsi="宋体" w:eastAsia="宋体"/>
          <w:sz w:val="24"/>
          <w:szCs w:val="24"/>
        </w:rPr>
        <w:t>2</w:t>
      </w:r>
      <w:r>
        <w:rPr>
          <w:rFonts w:ascii="宋体" w:hAnsi="宋体" w:eastAsia="宋体"/>
          <w:sz w:val="24"/>
          <w:szCs w:val="24"/>
        </w:rPr>
        <w:t>0</w:t>
      </w:r>
      <w:r>
        <w:rPr>
          <w:rFonts w:hint="eastAsia" w:ascii="宋体" w:hAnsi="宋体" w:eastAsia="宋体"/>
          <w:sz w:val="24"/>
          <w:szCs w:val="24"/>
        </w:rPr>
        <w:t>03</w:t>
      </w:r>
      <w:r>
        <w:rPr>
          <w:rFonts w:ascii="宋体" w:hAnsi="宋体" w:eastAsia="宋体"/>
          <w:sz w:val="24"/>
          <w:szCs w:val="24"/>
        </w:rPr>
        <w:t>-2023年间</w:t>
      </w:r>
      <w:r>
        <w:rPr>
          <w:rFonts w:hint="eastAsia" w:ascii="宋体" w:hAnsi="宋体" w:eastAsia="宋体"/>
          <w:sz w:val="24"/>
          <w:szCs w:val="24"/>
        </w:rPr>
        <w:t>共检索到数据库中</w:t>
      </w:r>
      <w:r>
        <w:rPr>
          <w:rFonts w:ascii="宋体" w:hAnsi="宋体" w:eastAsia="宋体"/>
          <w:sz w:val="24"/>
          <w:szCs w:val="24"/>
        </w:rPr>
        <w:t>1</w:t>
      </w:r>
      <w:r>
        <w:rPr>
          <w:rFonts w:hint="eastAsia" w:ascii="宋体" w:hAnsi="宋体" w:eastAsia="宋体"/>
          <w:sz w:val="24"/>
          <w:szCs w:val="24"/>
        </w:rPr>
        <w:t>49位学者以“无边界教育”或“无边界学习”为研究主题开展了研究。从图中可以看出，以“无边界教育”或“无边界学习”为研究主题的研究者呈现出整体分散、部分集中的特点，主要研究者有朱卫华、朱晓燕、邵红、郭元祥、孙建锋、王小洪、郭志滨、严兵等。结合表1可知，发文数量在两篇以上的的共有8位学者，其中发文量最多的是朱卫华，朱晓燕、邵红次之。</w:t>
      </w:r>
      <w:r>
        <w:rPr>
          <w:rFonts w:ascii="宋体" w:hAnsi="宋体" w:eastAsia="宋体"/>
          <w:sz w:val="24"/>
          <w:szCs w:val="24"/>
        </w:rPr>
        <w:t>1</w:t>
      </w:r>
      <w:r>
        <w:rPr>
          <w:rFonts w:hint="eastAsia" w:ascii="宋体" w:hAnsi="宋体" w:eastAsia="宋体"/>
          <w:sz w:val="24"/>
          <w:szCs w:val="24"/>
        </w:rPr>
        <w:t>49位学者的中介中心性为0，表明各学者较多关注独立研究，较少开展合作研究。</w:t>
      </w:r>
    </w:p>
    <w:p w14:paraId="1E2CA6DB">
      <w:pPr>
        <w:spacing w:line="360" w:lineRule="auto"/>
        <w:ind w:firstLine="480" w:firstLineChars="200"/>
        <w:rPr>
          <w:rFonts w:ascii="宋体" w:hAnsi="宋体" w:eastAsia="宋体"/>
          <w:sz w:val="24"/>
          <w:szCs w:val="24"/>
        </w:rPr>
      </w:pPr>
      <w:r>
        <w:rPr>
          <w:rFonts w:hint="eastAsia" w:ascii="宋体" w:hAnsi="宋体" w:eastAsia="宋体"/>
          <w:sz w:val="24"/>
          <w:szCs w:val="24"/>
        </w:rPr>
        <w:drawing>
          <wp:inline distT="0" distB="0" distL="114300" distR="114300">
            <wp:extent cx="5304155" cy="2957830"/>
            <wp:effectExtent l="0" t="0" r="4445" b="1270"/>
            <wp:docPr id="5" name="图片 5" descr="作者共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作者共现2"/>
                    <pic:cNvPicPr>
                      <a:picLocks noChangeAspect="1"/>
                    </pic:cNvPicPr>
                  </pic:nvPicPr>
                  <pic:blipFill>
                    <a:blip r:embed="rId6"/>
                    <a:stretch>
                      <a:fillRect/>
                    </a:stretch>
                  </pic:blipFill>
                  <pic:spPr>
                    <a:xfrm>
                      <a:off x="0" y="0"/>
                      <a:ext cx="5304155" cy="2957830"/>
                    </a:xfrm>
                    <a:prstGeom prst="rect">
                      <a:avLst/>
                    </a:prstGeom>
                  </pic:spPr>
                </pic:pic>
              </a:graphicData>
            </a:graphic>
          </wp:inline>
        </w:drawing>
      </w:r>
    </w:p>
    <w:p w14:paraId="3209F0A2">
      <w:pPr>
        <w:spacing w:line="360" w:lineRule="auto"/>
        <w:ind w:firstLine="422" w:firstLineChars="200"/>
        <w:jc w:val="center"/>
        <w:rPr>
          <w:rFonts w:ascii="仿宋" w:hAnsi="仿宋" w:eastAsia="仿宋" w:cs="仿宋"/>
          <w:b/>
          <w:bCs/>
          <w:szCs w:val="21"/>
        </w:rPr>
      </w:pPr>
      <w:r>
        <w:rPr>
          <w:rFonts w:hint="eastAsia" w:ascii="仿宋" w:hAnsi="仿宋" w:eastAsia="仿宋" w:cs="仿宋"/>
          <w:b/>
          <w:bCs/>
          <w:szCs w:val="21"/>
        </w:rPr>
        <w:t>图 1 作者合作网络图谱</w:t>
      </w:r>
    </w:p>
    <w:p w14:paraId="42613EDC">
      <w:pPr>
        <w:rPr>
          <w:rFonts w:ascii="仿宋" w:hAnsi="仿宋" w:eastAsia="仿宋" w:cs="仿宋"/>
          <w:b/>
          <w:bCs/>
          <w:szCs w:val="21"/>
        </w:rPr>
      </w:pPr>
      <w:r>
        <w:rPr>
          <w:rFonts w:hint="eastAsia" w:ascii="仿宋" w:hAnsi="仿宋" w:eastAsia="仿宋" w:cs="仿宋"/>
          <w:b/>
          <w:bCs/>
          <w:szCs w:val="21"/>
        </w:rPr>
        <w:br w:type="page"/>
      </w:r>
    </w:p>
    <w:p w14:paraId="27B546C1">
      <w:pPr>
        <w:spacing w:line="360" w:lineRule="auto"/>
        <w:ind w:firstLine="422" w:firstLineChars="200"/>
        <w:jc w:val="center"/>
        <w:rPr>
          <w:rFonts w:ascii="仿宋" w:hAnsi="仿宋" w:eastAsia="仿宋" w:cs="仿宋"/>
          <w:b/>
          <w:bCs/>
          <w:szCs w:val="21"/>
        </w:rPr>
      </w:pPr>
      <w:r>
        <w:rPr>
          <w:rFonts w:hint="eastAsia" w:ascii="仿宋" w:hAnsi="仿宋" w:eastAsia="仿宋" w:cs="仿宋"/>
          <w:b/>
          <w:bCs/>
          <w:szCs w:val="21"/>
        </w:rPr>
        <w:t>表1 作者发文量统计</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2130"/>
        <w:gridCol w:w="2131"/>
      </w:tblGrid>
      <w:tr w14:paraId="42F730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tcBorders>
              <w:top w:val="single" w:color="auto" w:sz="4" w:space="0"/>
              <w:bottom w:val="single" w:color="auto" w:sz="4" w:space="0"/>
            </w:tcBorders>
            <w:vAlign w:val="center"/>
          </w:tcPr>
          <w:p w14:paraId="706822DE">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作者</w:t>
            </w:r>
          </w:p>
        </w:tc>
        <w:tc>
          <w:tcPr>
            <w:tcW w:w="2130" w:type="dxa"/>
            <w:tcBorders>
              <w:top w:val="single" w:color="auto" w:sz="4" w:space="0"/>
              <w:bottom w:val="single" w:color="auto" w:sz="4" w:space="0"/>
            </w:tcBorders>
            <w:vAlign w:val="center"/>
          </w:tcPr>
          <w:p w14:paraId="660E86CC">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发文量</w:t>
            </w:r>
          </w:p>
        </w:tc>
        <w:tc>
          <w:tcPr>
            <w:tcW w:w="2131" w:type="dxa"/>
            <w:tcBorders>
              <w:top w:val="single" w:color="auto" w:sz="4" w:space="0"/>
              <w:bottom w:val="single" w:color="auto" w:sz="4" w:space="0"/>
            </w:tcBorders>
            <w:vAlign w:val="center"/>
          </w:tcPr>
          <w:p w14:paraId="56562C88">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中介中心性</w:t>
            </w:r>
          </w:p>
        </w:tc>
      </w:tr>
      <w:tr w14:paraId="7F5B3F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tcBorders>
              <w:top w:val="single" w:color="auto" w:sz="4" w:space="0"/>
            </w:tcBorders>
            <w:vAlign w:val="center"/>
          </w:tcPr>
          <w:p w14:paraId="201AE88E">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朱卫华</w:t>
            </w:r>
          </w:p>
        </w:tc>
        <w:tc>
          <w:tcPr>
            <w:tcW w:w="2130" w:type="dxa"/>
            <w:tcBorders>
              <w:top w:val="single" w:color="auto" w:sz="4" w:space="0"/>
            </w:tcBorders>
            <w:vAlign w:val="center"/>
          </w:tcPr>
          <w:p w14:paraId="435847A2">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6</w:t>
            </w:r>
          </w:p>
        </w:tc>
        <w:tc>
          <w:tcPr>
            <w:tcW w:w="2131" w:type="dxa"/>
            <w:tcBorders>
              <w:top w:val="single" w:color="auto" w:sz="4" w:space="0"/>
            </w:tcBorders>
            <w:vAlign w:val="center"/>
          </w:tcPr>
          <w:p w14:paraId="2CC0E699">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4F76C8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vAlign w:val="center"/>
          </w:tcPr>
          <w:p w14:paraId="6AAA2747">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朱晓燕</w:t>
            </w:r>
          </w:p>
        </w:tc>
        <w:tc>
          <w:tcPr>
            <w:tcW w:w="2130" w:type="dxa"/>
            <w:vAlign w:val="center"/>
          </w:tcPr>
          <w:p w14:paraId="1CB1D059">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4</w:t>
            </w:r>
          </w:p>
        </w:tc>
        <w:tc>
          <w:tcPr>
            <w:tcW w:w="2131" w:type="dxa"/>
            <w:vAlign w:val="center"/>
          </w:tcPr>
          <w:p w14:paraId="6C929BFA">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5A9C42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vAlign w:val="center"/>
          </w:tcPr>
          <w:p w14:paraId="1AE8224F">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邵红</w:t>
            </w:r>
          </w:p>
        </w:tc>
        <w:tc>
          <w:tcPr>
            <w:tcW w:w="2130" w:type="dxa"/>
            <w:vAlign w:val="center"/>
          </w:tcPr>
          <w:p w14:paraId="5678EA65">
            <w:pPr>
              <w:spacing w:line="360" w:lineRule="auto"/>
              <w:jc w:val="center"/>
              <w:rPr>
                <w:rFonts w:ascii="仿宋" w:hAnsi="仿宋" w:eastAsia="仿宋" w:cs="仿宋"/>
                <w:kern w:val="0"/>
                <w:sz w:val="18"/>
                <w:szCs w:val="18"/>
              </w:rPr>
            </w:pPr>
            <w:r>
              <w:rPr>
                <w:rFonts w:ascii="仿宋" w:hAnsi="仿宋" w:eastAsia="仿宋" w:cs="仿宋"/>
                <w:kern w:val="0"/>
                <w:sz w:val="18"/>
                <w:szCs w:val="18"/>
              </w:rPr>
              <w:t>3</w:t>
            </w:r>
          </w:p>
        </w:tc>
        <w:tc>
          <w:tcPr>
            <w:tcW w:w="2131" w:type="dxa"/>
            <w:vAlign w:val="center"/>
          </w:tcPr>
          <w:p w14:paraId="77C4F948">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26212D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vAlign w:val="center"/>
          </w:tcPr>
          <w:p w14:paraId="37A1D94F">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郭元祥</w:t>
            </w:r>
          </w:p>
        </w:tc>
        <w:tc>
          <w:tcPr>
            <w:tcW w:w="2130" w:type="dxa"/>
            <w:vAlign w:val="center"/>
          </w:tcPr>
          <w:p w14:paraId="571A8610">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3</w:t>
            </w:r>
          </w:p>
        </w:tc>
        <w:tc>
          <w:tcPr>
            <w:tcW w:w="2131" w:type="dxa"/>
            <w:vAlign w:val="center"/>
          </w:tcPr>
          <w:p w14:paraId="2F95EFE7">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702D73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vAlign w:val="center"/>
          </w:tcPr>
          <w:p w14:paraId="61D9D8B7">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孙建锋</w:t>
            </w:r>
          </w:p>
        </w:tc>
        <w:tc>
          <w:tcPr>
            <w:tcW w:w="2130" w:type="dxa"/>
            <w:vAlign w:val="center"/>
          </w:tcPr>
          <w:p w14:paraId="7D5BBDF1">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3</w:t>
            </w:r>
          </w:p>
        </w:tc>
        <w:tc>
          <w:tcPr>
            <w:tcW w:w="2131" w:type="dxa"/>
            <w:vAlign w:val="center"/>
          </w:tcPr>
          <w:p w14:paraId="4392C21C">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4C3E54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vAlign w:val="center"/>
          </w:tcPr>
          <w:p w14:paraId="1AC35210">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王小洪</w:t>
            </w:r>
          </w:p>
        </w:tc>
        <w:tc>
          <w:tcPr>
            <w:tcW w:w="2130" w:type="dxa"/>
            <w:vAlign w:val="center"/>
          </w:tcPr>
          <w:p w14:paraId="522FE2B0">
            <w:pPr>
              <w:spacing w:line="360" w:lineRule="auto"/>
              <w:jc w:val="center"/>
              <w:rPr>
                <w:rFonts w:ascii="仿宋" w:hAnsi="仿宋" w:eastAsia="仿宋" w:cs="仿宋"/>
                <w:kern w:val="0"/>
                <w:sz w:val="18"/>
                <w:szCs w:val="18"/>
              </w:rPr>
            </w:pPr>
            <w:r>
              <w:rPr>
                <w:rFonts w:ascii="仿宋" w:hAnsi="仿宋" w:eastAsia="仿宋" w:cs="仿宋"/>
                <w:kern w:val="0"/>
                <w:sz w:val="18"/>
                <w:szCs w:val="18"/>
              </w:rPr>
              <w:t>3</w:t>
            </w:r>
          </w:p>
        </w:tc>
        <w:tc>
          <w:tcPr>
            <w:tcW w:w="2131" w:type="dxa"/>
            <w:vAlign w:val="center"/>
          </w:tcPr>
          <w:p w14:paraId="12186098">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4FF859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vAlign w:val="center"/>
          </w:tcPr>
          <w:p w14:paraId="0E49FA6D">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郭志滨</w:t>
            </w:r>
          </w:p>
        </w:tc>
        <w:tc>
          <w:tcPr>
            <w:tcW w:w="2130" w:type="dxa"/>
            <w:vAlign w:val="center"/>
          </w:tcPr>
          <w:p w14:paraId="4718E929">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3</w:t>
            </w:r>
          </w:p>
        </w:tc>
        <w:tc>
          <w:tcPr>
            <w:tcW w:w="2131" w:type="dxa"/>
            <w:vAlign w:val="center"/>
          </w:tcPr>
          <w:p w14:paraId="21B5A143">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275BFA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vAlign w:val="center"/>
          </w:tcPr>
          <w:p w14:paraId="05844118">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严兵</w:t>
            </w:r>
          </w:p>
        </w:tc>
        <w:tc>
          <w:tcPr>
            <w:tcW w:w="2130" w:type="dxa"/>
            <w:vAlign w:val="center"/>
          </w:tcPr>
          <w:p w14:paraId="3DC1F795">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3</w:t>
            </w:r>
          </w:p>
        </w:tc>
        <w:tc>
          <w:tcPr>
            <w:tcW w:w="2131" w:type="dxa"/>
            <w:vAlign w:val="center"/>
          </w:tcPr>
          <w:p w14:paraId="5543DC01">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bl>
    <w:p w14:paraId="0E980083">
      <w:pPr>
        <w:spacing w:line="360" w:lineRule="auto"/>
        <w:rPr>
          <w:rFonts w:ascii="宋体" w:hAnsi="宋体" w:eastAsia="宋体"/>
          <w:sz w:val="24"/>
          <w:szCs w:val="24"/>
        </w:rPr>
      </w:pPr>
    </w:p>
    <w:p w14:paraId="7858555D">
      <w:pPr>
        <w:pStyle w:val="14"/>
        <w:spacing w:line="360" w:lineRule="auto"/>
        <w:ind w:firstLine="480"/>
        <w:rPr>
          <w:rFonts w:ascii="黑体" w:hAnsi="黑体" w:eastAsia="黑体" w:cs="黑体"/>
          <w:sz w:val="24"/>
          <w:szCs w:val="24"/>
        </w:rPr>
      </w:pPr>
      <w:r>
        <w:rPr>
          <w:rFonts w:hint="eastAsia" w:ascii="黑体" w:hAnsi="黑体" w:eastAsia="黑体" w:cs="黑体"/>
          <w:sz w:val="24"/>
          <w:szCs w:val="24"/>
        </w:rPr>
        <w:t>（二）我国无边界学习研究的机构合作网络分析</w:t>
      </w:r>
    </w:p>
    <w:p w14:paraId="6FCFBE54">
      <w:pPr>
        <w:widowControl/>
        <w:spacing w:line="360" w:lineRule="auto"/>
        <w:ind w:firstLine="480" w:firstLineChars="200"/>
        <w:jc w:val="left"/>
        <w:rPr>
          <w:rFonts w:ascii="宋体" w:hAnsi="宋体" w:eastAsia="宋体"/>
          <w:sz w:val="24"/>
          <w:szCs w:val="24"/>
        </w:rPr>
      </w:pPr>
      <w:r>
        <w:rPr>
          <w:rFonts w:hint="eastAsia" w:ascii="宋体" w:hAnsi="宋体" w:eastAsia="宋体"/>
          <w:sz w:val="24"/>
          <w:szCs w:val="24"/>
        </w:rPr>
        <w:t>图2表示2</w:t>
      </w:r>
      <w:r>
        <w:rPr>
          <w:rFonts w:ascii="宋体" w:hAnsi="宋体" w:eastAsia="宋体"/>
          <w:sz w:val="24"/>
          <w:szCs w:val="24"/>
        </w:rPr>
        <w:t>00</w:t>
      </w:r>
      <w:r>
        <w:rPr>
          <w:rFonts w:hint="eastAsia" w:ascii="宋体" w:hAnsi="宋体" w:eastAsia="宋体"/>
          <w:sz w:val="24"/>
          <w:szCs w:val="24"/>
        </w:rPr>
        <w:t>3</w:t>
      </w:r>
      <w:r>
        <w:rPr>
          <w:rFonts w:ascii="宋体" w:hAnsi="宋体" w:eastAsia="宋体"/>
          <w:sz w:val="24"/>
          <w:szCs w:val="24"/>
        </w:rPr>
        <w:t>-2023</w:t>
      </w:r>
      <w:r>
        <w:rPr>
          <w:rFonts w:hint="eastAsia" w:ascii="宋体" w:hAnsi="宋体" w:eastAsia="宋体"/>
          <w:sz w:val="24"/>
          <w:szCs w:val="24"/>
        </w:rPr>
        <w:t>年间教育领域发文机构间的合作关系，如图所示，发文机构共108个，以幼儿园、中小学、高等教育机构为主，其中江苏省张家港市南苑幼儿园发文最多，江苏省南京市第九中学、广东省深圳市南山区赤湾学校、昆山开发区世茂幼儿园、华中师范大学教育学院次之。发文两篇及以上的机构共11个，其余机构发文量均为1篇。从中介中心性看，各发文机构的中介中心性均为</w:t>
      </w:r>
      <w:r>
        <w:rPr>
          <w:rFonts w:ascii="宋体" w:hAnsi="宋体" w:eastAsia="宋体"/>
          <w:sz w:val="24"/>
          <w:szCs w:val="24"/>
        </w:rPr>
        <w:t>0，表明以“</w:t>
      </w:r>
      <w:r>
        <w:rPr>
          <w:rFonts w:hint="eastAsia" w:ascii="宋体" w:hAnsi="宋体" w:eastAsia="宋体"/>
          <w:sz w:val="24"/>
          <w:szCs w:val="24"/>
        </w:rPr>
        <w:t>无边界学习</w:t>
      </w:r>
      <w:r>
        <w:rPr>
          <w:rFonts w:ascii="宋体" w:hAnsi="宋体" w:eastAsia="宋体"/>
          <w:sz w:val="24"/>
          <w:szCs w:val="24"/>
        </w:rPr>
        <w:t>”为研究主题的研究机构较为关注独立研究，较少开展合作研究。</w:t>
      </w:r>
    </w:p>
    <w:p w14:paraId="0FC58BF0">
      <w:pPr>
        <w:pStyle w:val="14"/>
        <w:widowControl/>
        <w:spacing w:line="360" w:lineRule="auto"/>
        <w:ind w:left="840" w:firstLine="0" w:firstLineChars="0"/>
        <w:rPr>
          <w:rFonts w:ascii="宋体" w:hAnsi="宋体" w:eastAsia="宋体"/>
          <w:sz w:val="24"/>
          <w:szCs w:val="24"/>
        </w:rPr>
      </w:pPr>
      <w:r>
        <w:rPr>
          <w:rFonts w:hint="eastAsia" w:ascii="宋体" w:hAnsi="宋体" w:eastAsia="宋体"/>
          <w:sz w:val="24"/>
          <w:szCs w:val="24"/>
        </w:rPr>
        <w:drawing>
          <wp:inline distT="0" distB="0" distL="114300" distR="114300">
            <wp:extent cx="4624705" cy="2579370"/>
            <wp:effectExtent l="0" t="0" r="10795" b="11430"/>
            <wp:docPr id="6" name="图片 6" descr="机构共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机构共现2"/>
                    <pic:cNvPicPr>
                      <a:picLocks noChangeAspect="1"/>
                    </pic:cNvPicPr>
                  </pic:nvPicPr>
                  <pic:blipFill>
                    <a:blip r:embed="rId7"/>
                    <a:stretch>
                      <a:fillRect/>
                    </a:stretch>
                  </pic:blipFill>
                  <pic:spPr>
                    <a:xfrm>
                      <a:off x="0" y="0"/>
                      <a:ext cx="4624705" cy="2579370"/>
                    </a:xfrm>
                    <a:prstGeom prst="rect">
                      <a:avLst/>
                    </a:prstGeom>
                  </pic:spPr>
                </pic:pic>
              </a:graphicData>
            </a:graphic>
          </wp:inline>
        </w:drawing>
      </w:r>
    </w:p>
    <w:p w14:paraId="245EA9B5">
      <w:pPr>
        <w:spacing w:line="360" w:lineRule="auto"/>
        <w:ind w:firstLine="422" w:firstLineChars="200"/>
        <w:jc w:val="center"/>
        <w:rPr>
          <w:rFonts w:ascii="仿宋" w:hAnsi="仿宋" w:eastAsia="仿宋" w:cs="仿宋"/>
          <w:b/>
          <w:bCs/>
          <w:szCs w:val="21"/>
        </w:rPr>
      </w:pPr>
      <w:r>
        <w:rPr>
          <w:rFonts w:hint="eastAsia" w:ascii="仿宋" w:hAnsi="仿宋" w:eastAsia="仿宋" w:cs="仿宋"/>
          <w:b/>
          <w:bCs/>
          <w:szCs w:val="21"/>
        </w:rPr>
        <w:t>图 2 机构合作网络图谱</w:t>
      </w:r>
      <w:r>
        <w:rPr>
          <w:rFonts w:ascii="仿宋" w:hAnsi="仿宋" w:eastAsia="仿宋" w:cs="仿宋"/>
          <w:b/>
          <w:bCs/>
          <w:szCs w:val="21"/>
        </w:rPr>
        <w:br w:type="page"/>
      </w:r>
    </w:p>
    <w:p w14:paraId="5EA147AA">
      <w:pPr>
        <w:spacing w:line="360" w:lineRule="auto"/>
        <w:ind w:firstLine="422" w:firstLineChars="200"/>
        <w:jc w:val="center"/>
        <w:rPr>
          <w:rFonts w:ascii="仿宋" w:hAnsi="仿宋" w:eastAsia="仿宋" w:cs="仿宋"/>
          <w:b/>
          <w:bCs/>
          <w:szCs w:val="21"/>
        </w:rPr>
      </w:pPr>
      <w:r>
        <w:rPr>
          <w:rFonts w:hint="eastAsia" w:ascii="仿宋" w:hAnsi="仿宋" w:eastAsia="仿宋" w:cs="仿宋"/>
          <w:b/>
          <w:bCs/>
          <w:szCs w:val="21"/>
        </w:rPr>
        <w:t>表2 机构发文量统计</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9"/>
        <w:gridCol w:w="1418"/>
        <w:gridCol w:w="1719"/>
      </w:tblGrid>
      <w:tr w14:paraId="41E321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9" w:type="dxa"/>
            <w:tcBorders>
              <w:top w:val="single" w:color="auto" w:sz="4" w:space="0"/>
              <w:bottom w:val="single" w:color="auto" w:sz="4" w:space="0"/>
            </w:tcBorders>
            <w:vAlign w:val="center"/>
          </w:tcPr>
          <w:p w14:paraId="6C472676">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机构</w:t>
            </w:r>
          </w:p>
        </w:tc>
        <w:tc>
          <w:tcPr>
            <w:tcW w:w="1418" w:type="dxa"/>
            <w:tcBorders>
              <w:top w:val="single" w:color="auto" w:sz="4" w:space="0"/>
              <w:bottom w:val="single" w:color="auto" w:sz="4" w:space="0"/>
            </w:tcBorders>
            <w:vAlign w:val="center"/>
          </w:tcPr>
          <w:p w14:paraId="009B77AE">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发文量</w:t>
            </w:r>
          </w:p>
        </w:tc>
        <w:tc>
          <w:tcPr>
            <w:tcW w:w="1719" w:type="dxa"/>
            <w:tcBorders>
              <w:top w:val="single" w:color="auto" w:sz="4" w:space="0"/>
              <w:bottom w:val="single" w:color="auto" w:sz="4" w:space="0"/>
            </w:tcBorders>
            <w:vAlign w:val="center"/>
          </w:tcPr>
          <w:p w14:paraId="674AF698">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中介中心性</w:t>
            </w:r>
          </w:p>
        </w:tc>
      </w:tr>
      <w:tr w14:paraId="062705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9" w:type="dxa"/>
            <w:tcBorders>
              <w:top w:val="single" w:color="auto" w:sz="4" w:space="0"/>
            </w:tcBorders>
            <w:vAlign w:val="center"/>
          </w:tcPr>
          <w:p w14:paraId="4192A3B5">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江苏省张家港市南苑幼儿园</w:t>
            </w:r>
          </w:p>
        </w:tc>
        <w:tc>
          <w:tcPr>
            <w:tcW w:w="1418" w:type="dxa"/>
            <w:tcBorders>
              <w:top w:val="single" w:color="auto" w:sz="4" w:space="0"/>
            </w:tcBorders>
            <w:vAlign w:val="center"/>
          </w:tcPr>
          <w:p w14:paraId="319F323E">
            <w:pPr>
              <w:spacing w:line="360" w:lineRule="auto"/>
              <w:jc w:val="center"/>
              <w:rPr>
                <w:rFonts w:ascii="仿宋" w:hAnsi="仿宋" w:eastAsia="仿宋" w:cs="仿宋"/>
                <w:kern w:val="0"/>
                <w:sz w:val="18"/>
                <w:szCs w:val="18"/>
              </w:rPr>
            </w:pPr>
            <w:r>
              <w:rPr>
                <w:rFonts w:ascii="仿宋" w:hAnsi="仿宋" w:eastAsia="仿宋" w:cs="仿宋"/>
                <w:kern w:val="0"/>
                <w:sz w:val="18"/>
                <w:szCs w:val="18"/>
              </w:rPr>
              <w:t>26</w:t>
            </w:r>
          </w:p>
        </w:tc>
        <w:tc>
          <w:tcPr>
            <w:tcW w:w="1719" w:type="dxa"/>
            <w:tcBorders>
              <w:top w:val="single" w:color="auto" w:sz="4" w:space="0"/>
            </w:tcBorders>
            <w:vAlign w:val="center"/>
          </w:tcPr>
          <w:p w14:paraId="4357460C">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4E9ACA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9" w:type="dxa"/>
            <w:vAlign w:val="center"/>
          </w:tcPr>
          <w:p w14:paraId="2216D308">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江苏省南京市第九中学</w:t>
            </w:r>
          </w:p>
        </w:tc>
        <w:tc>
          <w:tcPr>
            <w:tcW w:w="1418" w:type="dxa"/>
            <w:vAlign w:val="center"/>
          </w:tcPr>
          <w:p w14:paraId="60AAA4E8">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9</w:t>
            </w:r>
          </w:p>
        </w:tc>
        <w:tc>
          <w:tcPr>
            <w:tcW w:w="1719" w:type="dxa"/>
            <w:vAlign w:val="center"/>
          </w:tcPr>
          <w:p w14:paraId="0D8551AB">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32B827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9" w:type="dxa"/>
            <w:vAlign w:val="center"/>
          </w:tcPr>
          <w:p w14:paraId="2356EE2F">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广东省深圳市南山区赤湾学校</w:t>
            </w:r>
          </w:p>
        </w:tc>
        <w:tc>
          <w:tcPr>
            <w:tcW w:w="1418" w:type="dxa"/>
            <w:vAlign w:val="center"/>
          </w:tcPr>
          <w:p w14:paraId="58FC5392">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6</w:t>
            </w:r>
          </w:p>
        </w:tc>
        <w:tc>
          <w:tcPr>
            <w:tcW w:w="1719" w:type="dxa"/>
            <w:vAlign w:val="center"/>
          </w:tcPr>
          <w:p w14:paraId="631EE15A">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7BF679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9" w:type="dxa"/>
            <w:vAlign w:val="center"/>
          </w:tcPr>
          <w:p w14:paraId="5DC91E4C">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昆山开发区世茂幼儿园</w:t>
            </w:r>
          </w:p>
        </w:tc>
        <w:tc>
          <w:tcPr>
            <w:tcW w:w="1418" w:type="dxa"/>
            <w:vAlign w:val="center"/>
          </w:tcPr>
          <w:p w14:paraId="079C3B94">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3</w:t>
            </w:r>
          </w:p>
        </w:tc>
        <w:tc>
          <w:tcPr>
            <w:tcW w:w="1719" w:type="dxa"/>
            <w:vAlign w:val="center"/>
          </w:tcPr>
          <w:p w14:paraId="0FA65ACF">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r w14:paraId="024574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9" w:type="dxa"/>
            <w:vAlign w:val="center"/>
          </w:tcPr>
          <w:p w14:paraId="39B1A623">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华中师范大学教育学院</w:t>
            </w:r>
          </w:p>
        </w:tc>
        <w:tc>
          <w:tcPr>
            <w:tcW w:w="1418" w:type="dxa"/>
            <w:vAlign w:val="center"/>
          </w:tcPr>
          <w:p w14:paraId="6F3F698C">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3</w:t>
            </w:r>
          </w:p>
        </w:tc>
        <w:tc>
          <w:tcPr>
            <w:tcW w:w="1719" w:type="dxa"/>
            <w:vAlign w:val="center"/>
          </w:tcPr>
          <w:p w14:paraId="6EC12215">
            <w:pPr>
              <w:spacing w:line="360" w:lineRule="auto"/>
              <w:jc w:val="center"/>
              <w:rPr>
                <w:rFonts w:ascii="仿宋" w:hAnsi="仿宋" w:eastAsia="仿宋" w:cs="仿宋"/>
                <w:kern w:val="0"/>
                <w:sz w:val="18"/>
                <w:szCs w:val="18"/>
              </w:rPr>
            </w:pPr>
            <w:r>
              <w:rPr>
                <w:rFonts w:hint="eastAsia" w:ascii="仿宋" w:hAnsi="仿宋" w:eastAsia="仿宋" w:cs="仿宋"/>
                <w:kern w:val="0"/>
                <w:sz w:val="18"/>
                <w:szCs w:val="18"/>
              </w:rPr>
              <w:t>0</w:t>
            </w:r>
          </w:p>
        </w:tc>
      </w:tr>
    </w:tbl>
    <w:p w14:paraId="3D85744D">
      <w:pPr>
        <w:spacing w:line="360" w:lineRule="auto"/>
        <w:rPr>
          <w:rFonts w:ascii="宋体" w:hAnsi="宋体" w:eastAsia="宋体"/>
          <w:sz w:val="24"/>
          <w:szCs w:val="24"/>
        </w:rPr>
      </w:pPr>
    </w:p>
    <w:p w14:paraId="43CB850B">
      <w:pPr>
        <w:pStyle w:val="14"/>
        <w:spacing w:line="360" w:lineRule="auto"/>
        <w:ind w:firstLine="480"/>
        <w:rPr>
          <w:rFonts w:ascii="黑体" w:hAnsi="黑体" w:eastAsia="黑体" w:cs="黑体"/>
          <w:sz w:val="24"/>
          <w:szCs w:val="24"/>
        </w:rPr>
      </w:pPr>
      <w:r>
        <w:rPr>
          <w:rFonts w:hint="eastAsia" w:ascii="黑体" w:hAnsi="黑体" w:eastAsia="黑体" w:cs="黑体"/>
          <w:sz w:val="24"/>
          <w:szCs w:val="24"/>
        </w:rPr>
        <w:t>（三）我国无边界学习研究的关键词</w:t>
      </w:r>
    </w:p>
    <w:p w14:paraId="71BBC405">
      <w:pPr>
        <w:spacing w:line="360" w:lineRule="auto"/>
        <w:ind w:firstLine="480" w:firstLineChars="200"/>
        <w:rPr>
          <w:rFonts w:ascii="宋体" w:hAnsi="宋体" w:eastAsia="宋体"/>
          <w:sz w:val="24"/>
          <w:szCs w:val="24"/>
        </w:rPr>
      </w:pPr>
      <w:r>
        <w:rPr>
          <w:rFonts w:hint="eastAsia" w:ascii="宋体" w:hAnsi="宋体" w:eastAsia="宋体"/>
          <w:sz w:val="24"/>
          <w:szCs w:val="24"/>
        </w:rPr>
        <w:t>本研究将150篇有效文献生成的数据库导入Citespace软件，形成关键词共现图谱（图3）。研究热点分析主要通过关键词共现分析及关键词聚类分析来实现，关键词往往高度概括了文章的研究主题，从关键词共现图及聚类结果中可以较为直观地发现以“无边界学习”“无边界教育”为研究主题的研究热点。</w:t>
      </w:r>
    </w:p>
    <w:p w14:paraId="4B5BE987">
      <w:pPr>
        <w:spacing w:line="360" w:lineRule="auto"/>
        <w:ind w:firstLine="480" w:firstLineChars="200"/>
        <w:rPr>
          <w:rFonts w:ascii="宋体" w:hAnsi="宋体" w:eastAsia="宋体"/>
          <w:sz w:val="24"/>
          <w:szCs w:val="24"/>
        </w:rPr>
      </w:pPr>
      <w:r>
        <w:rPr>
          <w:rFonts w:hint="eastAsia" w:ascii="宋体" w:hAnsi="宋体" w:eastAsia="宋体"/>
          <w:sz w:val="24"/>
          <w:szCs w:val="24"/>
        </w:rPr>
        <w:t>图3中共有</w:t>
      </w:r>
      <w:r>
        <w:rPr>
          <w:rFonts w:ascii="宋体" w:hAnsi="宋体" w:eastAsia="宋体"/>
          <w:sz w:val="24"/>
          <w:szCs w:val="24"/>
        </w:rPr>
        <w:t>270</w:t>
      </w:r>
      <w:r>
        <w:rPr>
          <w:rFonts w:hint="eastAsia" w:ascii="宋体" w:hAnsi="宋体" w:eastAsia="宋体"/>
          <w:sz w:val="24"/>
          <w:szCs w:val="24"/>
        </w:rPr>
        <w:t>个节点数，表示对</w:t>
      </w:r>
      <w:r>
        <w:rPr>
          <w:rFonts w:ascii="宋体" w:hAnsi="宋体" w:eastAsia="宋体"/>
          <w:sz w:val="24"/>
          <w:szCs w:val="24"/>
        </w:rPr>
        <w:t>150</w:t>
      </w:r>
      <w:r>
        <w:rPr>
          <w:rFonts w:hint="eastAsia" w:ascii="宋体" w:hAnsi="宋体" w:eastAsia="宋体"/>
          <w:sz w:val="24"/>
          <w:szCs w:val="24"/>
        </w:rPr>
        <w:t>篇文献进行分析后得到</w:t>
      </w:r>
      <w:r>
        <w:rPr>
          <w:rFonts w:ascii="宋体" w:hAnsi="宋体" w:eastAsia="宋体"/>
          <w:sz w:val="24"/>
          <w:szCs w:val="24"/>
        </w:rPr>
        <w:t>270</w:t>
      </w:r>
      <w:r>
        <w:rPr>
          <w:rFonts w:hint="eastAsia" w:ascii="宋体" w:hAnsi="宋体" w:eastAsia="宋体"/>
          <w:sz w:val="24"/>
          <w:szCs w:val="24"/>
        </w:rPr>
        <w:t>个关键词，设置出现频率大于2的词汇为核心词，对关键词进行K均值聚类分析，共获得</w:t>
      </w:r>
      <w:r>
        <w:rPr>
          <w:rFonts w:ascii="宋体" w:hAnsi="宋体" w:eastAsia="宋体"/>
          <w:sz w:val="24"/>
          <w:szCs w:val="24"/>
        </w:rPr>
        <w:t>5</w:t>
      </w:r>
      <w:r>
        <w:rPr>
          <w:rFonts w:hint="eastAsia" w:ascii="宋体" w:hAnsi="宋体" w:eastAsia="宋体"/>
          <w:sz w:val="24"/>
          <w:szCs w:val="24"/>
        </w:rPr>
        <w:t>个有意义的聚类，按照包含关键词数量的多少依次排列为“无边界学习”“无边界教育”“无边界”“幼儿园”“中学生”。</w:t>
      </w:r>
    </w:p>
    <w:p w14:paraId="201AC7AC">
      <w:pPr>
        <w:pStyle w:val="14"/>
        <w:spacing w:line="360" w:lineRule="auto"/>
        <w:ind w:firstLine="480"/>
        <w:rPr>
          <w:rFonts w:ascii="黑体" w:hAnsi="黑体" w:eastAsia="黑体" w:cs="黑体"/>
          <w:sz w:val="24"/>
          <w:szCs w:val="24"/>
        </w:rPr>
      </w:pPr>
      <w:r>
        <w:rPr>
          <w:rFonts w:hint="eastAsia" w:ascii="黑体" w:hAnsi="黑体" w:eastAsia="黑体" w:cs="黑体"/>
          <w:sz w:val="24"/>
          <w:szCs w:val="24"/>
        </w:rPr>
        <w:t>（四）我国无边界学习研究的热点</w:t>
      </w:r>
    </w:p>
    <w:p w14:paraId="3E6ACCFA">
      <w:pPr>
        <w:spacing w:line="360" w:lineRule="auto"/>
        <w:ind w:firstLine="480" w:firstLineChars="200"/>
        <w:rPr>
          <w:rFonts w:ascii="宋体" w:hAnsi="宋体" w:eastAsia="宋体"/>
          <w:sz w:val="24"/>
          <w:szCs w:val="24"/>
        </w:rPr>
      </w:pPr>
      <w:r>
        <w:rPr>
          <w:rFonts w:hint="eastAsia" w:ascii="宋体" w:hAnsi="宋体" w:eastAsia="宋体"/>
          <w:sz w:val="24"/>
          <w:szCs w:val="24"/>
        </w:rPr>
        <w:t>本研究使用Citespace软件生成关键词聚类图谱，并将聚类进行了编号，聚类编号数字越小说明聚类规模越大（图4）。近二十年我国无边界学习研究共出现了5个聚类，即聚类“#</w:t>
      </w:r>
      <w:r>
        <w:rPr>
          <w:rFonts w:ascii="宋体" w:hAnsi="宋体" w:eastAsia="宋体"/>
          <w:sz w:val="24"/>
          <w:szCs w:val="24"/>
        </w:rPr>
        <w:t>0</w:t>
      </w:r>
      <w:r>
        <w:rPr>
          <w:rFonts w:hint="eastAsia" w:ascii="宋体" w:hAnsi="宋体" w:eastAsia="宋体"/>
          <w:sz w:val="24"/>
          <w:szCs w:val="24"/>
        </w:rPr>
        <w:t>无边界学习”，聚类“#</w:t>
      </w:r>
      <w:r>
        <w:rPr>
          <w:rFonts w:ascii="宋体" w:hAnsi="宋体" w:eastAsia="宋体"/>
          <w:sz w:val="24"/>
          <w:szCs w:val="24"/>
        </w:rPr>
        <w:t>1</w:t>
      </w:r>
      <w:r>
        <w:rPr>
          <w:rFonts w:hint="eastAsia" w:ascii="宋体" w:hAnsi="宋体" w:eastAsia="宋体"/>
          <w:sz w:val="24"/>
          <w:szCs w:val="24"/>
        </w:rPr>
        <w:t>无边界教育”，聚类“#</w:t>
      </w:r>
      <w:r>
        <w:rPr>
          <w:rFonts w:ascii="宋体" w:hAnsi="宋体" w:eastAsia="宋体"/>
          <w:sz w:val="24"/>
          <w:szCs w:val="24"/>
        </w:rPr>
        <w:t>2</w:t>
      </w:r>
      <w:r>
        <w:rPr>
          <w:rFonts w:hint="eastAsia" w:ascii="宋体" w:hAnsi="宋体" w:eastAsia="宋体"/>
          <w:sz w:val="24"/>
          <w:szCs w:val="24"/>
        </w:rPr>
        <w:t>无边界”，聚类 “#</w:t>
      </w:r>
      <w:r>
        <w:rPr>
          <w:rFonts w:ascii="宋体" w:hAnsi="宋体" w:eastAsia="宋体"/>
          <w:sz w:val="24"/>
          <w:szCs w:val="24"/>
        </w:rPr>
        <w:t>3</w:t>
      </w:r>
      <w:r>
        <w:rPr>
          <w:rFonts w:hint="eastAsia" w:ascii="宋体" w:hAnsi="宋体" w:eastAsia="宋体"/>
          <w:sz w:val="24"/>
          <w:szCs w:val="24"/>
        </w:rPr>
        <w:t>中学生”，聚类“#</w:t>
      </w:r>
      <w:r>
        <w:rPr>
          <w:rFonts w:ascii="宋体" w:hAnsi="宋体" w:eastAsia="宋体"/>
          <w:sz w:val="24"/>
          <w:szCs w:val="24"/>
        </w:rPr>
        <w:t>4</w:t>
      </w:r>
      <w:r>
        <w:rPr>
          <w:rFonts w:hint="eastAsia" w:ascii="宋体" w:hAnsi="宋体" w:eastAsia="宋体"/>
          <w:sz w:val="24"/>
          <w:szCs w:val="24"/>
        </w:rPr>
        <w:t>幼儿园”。</w:t>
      </w:r>
    </w:p>
    <w:p w14:paraId="22467534">
      <w:pPr>
        <w:spacing w:line="360" w:lineRule="auto"/>
        <w:ind w:firstLine="480" w:firstLineChars="200"/>
        <w:rPr>
          <w:rFonts w:ascii="宋体" w:hAnsi="宋体" w:eastAsia="宋体"/>
          <w:sz w:val="24"/>
          <w:szCs w:val="24"/>
        </w:rPr>
      </w:pPr>
      <w:r>
        <w:rPr>
          <w:rFonts w:hint="eastAsia" w:ascii="宋体" w:hAnsi="宋体" w:eastAsia="宋体"/>
          <w:sz w:val="24"/>
          <w:szCs w:val="24"/>
        </w:rPr>
        <w:t>由图4可知，聚类“#</w:t>
      </w:r>
      <w:r>
        <w:rPr>
          <w:rFonts w:ascii="宋体" w:hAnsi="宋体" w:eastAsia="宋体"/>
          <w:sz w:val="24"/>
          <w:szCs w:val="24"/>
        </w:rPr>
        <w:t>0</w:t>
      </w:r>
      <w:r>
        <w:rPr>
          <w:rFonts w:hint="eastAsia" w:ascii="宋体" w:hAnsi="宋体" w:eastAsia="宋体"/>
          <w:sz w:val="24"/>
          <w:szCs w:val="24"/>
        </w:rPr>
        <w:t>无边界学习”为最大聚类，它从学生作为学习主体的角度出发，主要聚焦于探讨“无边界学习”的理论或运用“无边界学习”的理念进行各个学段、各类学科的教育教学研究。如郭继业（2</w:t>
      </w:r>
      <w:r>
        <w:rPr>
          <w:rFonts w:ascii="宋体" w:hAnsi="宋体" w:eastAsia="宋体"/>
          <w:sz w:val="24"/>
          <w:szCs w:val="24"/>
        </w:rPr>
        <w:t>022</w:t>
      </w:r>
      <w:r>
        <w:rPr>
          <w:rFonts w:hint="eastAsia" w:ascii="宋体" w:hAnsi="宋体" w:eastAsia="宋体"/>
          <w:sz w:val="24"/>
          <w:szCs w:val="24"/>
        </w:rPr>
        <w:t>）探讨了无边界学习的内蕴和教学策略，提出“无边界学习的实质是模糊边界、柔化边界，是学习内容、学习空间、学习计划的边界突破，有助于打破当前社会与学校、教师与学生、课程与生活、知识与经验等诸多相互对立的二元结构。”教师应多元化学生的素养追求、选择知识和生活相结合的教学方式、组织多元环境条件下的学习活动、多维度扩展可利用的课程资源方向、使学习评价增加意义向度要求，为学生的无边界学习创造条件，实现实践导向</w:t>
      </w:r>
      <w:r>
        <w:rPr>
          <w:rStyle w:val="10"/>
          <w:rFonts w:ascii="宋体" w:hAnsi="宋体" w:eastAsia="宋体"/>
          <w:sz w:val="24"/>
          <w:szCs w:val="24"/>
        </w:rPr>
        <w:t>[</w:t>
      </w:r>
      <w:r>
        <w:rPr>
          <w:rStyle w:val="10"/>
          <w:rFonts w:ascii="宋体" w:hAnsi="宋体" w:eastAsia="宋体"/>
          <w:sz w:val="24"/>
          <w:szCs w:val="24"/>
        </w:rPr>
        <w:footnoteReference w:id="5"/>
      </w:r>
      <w:r>
        <w:rPr>
          <w:rStyle w:val="10"/>
          <w:rFonts w:ascii="宋体" w:hAnsi="宋体" w:eastAsia="宋体"/>
          <w:sz w:val="24"/>
          <w:szCs w:val="24"/>
        </w:rPr>
        <w:t>]</w:t>
      </w:r>
      <w:r>
        <w:rPr>
          <w:rFonts w:hint="eastAsia" w:ascii="宋体" w:hAnsi="宋体" w:eastAsia="宋体"/>
          <w:sz w:val="24"/>
          <w:szCs w:val="24"/>
        </w:rPr>
        <w:t>。</w:t>
      </w:r>
    </w:p>
    <w:p w14:paraId="040B1254">
      <w:pPr>
        <w:spacing w:line="360" w:lineRule="auto"/>
        <w:ind w:firstLine="480" w:firstLineChars="200"/>
        <w:rPr>
          <w:rFonts w:ascii="宋体" w:hAnsi="宋体" w:eastAsia="宋体"/>
          <w:sz w:val="24"/>
          <w:szCs w:val="24"/>
        </w:rPr>
      </w:pPr>
      <w:r>
        <w:rPr>
          <w:rFonts w:hint="eastAsia" w:ascii="宋体" w:hAnsi="宋体" w:eastAsia="宋体"/>
          <w:sz w:val="24"/>
          <w:szCs w:val="24"/>
        </w:rPr>
        <w:t>聚类“#</w:t>
      </w:r>
      <w:r>
        <w:rPr>
          <w:rFonts w:ascii="宋体" w:hAnsi="宋体" w:eastAsia="宋体"/>
          <w:sz w:val="24"/>
          <w:szCs w:val="24"/>
        </w:rPr>
        <w:t>1</w:t>
      </w:r>
      <w:r>
        <w:rPr>
          <w:rFonts w:hint="eastAsia" w:ascii="宋体" w:hAnsi="宋体" w:eastAsia="宋体"/>
          <w:sz w:val="24"/>
          <w:szCs w:val="24"/>
        </w:rPr>
        <w:t>无边界教育”它从教育实践的角度出发，以较为宏观的视野，探讨教育的新形式、新特征，展望未来教育的新面貌。如鲁志昌（2</w:t>
      </w:r>
      <w:r>
        <w:rPr>
          <w:rFonts w:ascii="宋体" w:hAnsi="宋体" w:eastAsia="宋体"/>
          <w:sz w:val="24"/>
          <w:szCs w:val="24"/>
        </w:rPr>
        <w:t>019</w:t>
      </w:r>
      <w:r>
        <w:rPr>
          <w:rFonts w:hint="eastAsia" w:ascii="宋体" w:hAnsi="宋体" w:eastAsia="宋体"/>
          <w:sz w:val="24"/>
          <w:szCs w:val="24"/>
        </w:rPr>
        <w:t>）以湖北省十堰市东方伊顿学校为例介绍了无边界教育概念的产生和嬗变，提出“无边界教育”是对教育本质的回归，阐明了无边界的学校教育需要实现“三个突破”——突破校园边界、突破课程边界、突破心灵边界，让孩子成为最美的自己，让师生过一种幸福完整的教育生活</w:t>
      </w:r>
      <w:r>
        <w:rPr>
          <w:rStyle w:val="10"/>
          <w:rFonts w:ascii="宋体" w:hAnsi="宋体" w:eastAsia="宋体"/>
          <w:sz w:val="24"/>
          <w:szCs w:val="24"/>
        </w:rPr>
        <w:t>[</w:t>
      </w:r>
      <w:r>
        <w:rPr>
          <w:rStyle w:val="10"/>
          <w:rFonts w:ascii="宋体" w:hAnsi="宋体" w:eastAsia="宋体"/>
          <w:sz w:val="24"/>
          <w:szCs w:val="24"/>
        </w:rPr>
        <w:footnoteReference w:id="6"/>
      </w:r>
      <w:r>
        <w:rPr>
          <w:rStyle w:val="10"/>
          <w:rFonts w:ascii="宋体" w:hAnsi="宋体" w:eastAsia="宋体"/>
          <w:sz w:val="24"/>
          <w:szCs w:val="24"/>
        </w:rPr>
        <w:t>]</w:t>
      </w:r>
      <w:r>
        <w:rPr>
          <w:rFonts w:hint="eastAsia" w:ascii="宋体" w:hAnsi="宋体" w:eastAsia="宋体"/>
          <w:sz w:val="24"/>
          <w:szCs w:val="24"/>
        </w:rPr>
        <w:t>。</w:t>
      </w:r>
    </w:p>
    <w:p w14:paraId="37CACA1A">
      <w:pPr>
        <w:spacing w:line="360" w:lineRule="auto"/>
        <w:ind w:firstLine="480" w:firstLineChars="200"/>
        <w:rPr>
          <w:rFonts w:ascii="宋体" w:hAnsi="宋体" w:eastAsia="宋体"/>
          <w:sz w:val="24"/>
          <w:szCs w:val="24"/>
        </w:rPr>
      </w:pPr>
      <w:r>
        <w:rPr>
          <w:rFonts w:hint="eastAsia" w:ascii="宋体" w:hAnsi="宋体" w:eastAsia="宋体"/>
          <w:sz w:val="24"/>
          <w:szCs w:val="24"/>
        </w:rPr>
        <w:t>聚类“#</w:t>
      </w:r>
      <w:r>
        <w:rPr>
          <w:rFonts w:ascii="宋体" w:hAnsi="宋体" w:eastAsia="宋体"/>
          <w:sz w:val="24"/>
          <w:szCs w:val="24"/>
        </w:rPr>
        <w:t>2</w:t>
      </w:r>
      <w:r>
        <w:rPr>
          <w:rFonts w:hint="eastAsia" w:ascii="宋体" w:hAnsi="宋体" w:eastAsia="宋体"/>
          <w:sz w:val="24"/>
          <w:szCs w:val="24"/>
        </w:rPr>
        <w:t>无边界”则将教育与学习融合，主要聚焦于各学段无边界理念的实践研究或案例分析。如郭志滨等（2</w:t>
      </w:r>
      <w:r>
        <w:rPr>
          <w:rFonts w:ascii="宋体" w:hAnsi="宋体" w:eastAsia="宋体"/>
          <w:sz w:val="24"/>
          <w:szCs w:val="24"/>
        </w:rPr>
        <w:t>019</w:t>
      </w:r>
      <w:r>
        <w:rPr>
          <w:rFonts w:hint="eastAsia" w:ascii="宋体" w:hAnsi="宋体" w:eastAsia="宋体"/>
          <w:sz w:val="24"/>
          <w:szCs w:val="24"/>
        </w:rPr>
        <w:t>）介绍了北京市史家小学与国家博物院合作、基于博物馆资源的无边界课程——《中华优秀传统文化·博悟课程》的课程体系及实施路径体系</w:t>
      </w:r>
      <w:r>
        <w:rPr>
          <w:rStyle w:val="10"/>
          <w:rFonts w:ascii="宋体" w:hAnsi="宋体" w:eastAsia="宋体"/>
          <w:sz w:val="24"/>
          <w:szCs w:val="24"/>
        </w:rPr>
        <w:t>[</w:t>
      </w:r>
      <w:r>
        <w:rPr>
          <w:rStyle w:val="10"/>
          <w:rFonts w:ascii="宋体" w:hAnsi="宋体" w:eastAsia="宋体"/>
          <w:sz w:val="24"/>
          <w:szCs w:val="24"/>
        </w:rPr>
        <w:footnoteReference w:id="7"/>
      </w:r>
      <w:r>
        <w:rPr>
          <w:rStyle w:val="10"/>
          <w:rFonts w:ascii="宋体" w:hAnsi="宋体" w:eastAsia="宋体"/>
          <w:sz w:val="24"/>
          <w:szCs w:val="24"/>
        </w:rPr>
        <w:t>]</w:t>
      </w:r>
      <w:r>
        <w:rPr>
          <w:rFonts w:hint="eastAsia" w:ascii="宋体" w:hAnsi="宋体" w:eastAsia="宋体"/>
          <w:sz w:val="24"/>
          <w:szCs w:val="24"/>
        </w:rPr>
        <w:t>，“博悟课程”以博物馆资源为依托，打破了学科的边界、知识与生活的边界，通过博悟、思维、对话、表达、笃行五个环节实现学生“学、思、知、行”核心素养的培养。</w:t>
      </w:r>
    </w:p>
    <w:p w14:paraId="79B81A03">
      <w:pPr>
        <w:spacing w:line="360" w:lineRule="auto"/>
        <w:ind w:firstLine="480" w:firstLineChars="200"/>
        <w:rPr>
          <w:rFonts w:ascii="宋体" w:hAnsi="宋体" w:eastAsia="宋体"/>
          <w:sz w:val="24"/>
          <w:szCs w:val="24"/>
        </w:rPr>
      </w:pPr>
      <w:r>
        <w:rPr>
          <w:rFonts w:hint="eastAsia" w:ascii="宋体" w:hAnsi="宋体" w:eastAsia="宋体"/>
          <w:sz w:val="24"/>
          <w:szCs w:val="24"/>
        </w:rPr>
        <w:t>聚类 “#</w:t>
      </w:r>
      <w:r>
        <w:rPr>
          <w:rFonts w:ascii="宋体" w:hAnsi="宋体" w:eastAsia="宋体"/>
          <w:sz w:val="24"/>
          <w:szCs w:val="24"/>
        </w:rPr>
        <w:t>3</w:t>
      </w:r>
      <w:r>
        <w:rPr>
          <w:rFonts w:hint="eastAsia" w:ascii="宋体" w:hAnsi="宋体" w:eastAsia="宋体"/>
          <w:sz w:val="24"/>
          <w:szCs w:val="24"/>
        </w:rPr>
        <w:t>中学生”是二十年间无边界学习研究的主要对象之一，主要聚焦于通过无边界学习提升中学生能力和品质的研究。如严金淑（</w:t>
      </w:r>
      <w:r>
        <w:rPr>
          <w:rFonts w:ascii="宋体" w:hAnsi="宋体" w:eastAsia="宋体"/>
          <w:sz w:val="24"/>
          <w:szCs w:val="24"/>
        </w:rPr>
        <w:t>2014</w:t>
      </w:r>
      <w:r>
        <w:rPr>
          <w:rFonts w:hint="eastAsia" w:ascii="宋体" w:hAnsi="宋体" w:eastAsia="宋体"/>
          <w:sz w:val="24"/>
          <w:szCs w:val="24"/>
        </w:rPr>
        <w:t>）开展了依托大学资源对中学生进行人文素养培养的路径探寻，通过完善教育理念、丰富教育内容、营造教育氛围等方式，鼓励中学生走进大学校园，体会大学生活，感受大学氛围，学习大学精神，</w:t>
      </w:r>
      <w:r>
        <w:rPr>
          <w:rStyle w:val="10"/>
          <w:rFonts w:ascii="宋体" w:hAnsi="宋体" w:eastAsia="宋体"/>
          <w:sz w:val="24"/>
          <w:szCs w:val="24"/>
        </w:rPr>
        <w:t>[</w:t>
      </w:r>
      <w:r>
        <w:rPr>
          <w:rStyle w:val="10"/>
          <w:rFonts w:ascii="宋体" w:hAnsi="宋体" w:eastAsia="宋体"/>
          <w:sz w:val="24"/>
          <w:szCs w:val="24"/>
        </w:rPr>
        <w:footnoteReference w:id="8"/>
      </w:r>
      <w:r>
        <w:rPr>
          <w:rStyle w:val="10"/>
          <w:rFonts w:ascii="宋体" w:hAnsi="宋体" w:eastAsia="宋体"/>
          <w:sz w:val="24"/>
          <w:szCs w:val="24"/>
        </w:rPr>
        <w:t>]</w:t>
      </w:r>
      <w:r>
        <w:rPr>
          <w:rFonts w:hint="eastAsia" w:ascii="宋体" w:hAnsi="宋体" w:eastAsia="宋体"/>
          <w:sz w:val="24"/>
          <w:szCs w:val="24"/>
        </w:rPr>
        <w:t>。</w:t>
      </w:r>
    </w:p>
    <w:p w14:paraId="26CAEBBD">
      <w:pPr>
        <w:spacing w:line="360" w:lineRule="auto"/>
        <w:ind w:firstLine="480" w:firstLineChars="200"/>
        <w:rPr>
          <w:rFonts w:ascii="宋体" w:hAnsi="宋体" w:eastAsia="宋体"/>
          <w:sz w:val="24"/>
          <w:szCs w:val="24"/>
        </w:rPr>
      </w:pPr>
      <w:r>
        <w:rPr>
          <w:rFonts w:hint="eastAsia" w:ascii="宋体" w:hAnsi="宋体" w:eastAsia="宋体"/>
          <w:sz w:val="24"/>
          <w:szCs w:val="24"/>
        </w:rPr>
        <w:t>聚类“#</w:t>
      </w:r>
      <w:r>
        <w:rPr>
          <w:rFonts w:ascii="宋体" w:hAnsi="宋体" w:eastAsia="宋体"/>
          <w:sz w:val="24"/>
          <w:szCs w:val="24"/>
        </w:rPr>
        <w:t>4</w:t>
      </w:r>
      <w:r>
        <w:rPr>
          <w:rFonts w:hint="eastAsia" w:ascii="宋体" w:hAnsi="宋体" w:eastAsia="宋体"/>
          <w:sz w:val="24"/>
          <w:szCs w:val="24"/>
        </w:rPr>
        <w:t>幼儿园”是近年来无边界学习研究的新阵地，主要聚焦于幼儿园无边界学习理念的实践研究。如朱卫华（2</w:t>
      </w:r>
      <w:r>
        <w:rPr>
          <w:rFonts w:ascii="宋体" w:hAnsi="宋体" w:eastAsia="宋体"/>
          <w:sz w:val="24"/>
          <w:szCs w:val="24"/>
        </w:rPr>
        <w:t>023</w:t>
      </w:r>
      <w:r>
        <w:rPr>
          <w:rFonts w:hint="eastAsia" w:ascii="宋体" w:hAnsi="宋体" w:eastAsia="宋体"/>
          <w:sz w:val="24"/>
          <w:szCs w:val="24"/>
        </w:rPr>
        <w:t>）对幼儿园无边界学习课程建设进行了思考，提出无边界课程的基础是提供适宜材料、分类摆放、及时投放；无边界课程的通道是改变园内空间，还幼儿以使用权，增加灵活性和互动性；无边界课程的的保障是家园合作，以理念促改变，以行动促发展</w:t>
      </w:r>
      <w:r>
        <w:rPr>
          <w:rStyle w:val="10"/>
          <w:rFonts w:ascii="宋体" w:hAnsi="宋体" w:eastAsia="宋体"/>
          <w:sz w:val="24"/>
          <w:szCs w:val="24"/>
        </w:rPr>
        <w:t>[</w:t>
      </w:r>
      <w:r>
        <w:rPr>
          <w:rStyle w:val="10"/>
          <w:rFonts w:ascii="宋体" w:hAnsi="宋体" w:eastAsia="宋体"/>
          <w:sz w:val="24"/>
          <w:szCs w:val="24"/>
        </w:rPr>
        <w:footnoteReference w:id="9"/>
      </w:r>
      <w:r>
        <w:rPr>
          <w:rStyle w:val="10"/>
          <w:rFonts w:ascii="宋体" w:hAnsi="宋体" w:eastAsia="宋体"/>
          <w:sz w:val="24"/>
          <w:szCs w:val="24"/>
        </w:rPr>
        <w:t>]</w:t>
      </w:r>
      <w:r>
        <w:rPr>
          <w:rFonts w:hint="eastAsia" w:ascii="宋体" w:hAnsi="宋体" w:eastAsia="宋体"/>
          <w:sz w:val="24"/>
          <w:szCs w:val="24"/>
        </w:rPr>
        <w:t>。</w:t>
      </w:r>
    </w:p>
    <w:p w14:paraId="51C274DF">
      <w:pPr>
        <w:spacing w:line="360" w:lineRule="auto"/>
        <w:ind w:firstLine="480" w:firstLineChars="200"/>
        <w:jc w:val="center"/>
        <w:rPr>
          <w:rFonts w:ascii="宋体" w:hAnsi="宋体" w:eastAsia="宋体"/>
          <w:sz w:val="24"/>
          <w:szCs w:val="24"/>
        </w:rPr>
      </w:pPr>
      <w:r>
        <w:rPr>
          <w:rFonts w:ascii="宋体" w:hAnsi="宋体" w:eastAsia="宋体"/>
          <w:sz w:val="24"/>
          <w:szCs w:val="24"/>
        </w:rPr>
        <w:drawing>
          <wp:inline distT="0" distB="0" distL="0" distR="0">
            <wp:extent cx="4883150" cy="2722245"/>
            <wp:effectExtent l="0" t="0" r="635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87733" cy="2725149"/>
                    </a:xfrm>
                    <a:prstGeom prst="rect">
                      <a:avLst/>
                    </a:prstGeom>
                  </pic:spPr>
                </pic:pic>
              </a:graphicData>
            </a:graphic>
          </wp:inline>
        </w:drawing>
      </w:r>
    </w:p>
    <w:p w14:paraId="2C0A663B">
      <w:pPr>
        <w:spacing w:line="360" w:lineRule="auto"/>
        <w:jc w:val="center"/>
        <w:rPr>
          <w:rFonts w:ascii="仿宋" w:hAnsi="仿宋" w:eastAsia="仿宋"/>
          <w:b/>
          <w:bCs/>
          <w:szCs w:val="21"/>
        </w:rPr>
      </w:pPr>
      <w:r>
        <w:rPr>
          <w:rFonts w:hint="eastAsia" w:ascii="仿宋" w:hAnsi="仿宋" w:eastAsia="仿宋"/>
          <w:b/>
          <w:bCs/>
          <w:szCs w:val="21"/>
        </w:rPr>
        <w:t>图</w:t>
      </w:r>
      <w:r>
        <w:rPr>
          <w:rFonts w:ascii="仿宋" w:hAnsi="仿宋" w:eastAsia="仿宋"/>
          <w:b/>
          <w:bCs/>
          <w:szCs w:val="21"/>
        </w:rPr>
        <w:t xml:space="preserve">3 </w:t>
      </w:r>
      <w:r>
        <w:rPr>
          <w:rFonts w:hint="eastAsia" w:ascii="仿宋" w:hAnsi="仿宋" w:eastAsia="仿宋"/>
          <w:b/>
          <w:bCs/>
          <w:szCs w:val="21"/>
        </w:rPr>
        <w:t>关键词共现网络图谱</w:t>
      </w:r>
    </w:p>
    <w:p w14:paraId="2600A965">
      <w:pPr>
        <w:spacing w:line="360" w:lineRule="auto"/>
        <w:ind w:firstLine="422" w:firstLineChars="200"/>
        <w:jc w:val="center"/>
        <w:rPr>
          <w:rFonts w:ascii="仿宋" w:hAnsi="仿宋" w:eastAsia="仿宋"/>
          <w:b/>
          <w:bCs/>
          <w:szCs w:val="21"/>
        </w:rPr>
      </w:pPr>
      <w:r>
        <w:rPr>
          <w:rFonts w:ascii="仿宋" w:hAnsi="仿宋" w:eastAsia="仿宋"/>
          <w:b/>
          <w:bCs/>
          <w:szCs w:val="21"/>
        </w:rPr>
        <w:drawing>
          <wp:inline distT="0" distB="0" distL="0" distR="0">
            <wp:extent cx="5274310" cy="2940685"/>
            <wp:effectExtent l="0" t="0" r="889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940685"/>
                    </a:xfrm>
                    <a:prstGeom prst="rect">
                      <a:avLst/>
                    </a:prstGeom>
                  </pic:spPr>
                </pic:pic>
              </a:graphicData>
            </a:graphic>
          </wp:inline>
        </w:drawing>
      </w:r>
    </w:p>
    <w:p w14:paraId="026F57DE">
      <w:pPr>
        <w:spacing w:line="360" w:lineRule="auto"/>
        <w:jc w:val="center"/>
        <w:rPr>
          <w:rFonts w:ascii="仿宋" w:hAnsi="仿宋" w:eastAsia="仿宋" w:cs="仿宋"/>
          <w:b/>
          <w:bCs/>
          <w:szCs w:val="21"/>
        </w:rPr>
      </w:pPr>
      <w:r>
        <w:rPr>
          <w:rFonts w:hint="eastAsia" w:ascii="仿宋" w:hAnsi="仿宋" w:eastAsia="仿宋" w:cs="仿宋"/>
          <w:b/>
          <w:bCs/>
          <w:szCs w:val="21"/>
        </w:rPr>
        <w:t>图4 关键词聚类网络图谱</w:t>
      </w:r>
    </w:p>
    <w:p w14:paraId="048AA0C4">
      <w:pPr>
        <w:spacing w:line="360" w:lineRule="auto"/>
        <w:jc w:val="center"/>
        <w:rPr>
          <w:rFonts w:ascii="仿宋" w:hAnsi="仿宋" w:eastAsia="仿宋" w:cs="仿宋"/>
          <w:b/>
          <w:bCs/>
          <w:szCs w:val="21"/>
        </w:rPr>
      </w:pPr>
      <w:r>
        <w:rPr>
          <w:rFonts w:hint="eastAsia" w:ascii="仿宋" w:hAnsi="仿宋" w:eastAsia="仿宋" w:cs="仿宋"/>
          <w:b/>
          <w:bCs/>
          <w:szCs w:val="21"/>
        </w:rPr>
        <w:t>表3 关键词统计</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3"/>
        <w:gridCol w:w="1418"/>
        <w:gridCol w:w="1719"/>
      </w:tblGrid>
      <w:tr w14:paraId="71A884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Borders>
              <w:top w:val="single" w:color="auto" w:sz="4" w:space="0"/>
              <w:bottom w:val="single" w:color="auto" w:sz="4" w:space="0"/>
            </w:tcBorders>
            <w:vAlign w:val="center"/>
          </w:tcPr>
          <w:p w14:paraId="55462CC3">
            <w:pPr>
              <w:spacing w:line="360" w:lineRule="auto"/>
              <w:jc w:val="center"/>
              <w:rPr>
                <w:rFonts w:ascii="仿宋" w:hAnsi="仿宋" w:eastAsia="仿宋" w:cs="仿宋"/>
                <w:b/>
                <w:bCs/>
                <w:kern w:val="0"/>
                <w:sz w:val="18"/>
                <w:szCs w:val="18"/>
              </w:rPr>
            </w:pPr>
            <w:bookmarkStart w:id="1" w:name="_Hlk131629248"/>
            <w:r>
              <w:rPr>
                <w:rFonts w:hint="eastAsia" w:ascii="仿宋" w:hAnsi="仿宋" w:eastAsia="仿宋" w:cs="仿宋"/>
                <w:b/>
                <w:bCs/>
                <w:kern w:val="0"/>
                <w:sz w:val="18"/>
                <w:szCs w:val="18"/>
              </w:rPr>
              <w:t>关键词</w:t>
            </w:r>
          </w:p>
        </w:tc>
        <w:tc>
          <w:tcPr>
            <w:tcW w:w="1418" w:type="dxa"/>
            <w:tcBorders>
              <w:top w:val="single" w:color="auto" w:sz="4" w:space="0"/>
              <w:bottom w:val="single" w:color="auto" w:sz="4" w:space="0"/>
            </w:tcBorders>
            <w:vAlign w:val="center"/>
          </w:tcPr>
          <w:p w14:paraId="00301019">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频次</w:t>
            </w:r>
          </w:p>
        </w:tc>
        <w:tc>
          <w:tcPr>
            <w:tcW w:w="1719" w:type="dxa"/>
            <w:tcBorders>
              <w:top w:val="single" w:color="auto" w:sz="4" w:space="0"/>
              <w:bottom w:val="single" w:color="auto" w:sz="4" w:space="0"/>
            </w:tcBorders>
            <w:vAlign w:val="center"/>
          </w:tcPr>
          <w:p w14:paraId="4EE63C6A">
            <w:pPr>
              <w:spacing w:line="360" w:lineRule="auto"/>
              <w:jc w:val="center"/>
              <w:rPr>
                <w:rFonts w:ascii="仿宋" w:hAnsi="仿宋" w:eastAsia="仿宋" w:cs="仿宋"/>
                <w:b/>
                <w:bCs/>
                <w:kern w:val="0"/>
                <w:sz w:val="18"/>
                <w:szCs w:val="18"/>
              </w:rPr>
            </w:pPr>
            <w:r>
              <w:rPr>
                <w:rFonts w:hint="eastAsia" w:ascii="仿宋" w:hAnsi="仿宋" w:eastAsia="仿宋" w:cs="仿宋"/>
                <w:b/>
                <w:bCs/>
                <w:kern w:val="0"/>
                <w:sz w:val="18"/>
                <w:szCs w:val="18"/>
              </w:rPr>
              <w:t>中介中心性</w:t>
            </w:r>
          </w:p>
        </w:tc>
      </w:tr>
      <w:tr w14:paraId="445BB9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Borders>
              <w:top w:val="single" w:color="auto" w:sz="4" w:space="0"/>
            </w:tcBorders>
          </w:tcPr>
          <w:p w14:paraId="68E58580">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无边界学习</w:t>
            </w:r>
          </w:p>
        </w:tc>
        <w:tc>
          <w:tcPr>
            <w:tcW w:w="1418" w:type="dxa"/>
            <w:tcBorders>
              <w:top w:val="single" w:color="auto" w:sz="4" w:space="0"/>
            </w:tcBorders>
          </w:tcPr>
          <w:p w14:paraId="483F7703">
            <w:pPr>
              <w:spacing w:line="360" w:lineRule="auto"/>
              <w:jc w:val="center"/>
              <w:rPr>
                <w:rFonts w:ascii="仿宋" w:hAnsi="仿宋" w:eastAsia="仿宋" w:cs="仿宋"/>
                <w:kern w:val="0"/>
                <w:sz w:val="18"/>
                <w:szCs w:val="18"/>
              </w:rPr>
            </w:pPr>
            <w:r>
              <w:rPr>
                <w:rFonts w:ascii="仿宋" w:hAnsi="仿宋" w:eastAsia="仿宋"/>
                <w:kern w:val="0"/>
                <w:sz w:val="20"/>
                <w:szCs w:val="20"/>
              </w:rPr>
              <w:t>83</w:t>
            </w:r>
          </w:p>
        </w:tc>
        <w:tc>
          <w:tcPr>
            <w:tcW w:w="1719" w:type="dxa"/>
            <w:tcBorders>
              <w:top w:val="single" w:color="auto" w:sz="4" w:space="0"/>
            </w:tcBorders>
          </w:tcPr>
          <w:p w14:paraId="45C57D10">
            <w:pPr>
              <w:spacing w:line="360" w:lineRule="auto"/>
              <w:jc w:val="center"/>
              <w:rPr>
                <w:rFonts w:ascii="仿宋" w:hAnsi="仿宋" w:eastAsia="仿宋" w:cs="仿宋"/>
                <w:kern w:val="0"/>
                <w:sz w:val="18"/>
                <w:szCs w:val="18"/>
              </w:rPr>
            </w:pPr>
            <w:r>
              <w:rPr>
                <w:rFonts w:ascii="仿宋" w:hAnsi="仿宋" w:eastAsia="仿宋"/>
                <w:kern w:val="0"/>
                <w:sz w:val="20"/>
                <w:szCs w:val="20"/>
              </w:rPr>
              <w:t>1.2</w:t>
            </w:r>
          </w:p>
        </w:tc>
      </w:tr>
      <w:tr w14:paraId="54E5AE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0DF70299">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无边界</w:t>
            </w:r>
          </w:p>
        </w:tc>
        <w:tc>
          <w:tcPr>
            <w:tcW w:w="1418" w:type="dxa"/>
          </w:tcPr>
          <w:p w14:paraId="582B65D9">
            <w:pPr>
              <w:spacing w:line="360" w:lineRule="auto"/>
              <w:jc w:val="center"/>
              <w:rPr>
                <w:rFonts w:ascii="仿宋" w:hAnsi="仿宋" w:eastAsia="仿宋" w:cs="仿宋"/>
                <w:kern w:val="0"/>
                <w:sz w:val="18"/>
                <w:szCs w:val="18"/>
              </w:rPr>
            </w:pPr>
            <w:r>
              <w:rPr>
                <w:rFonts w:ascii="仿宋" w:hAnsi="仿宋" w:eastAsia="仿宋"/>
                <w:kern w:val="0"/>
                <w:sz w:val="20"/>
                <w:szCs w:val="20"/>
              </w:rPr>
              <w:t>19</w:t>
            </w:r>
          </w:p>
        </w:tc>
        <w:tc>
          <w:tcPr>
            <w:tcW w:w="1719" w:type="dxa"/>
          </w:tcPr>
          <w:p w14:paraId="13EF0D80">
            <w:pPr>
              <w:spacing w:line="360" w:lineRule="auto"/>
              <w:jc w:val="center"/>
              <w:rPr>
                <w:rFonts w:ascii="仿宋" w:hAnsi="仿宋" w:eastAsia="仿宋" w:cs="仿宋"/>
                <w:kern w:val="0"/>
                <w:sz w:val="18"/>
                <w:szCs w:val="18"/>
              </w:rPr>
            </w:pPr>
            <w:r>
              <w:rPr>
                <w:rFonts w:ascii="仿宋" w:hAnsi="仿宋" w:eastAsia="仿宋"/>
                <w:kern w:val="0"/>
                <w:sz w:val="20"/>
                <w:szCs w:val="20"/>
              </w:rPr>
              <w:t>0.5</w:t>
            </w:r>
          </w:p>
        </w:tc>
      </w:tr>
      <w:tr w14:paraId="008232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0A73D818">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无边界教育</w:t>
            </w:r>
          </w:p>
        </w:tc>
        <w:tc>
          <w:tcPr>
            <w:tcW w:w="1418" w:type="dxa"/>
          </w:tcPr>
          <w:p w14:paraId="1935D415">
            <w:pPr>
              <w:spacing w:line="360" w:lineRule="auto"/>
              <w:jc w:val="center"/>
              <w:rPr>
                <w:rFonts w:ascii="仿宋" w:hAnsi="仿宋" w:eastAsia="仿宋" w:cs="仿宋"/>
                <w:kern w:val="0"/>
                <w:sz w:val="18"/>
                <w:szCs w:val="18"/>
              </w:rPr>
            </w:pPr>
            <w:r>
              <w:rPr>
                <w:rFonts w:ascii="仿宋" w:hAnsi="仿宋" w:eastAsia="仿宋"/>
                <w:kern w:val="0"/>
                <w:sz w:val="20"/>
                <w:szCs w:val="20"/>
              </w:rPr>
              <w:t>18</w:t>
            </w:r>
          </w:p>
        </w:tc>
        <w:tc>
          <w:tcPr>
            <w:tcW w:w="1719" w:type="dxa"/>
          </w:tcPr>
          <w:p w14:paraId="4115E86B">
            <w:pPr>
              <w:spacing w:line="360" w:lineRule="auto"/>
              <w:jc w:val="center"/>
              <w:rPr>
                <w:rFonts w:ascii="仿宋" w:hAnsi="仿宋" w:eastAsia="仿宋" w:cs="仿宋"/>
                <w:kern w:val="0"/>
                <w:sz w:val="18"/>
                <w:szCs w:val="18"/>
              </w:rPr>
            </w:pPr>
            <w:r>
              <w:rPr>
                <w:rFonts w:ascii="仿宋" w:hAnsi="仿宋" w:eastAsia="仿宋"/>
                <w:kern w:val="0"/>
                <w:sz w:val="20"/>
                <w:szCs w:val="20"/>
              </w:rPr>
              <w:t>0.32</w:t>
            </w:r>
          </w:p>
        </w:tc>
      </w:tr>
      <w:tr w14:paraId="065E2E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1DE98B91">
            <w:pPr>
              <w:spacing w:line="360" w:lineRule="auto"/>
              <w:jc w:val="center"/>
              <w:rPr>
                <w:rFonts w:ascii="仿宋" w:hAnsi="仿宋" w:eastAsia="仿宋" w:cs="仿宋"/>
                <w:kern w:val="0"/>
                <w:sz w:val="18"/>
                <w:szCs w:val="18"/>
              </w:rPr>
            </w:pPr>
            <w:r>
              <w:rPr>
                <w:rFonts w:hint="eastAsia" w:ascii="仿宋" w:hAnsi="仿宋" w:eastAsia="仿宋"/>
                <w:kern w:val="0"/>
                <w:sz w:val="20"/>
                <w:szCs w:val="20"/>
              </w:rPr>
              <w:t>幼儿园</w:t>
            </w:r>
          </w:p>
        </w:tc>
        <w:tc>
          <w:tcPr>
            <w:tcW w:w="1418" w:type="dxa"/>
          </w:tcPr>
          <w:p w14:paraId="239BF3C0">
            <w:pPr>
              <w:spacing w:line="360" w:lineRule="auto"/>
              <w:jc w:val="center"/>
              <w:rPr>
                <w:rFonts w:ascii="仿宋" w:hAnsi="仿宋" w:eastAsia="仿宋" w:cs="仿宋"/>
                <w:kern w:val="0"/>
                <w:sz w:val="18"/>
                <w:szCs w:val="18"/>
              </w:rPr>
            </w:pPr>
            <w:r>
              <w:rPr>
                <w:rFonts w:ascii="仿宋" w:hAnsi="仿宋" w:eastAsia="仿宋"/>
                <w:kern w:val="0"/>
                <w:sz w:val="20"/>
                <w:szCs w:val="20"/>
              </w:rPr>
              <w:t>6</w:t>
            </w:r>
          </w:p>
        </w:tc>
        <w:tc>
          <w:tcPr>
            <w:tcW w:w="1719" w:type="dxa"/>
          </w:tcPr>
          <w:p w14:paraId="30E2C2F6">
            <w:pPr>
              <w:spacing w:line="360" w:lineRule="auto"/>
              <w:jc w:val="center"/>
              <w:rPr>
                <w:rFonts w:ascii="仿宋" w:hAnsi="仿宋" w:eastAsia="仿宋" w:cs="仿宋"/>
                <w:kern w:val="0"/>
                <w:sz w:val="18"/>
                <w:szCs w:val="18"/>
              </w:rPr>
            </w:pPr>
            <w:r>
              <w:rPr>
                <w:rFonts w:ascii="仿宋" w:hAnsi="仿宋" w:eastAsia="仿宋"/>
                <w:kern w:val="0"/>
                <w:sz w:val="20"/>
                <w:szCs w:val="20"/>
              </w:rPr>
              <w:t>0.05</w:t>
            </w:r>
          </w:p>
        </w:tc>
      </w:tr>
      <w:tr w14:paraId="58747C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6618656C">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未来学校</w:t>
            </w:r>
          </w:p>
        </w:tc>
        <w:tc>
          <w:tcPr>
            <w:tcW w:w="1418" w:type="dxa"/>
          </w:tcPr>
          <w:p w14:paraId="50F7BC22">
            <w:pPr>
              <w:spacing w:line="360" w:lineRule="auto"/>
              <w:jc w:val="center"/>
              <w:rPr>
                <w:rFonts w:ascii="仿宋" w:hAnsi="仿宋" w:eastAsia="仿宋" w:cs="仿宋"/>
                <w:kern w:val="0"/>
                <w:sz w:val="18"/>
                <w:szCs w:val="18"/>
              </w:rPr>
            </w:pPr>
            <w:r>
              <w:rPr>
                <w:rFonts w:ascii="仿宋" w:hAnsi="仿宋" w:eastAsia="仿宋"/>
                <w:kern w:val="0"/>
                <w:sz w:val="20"/>
                <w:szCs w:val="20"/>
              </w:rPr>
              <w:t>6</w:t>
            </w:r>
          </w:p>
        </w:tc>
        <w:tc>
          <w:tcPr>
            <w:tcW w:w="1719" w:type="dxa"/>
          </w:tcPr>
          <w:p w14:paraId="4AF9490E">
            <w:pPr>
              <w:spacing w:line="360" w:lineRule="auto"/>
              <w:jc w:val="center"/>
              <w:rPr>
                <w:rFonts w:ascii="仿宋" w:hAnsi="仿宋" w:eastAsia="仿宋" w:cs="仿宋"/>
                <w:kern w:val="0"/>
                <w:sz w:val="18"/>
                <w:szCs w:val="18"/>
              </w:rPr>
            </w:pPr>
            <w:r>
              <w:rPr>
                <w:rFonts w:ascii="仿宋" w:hAnsi="仿宋" w:eastAsia="仿宋"/>
                <w:kern w:val="0"/>
                <w:sz w:val="20"/>
                <w:szCs w:val="20"/>
              </w:rPr>
              <w:t>0.04</w:t>
            </w:r>
          </w:p>
        </w:tc>
      </w:tr>
      <w:tr w14:paraId="080069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07E1887F">
            <w:pPr>
              <w:spacing w:line="360" w:lineRule="auto"/>
              <w:jc w:val="center"/>
              <w:rPr>
                <w:rFonts w:ascii="仿宋" w:hAnsi="仿宋" w:eastAsia="仿宋" w:cs="仿宋"/>
                <w:kern w:val="0"/>
                <w:sz w:val="18"/>
                <w:szCs w:val="18"/>
              </w:rPr>
            </w:pPr>
            <w:r>
              <w:rPr>
                <w:rFonts w:hint="eastAsia" w:ascii="仿宋" w:hAnsi="仿宋" w:eastAsia="仿宋"/>
                <w:kern w:val="0"/>
                <w:sz w:val="20"/>
                <w:szCs w:val="20"/>
              </w:rPr>
              <w:t>园本课程</w:t>
            </w:r>
          </w:p>
        </w:tc>
        <w:tc>
          <w:tcPr>
            <w:tcW w:w="1418" w:type="dxa"/>
          </w:tcPr>
          <w:p w14:paraId="723E27F5">
            <w:pPr>
              <w:spacing w:line="360" w:lineRule="auto"/>
              <w:jc w:val="center"/>
              <w:rPr>
                <w:rFonts w:ascii="仿宋" w:hAnsi="仿宋" w:eastAsia="仿宋" w:cs="仿宋"/>
                <w:kern w:val="0"/>
                <w:sz w:val="18"/>
                <w:szCs w:val="18"/>
              </w:rPr>
            </w:pPr>
            <w:r>
              <w:rPr>
                <w:rFonts w:ascii="仿宋" w:hAnsi="仿宋" w:eastAsia="仿宋"/>
                <w:kern w:val="0"/>
                <w:sz w:val="20"/>
                <w:szCs w:val="20"/>
              </w:rPr>
              <w:t>4</w:t>
            </w:r>
          </w:p>
        </w:tc>
        <w:tc>
          <w:tcPr>
            <w:tcW w:w="1719" w:type="dxa"/>
          </w:tcPr>
          <w:p w14:paraId="558FC835">
            <w:pPr>
              <w:spacing w:line="360" w:lineRule="auto"/>
              <w:jc w:val="center"/>
              <w:rPr>
                <w:rFonts w:ascii="仿宋" w:hAnsi="仿宋" w:eastAsia="仿宋" w:cs="仿宋"/>
                <w:kern w:val="0"/>
                <w:sz w:val="18"/>
                <w:szCs w:val="18"/>
              </w:rPr>
            </w:pPr>
            <w:r>
              <w:rPr>
                <w:rFonts w:ascii="仿宋" w:hAnsi="仿宋" w:eastAsia="仿宋"/>
                <w:kern w:val="0"/>
                <w:sz w:val="20"/>
                <w:szCs w:val="20"/>
              </w:rPr>
              <w:t>0</w:t>
            </w:r>
          </w:p>
        </w:tc>
      </w:tr>
      <w:tr w14:paraId="50189B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12E7C16E">
            <w:pPr>
              <w:spacing w:line="360" w:lineRule="auto"/>
              <w:jc w:val="center"/>
              <w:rPr>
                <w:rFonts w:ascii="仿宋" w:hAnsi="仿宋" w:eastAsia="仿宋" w:cs="仿宋"/>
                <w:kern w:val="0"/>
                <w:sz w:val="18"/>
                <w:szCs w:val="18"/>
              </w:rPr>
            </w:pPr>
            <w:r>
              <w:rPr>
                <w:rFonts w:hint="eastAsia" w:ascii="仿宋" w:hAnsi="仿宋" w:eastAsia="仿宋"/>
                <w:kern w:val="0"/>
                <w:sz w:val="20"/>
                <w:szCs w:val="20"/>
              </w:rPr>
              <w:t>人文素养</w:t>
            </w:r>
          </w:p>
        </w:tc>
        <w:tc>
          <w:tcPr>
            <w:tcW w:w="1418" w:type="dxa"/>
          </w:tcPr>
          <w:p w14:paraId="5FF45846">
            <w:pPr>
              <w:spacing w:line="360" w:lineRule="auto"/>
              <w:jc w:val="center"/>
              <w:rPr>
                <w:rFonts w:ascii="仿宋" w:hAnsi="仿宋" w:eastAsia="仿宋" w:cs="仿宋"/>
                <w:kern w:val="0"/>
                <w:sz w:val="18"/>
                <w:szCs w:val="18"/>
              </w:rPr>
            </w:pPr>
            <w:r>
              <w:rPr>
                <w:rFonts w:ascii="仿宋" w:hAnsi="仿宋" w:eastAsia="仿宋"/>
                <w:kern w:val="0"/>
                <w:sz w:val="20"/>
                <w:szCs w:val="20"/>
              </w:rPr>
              <w:t>4</w:t>
            </w:r>
          </w:p>
        </w:tc>
        <w:tc>
          <w:tcPr>
            <w:tcW w:w="1719" w:type="dxa"/>
          </w:tcPr>
          <w:p w14:paraId="3BEB61ED">
            <w:pPr>
              <w:spacing w:line="360" w:lineRule="auto"/>
              <w:jc w:val="center"/>
              <w:rPr>
                <w:rFonts w:ascii="仿宋" w:hAnsi="仿宋" w:eastAsia="仿宋" w:cs="仿宋"/>
                <w:kern w:val="0"/>
                <w:sz w:val="18"/>
                <w:szCs w:val="18"/>
              </w:rPr>
            </w:pPr>
            <w:r>
              <w:rPr>
                <w:rFonts w:ascii="仿宋" w:hAnsi="仿宋" w:eastAsia="仿宋"/>
                <w:kern w:val="0"/>
                <w:sz w:val="20"/>
                <w:szCs w:val="20"/>
              </w:rPr>
              <w:t>0.09</w:t>
            </w:r>
          </w:p>
        </w:tc>
      </w:tr>
      <w:tr w14:paraId="75C817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5B13B9D3">
            <w:pPr>
              <w:spacing w:line="360" w:lineRule="auto"/>
              <w:jc w:val="center"/>
              <w:rPr>
                <w:rFonts w:ascii="仿宋" w:hAnsi="仿宋" w:eastAsia="仿宋" w:cs="仿宋"/>
                <w:kern w:val="0"/>
                <w:sz w:val="18"/>
                <w:szCs w:val="18"/>
              </w:rPr>
            </w:pPr>
            <w:r>
              <w:rPr>
                <w:rFonts w:hint="eastAsia" w:ascii="仿宋" w:hAnsi="仿宋" w:eastAsia="仿宋"/>
                <w:kern w:val="0"/>
                <w:sz w:val="20"/>
                <w:szCs w:val="20"/>
              </w:rPr>
              <w:t>高等教育</w:t>
            </w:r>
          </w:p>
        </w:tc>
        <w:tc>
          <w:tcPr>
            <w:tcW w:w="1418" w:type="dxa"/>
          </w:tcPr>
          <w:p w14:paraId="1ECCB270">
            <w:pPr>
              <w:spacing w:line="360" w:lineRule="auto"/>
              <w:jc w:val="center"/>
              <w:rPr>
                <w:rFonts w:ascii="仿宋" w:hAnsi="仿宋" w:eastAsia="仿宋" w:cs="仿宋"/>
                <w:kern w:val="0"/>
                <w:sz w:val="18"/>
                <w:szCs w:val="18"/>
              </w:rPr>
            </w:pPr>
            <w:r>
              <w:rPr>
                <w:rFonts w:ascii="仿宋" w:hAnsi="仿宋" w:eastAsia="仿宋"/>
                <w:kern w:val="0"/>
                <w:sz w:val="20"/>
                <w:szCs w:val="20"/>
              </w:rPr>
              <w:t>4</w:t>
            </w:r>
          </w:p>
        </w:tc>
        <w:tc>
          <w:tcPr>
            <w:tcW w:w="1719" w:type="dxa"/>
          </w:tcPr>
          <w:p w14:paraId="2DE643E9">
            <w:pPr>
              <w:spacing w:line="360" w:lineRule="auto"/>
              <w:jc w:val="center"/>
              <w:rPr>
                <w:rFonts w:ascii="仿宋" w:hAnsi="仿宋" w:eastAsia="仿宋" w:cs="仿宋"/>
                <w:kern w:val="0"/>
                <w:sz w:val="18"/>
                <w:szCs w:val="18"/>
              </w:rPr>
            </w:pPr>
            <w:r>
              <w:rPr>
                <w:rFonts w:ascii="仿宋" w:hAnsi="仿宋" w:eastAsia="仿宋"/>
                <w:kern w:val="0"/>
                <w:sz w:val="20"/>
                <w:szCs w:val="20"/>
              </w:rPr>
              <w:t>0.07</w:t>
            </w:r>
          </w:p>
        </w:tc>
      </w:tr>
      <w:tr w14:paraId="1D22B7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183DBC72">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泛在学习</w:t>
            </w:r>
          </w:p>
        </w:tc>
        <w:tc>
          <w:tcPr>
            <w:tcW w:w="1418" w:type="dxa"/>
          </w:tcPr>
          <w:p w14:paraId="13732B12">
            <w:pPr>
              <w:spacing w:line="360" w:lineRule="auto"/>
              <w:jc w:val="center"/>
              <w:rPr>
                <w:rFonts w:ascii="仿宋" w:hAnsi="仿宋" w:eastAsia="仿宋" w:cs="仿宋"/>
                <w:kern w:val="0"/>
                <w:sz w:val="18"/>
                <w:szCs w:val="18"/>
              </w:rPr>
            </w:pPr>
            <w:r>
              <w:rPr>
                <w:rFonts w:ascii="仿宋" w:hAnsi="仿宋" w:eastAsia="仿宋"/>
                <w:kern w:val="0"/>
                <w:sz w:val="20"/>
                <w:szCs w:val="20"/>
              </w:rPr>
              <w:t>3</w:t>
            </w:r>
          </w:p>
        </w:tc>
        <w:tc>
          <w:tcPr>
            <w:tcW w:w="1719" w:type="dxa"/>
          </w:tcPr>
          <w:p w14:paraId="44481A38">
            <w:pPr>
              <w:spacing w:line="360" w:lineRule="auto"/>
              <w:jc w:val="center"/>
              <w:rPr>
                <w:rFonts w:ascii="仿宋" w:hAnsi="仿宋" w:eastAsia="仿宋" w:cs="仿宋"/>
                <w:kern w:val="0"/>
                <w:sz w:val="18"/>
                <w:szCs w:val="18"/>
              </w:rPr>
            </w:pPr>
            <w:r>
              <w:rPr>
                <w:rFonts w:ascii="仿宋" w:hAnsi="仿宋" w:eastAsia="仿宋"/>
                <w:kern w:val="0"/>
                <w:sz w:val="20"/>
                <w:szCs w:val="20"/>
              </w:rPr>
              <w:t>0.02</w:t>
            </w:r>
          </w:p>
        </w:tc>
      </w:tr>
      <w:tr w14:paraId="6D7B80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57E78012">
            <w:pPr>
              <w:spacing w:line="360" w:lineRule="auto"/>
              <w:jc w:val="center"/>
              <w:rPr>
                <w:rFonts w:ascii="仿宋" w:hAnsi="仿宋" w:eastAsia="仿宋" w:cs="仿宋"/>
                <w:kern w:val="0"/>
                <w:sz w:val="18"/>
                <w:szCs w:val="18"/>
              </w:rPr>
            </w:pPr>
            <w:r>
              <w:rPr>
                <w:rFonts w:hint="eastAsia" w:ascii="仿宋" w:hAnsi="仿宋" w:eastAsia="仿宋"/>
                <w:kern w:val="0"/>
                <w:sz w:val="20"/>
                <w:szCs w:val="20"/>
              </w:rPr>
              <w:t>在线教育</w:t>
            </w:r>
          </w:p>
        </w:tc>
        <w:tc>
          <w:tcPr>
            <w:tcW w:w="1418" w:type="dxa"/>
          </w:tcPr>
          <w:p w14:paraId="67291E0F">
            <w:pPr>
              <w:spacing w:line="360" w:lineRule="auto"/>
              <w:jc w:val="center"/>
              <w:rPr>
                <w:rFonts w:ascii="仿宋" w:hAnsi="仿宋" w:eastAsia="仿宋" w:cs="仿宋"/>
                <w:kern w:val="0"/>
                <w:sz w:val="18"/>
                <w:szCs w:val="18"/>
              </w:rPr>
            </w:pPr>
            <w:r>
              <w:rPr>
                <w:rFonts w:ascii="仿宋" w:hAnsi="仿宋" w:eastAsia="仿宋"/>
                <w:kern w:val="0"/>
                <w:sz w:val="20"/>
                <w:szCs w:val="20"/>
              </w:rPr>
              <w:t>3</w:t>
            </w:r>
          </w:p>
        </w:tc>
        <w:tc>
          <w:tcPr>
            <w:tcW w:w="1719" w:type="dxa"/>
          </w:tcPr>
          <w:p w14:paraId="2F731864">
            <w:pPr>
              <w:spacing w:line="360" w:lineRule="auto"/>
              <w:jc w:val="center"/>
              <w:rPr>
                <w:rFonts w:ascii="仿宋" w:hAnsi="仿宋" w:eastAsia="仿宋" w:cs="仿宋"/>
                <w:kern w:val="0"/>
                <w:sz w:val="18"/>
                <w:szCs w:val="18"/>
              </w:rPr>
            </w:pPr>
            <w:r>
              <w:rPr>
                <w:rFonts w:ascii="仿宋" w:hAnsi="仿宋" w:eastAsia="仿宋"/>
                <w:kern w:val="0"/>
                <w:sz w:val="20"/>
                <w:szCs w:val="20"/>
              </w:rPr>
              <w:t>0.04</w:t>
            </w:r>
          </w:p>
        </w:tc>
      </w:tr>
      <w:tr w14:paraId="4A6A32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35F33159">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未来教室</w:t>
            </w:r>
          </w:p>
        </w:tc>
        <w:tc>
          <w:tcPr>
            <w:tcW w:w="1418" w:type="dxa"/>
          </w:tcPr>
          <w:p w14:paraId="4DB8FBF9">
            <w:pPr>
              <w:spacing w:line="360" w:lineRule="auto"/>
              <w:jc w:val="center"/>
              <w:rPr>
                <w:rFonts w:ascii="仿宋" w:hAnsi="仿宋" w:eastAsia="仿宋" w:cs="仿宋"/>
                <w:kern w:val="0"/>
                <w:sz w:val="18"/>
                <w:szCs w:val="18"/>
              </w:rPr>
            </w:pPr>
            <w:r>
              <w:rPr>
                <w:rFonts w:ascii="仿宋" w:hAnsi="仿宋" w:eastAsia="仿宋"/>
                <w:kern w:val="0"/>
                <w:sz w:val="20"/>
                <w:szCs w:val="20"/>
              </w:rPr>
              <w:t>3</w:t>
            </w:r>
          </w:p>
        </w:tc>
        <w:tc>
          <w:tcPr>
            <w:tcW w:w="1719" w:type="dxa"/>
          </w:tcPr>
          <w:p w14:paraId="4CA754BA">
            <w:pPr>
              <w:spacing w:line="360" w:lineRule="auto"/>
              <w:jc w:val="center"/>
              <w:rPr>
                <w:rFonts w:ascii="仿宋" w:hAnsi="仿宋" w:eastAsia="仿宋" w:cs="仿宋"/>
                <w:kern w:val="0"/>
                <w:sz w:val="18"/>
                <w:szCs w:val="18"/>
              </w:rPr>
            </w:pPr>
            <w:r>
              <w:rPr>
                <w:rFonts w:ascii="仿宋" w:hAnsi="仿宋" w:eastAsia="仿宋"/>
                <w:kern w:val="0"/>
                <w:sz w:val="20"/>
                <w:szCs w:val="20"/>
              </w:rPr>
              <w:t>0.03</w:t>
            </w:r>
          </w:p>
        </w:tc>
      </w:tr>
      <w:tr w14:paraId="77277F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67138A37">
            <w:pPr>
              <w:spacing w:line="360" w:lineRule="auto"/>
              <w:jc w:val="center"/>
              <w:rPr>
                <w:rFonts w:ascii="仿宋" w:hAnsi="仿宋" w:eastAsia="仿宋" w:cs="仿宋"/>
                <w:kern w:val="0"/>
                <w:sz w:val="18"/>
                <w:szCs w:val="18"/>
              </w:rPr>
            </w:pPr>
            <w:r>
              <w:rPr>
                <w:rFonts w:hint="eastAsia" w:ascii="仿宋" w:hAnsi="仿宋" w:eastAsia="仿宋"/>
                <w:kern w:val="0"/>
                <w:sz w:val="20"/>
                <w:szCs w:val="20"/>
              </w:rPr>
              <w:t>学生核心素养</w:t>
            </w:r>
          </w:p>
        </w:tc>
        <w:tc>
          <w:tcPr>
            <w:tcW w:w="1418" w:type="dxa"/>
          </w:tcPr>
          <w:p w14:paraId="73AA3DB7">
            <w:pPr>
              <w:spacing w:line="360" w:lineRule="auto"/>
              <w:jc w:val="center"/>
              <w:rPr>
                <w:rFonts w:ascii="仿宋" w:hAnsi="仿宋" w:eastAsia="仿宋" w:cs="仿宋"/>
                <w:kern w:val="0"/>
                <w:sz w:val="18"/>
                <w:szCs w:val="18"/>
              </w:rPr>
            </w:pPr>
            <w:r>
              <w:rPr>
                <w:rFonts w:ascii="仿宋" w:hAnsi="仿宋" w:eastAsia="仿宋"/>
                <w:kern w:val="0"/>
                <w:sz w:val="20"/>
                <w:szCs w:val="20"/>
              </w:rPr>
              <w:t>3</w:t>
            </w:r>
          </w:p>
        </w:tc>
        <w:tc>
          <w:tcPr>
            <w:tcW w:w="1719" w:type="dxa"/>
          </w:tcPr>
          <w:p w14:paraId="650E783C">
            <w:pPr>
              <w:spacing w:line="360" w:lineRule="auto"/>
              <w:jc w:val="center"/>
              <w:rPr>
                <w:rFonts w:ascii="仿宋" w:hAnsi="仿宋" w:eastAsia="仿宋" w:cs="仿宋"/>
                <w:kern w:val="0"/>
                <w:sz w:val="18"/>
                <w:szCs w:val="18"/>
              </w:rPr>
            </w:pPr>
            <w:r>
              <w:rPr>
                <w:rFonts w:ascii="仿宋" w:hAnsi="仿宋" w:eastAsia="仿宋"/>
                <w:kern w:val="0"/>
                <w:sz w:val="20"/>
                <w:szCs w:val="20"/>
              </w:rPr>
              <w:t>0.01</w:t>
            </w:r>
          </w:p>
        </w:tc>
      </w:tr>
      <w:tr w14:paraId="128CD8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414876FD">
            <w:pPr>
              <w:spacing w:line="360" w:lineRule="auto"/>
              <w:jc w:val="center"/>
              <w:rPr>
                <w:rFonts w:ascii="仿宋" w:hAnsi="仿宋" w:eastAsia="仿宋" w:cs="仿宋"/>
                <w:kern w:val="0"/>
                <w:sz w:val="18"/>
                <w:szCs w:val="18"/>
              </w:rPr>
            </w:pPr>
            <w:r>
              <w:rPr>
                <w:rFonts w:hint="eastAsia" w:ascii="仿宋" w:hAnsi="仿宋" w:eastAsia="仿宋"/>
                <w:kern w:val="0"/>
                <w:sz w:val="20"/>
                <w:szCs w:val="20"/>
              </w:rPr>
              <w:t>学科融合</w:t>
            </w:r>
          </w:p>
        </w:tc>
        <w:tc>
          <w:tcPr>
            <w:tcW w:w="1418" w:type="dxa"/>
          </w:tcPr>
          <w:p w14:paraId="14099444">
            <w:pPr>
              <w:spacing w:line="360" w:lineRule="auto"/>
              <w:jc w:val="center"/>
              <w:rPr>
                <w:rFonts w:ascii="仿宋" w:hAnsi="仿宋" w:eastAsia="仿宋" w:cs="仿宋"/>
                <w:kern w:val="0"/>
                <w:sz w:val="18"/>
                <w:szCs w:val="18"/>
              </w:rPr>
            </w:pPr>
            <w:r>
              <w:rPr>
                <w:rFonts w:ascii="仿宋" w:hAnsi="仿宋" w:eastAsia="仿宋"/>
                <w:kern w:val="0"/>
                <w:sz w:val="20"/>
                <w:szCs w:val="20"/>
              </w:rPr>
              <w:t>2</w:t>
            </w:r>
          </w:p>
        </w:tc>
        <w:tc>
          <w:tcPr>
            <w:tcW w:w="1719" w:type="dxa"/>
          </w:tcPr>
          <w:p w14:paraId="4E89ABB3">
            <w:pPr>
              <w:spacing w:line="360" w:lineRule="auto"/>
              <w:jc w:val="center"/>
              <w:rPr>
                <w:rFonts w:ascii="仿宋" w:hAnsi="仿宋" w:eastAsia="仿宋" w:cs="仿宋"/>
                <w:kern w:val="0"/>
                <w:sz w:val="18"/>
                <w:szCs w:val="18"/>
              </w:rPr>
            </w:pPr>
            <w:r>
              <w:rPr>
                <w:rFonts w:ascii="仿宋" w:hAnsi="仿宋" w:eastAsia="仿宋"/>
                <w:kern w:val="0"/>
                <w:sz w:val="20"/>
                <w:szCs w:val="20"/>
              </w:rPr>
              <w:t>0.01</w:t>
            </w:r>
          </w:p>
        </w:tc>
      </w:tr>
      <w:tr w14:paraId="7258B8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4052FFDA">
            <w:pPr>
              <w:spacing w:line="360" w:lineRule="auto"/>
              <w:jc w:val="center"/>
              <w:rPr>
                <w:rFonts w:ascii="仿宋" w:hAnsi="仿宋" w:eastAsia="仿宋" w:cs="仿宋"/>
                <w:kern w:val="0"/>
                <w:sz w:val="18"/>
                <w:szCs w:val="18"/>
              </w:rPr>
            </w:pPr>
            <w:r>
              <w:rPr>
                <w:rFonts w:hint="eastAsia" w:ascii="仿宋" w:hAnsi="仿宋" w:eastAsia="仿宋"/>
                <w:kern w:val="0"/>
                <w:sz w:val="20"/>
                <w:szCs w:val="20"/>
              </w:rPr>
              <w:t>中学生</w:t>
            </w:r>
          </w:p>
        </w:tc>
        <w:tc>
          <w:tcPr>
            <w:tcW w:w="1418" w:type="dxa"/>
          </w:tcPr>
          <w:p w14:paraId="4B2E2E07">
            <w:pPr>
              <w:spacing w:line="360" w:lineRule="auto"/>
              <w:jc w:val="center"/>
              <w:rPr>
                <w:rFonts w:ascii="仿宋" w:hAnsi="仿宋" w:eastAsia="仿宋" w:cs="仿宋"/>
                <w:kern w:val="0"/>
                <w:sz w:val="18"/>
                <w:szCs w:val="18"/>
              </w:rPr>
            </w:pPr>
            <w:r>
              <w:rPr>
                <w:rFonts w:ascii="仿宋" w:hAnsi="仿宋" w:eastAsia="仿宋"/>
                <w:kern w:val="0"/>
                <w:sz w:val="20"/>
                <w:szCs w:val="20"/>
              </w:rPr>
              <w:t>2</w:t>
            </w:r>
          </w:p>
        </w:tc>
        <w:tc>
          <w:tcPr>
            <w:tcW w:w="1719" w:type="dxa"/>
          </w:tcPr>
          <w:p w14:paraId="45A8A898">
            <w:pPr>
              <w:spacing w:line="360" w:lineRule="auto"/>
              <w:jc w:val="center"/>
              <w:rPr>
                <w:rFonts w:ascii="仿宋" w:hAnsi="仿宋" w:eastAsia="仿宋" w:cs="仿宋"/>
                <w:kern w:val="0"/>
                <w:sz w:val="18"/>
                <w:szCs w:val="18"/>
              </w:rPr>
            </w:pPr>
            <w:r>
              <w:rPr>
                <w:rFonts w:ascii="仿宋" w:hAnsi="仿宋" w:eastAsia="仿宋"/>
                <w:kern w:val="0"/>
                <w:sz w:val="20"/>
                <w:szCs w:val="20"/>
              </w:rPr>
              <w:t>0.02</w:t>
            </w:r>
          </w:p>
        </w:tc>
      </w:tr>
      <w:tr w14:paraId="73054D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509F1BFF">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教育现代化</w:t>
            </w:r>
          </w:p>
        </w:tc>
        <w:tc>
          <w:tcPr>
            <w:tcW w:w="1418" w:type="dxa"/>
          </w:tcPr>
          <w:p w14:paraId="0301EA92">
            <w:pPr>
              <w:spacing w:line="360" w:lineRule="auto"/>
              <w:jc w:val="center"/>
              <w:rPr>
                <w:rFonts w:ascii="仿宋" w:hAnsi="仿宋" w:eastAsia="仿宋" w:cs="仿宋"/>
                <w:kern w:val="0"/>
                <w:sz w:val="18"/>
                <w:szCs w:val="18"/>
              </w:rPr>
            </w:pPr>
            <w:r>
              <w:rPr>
                <w:rFonts w:ascii="仿宋" w:hAnsi="仿宋" w:eastAsia="仿宋"/>
                <w:kern w:val="0"/>
                <w:sz w:val="20"/>
                <w:szCs w:val="20"/>
              </w:rPr>
              <w:t>2</w:t>
            </w:r>
          </w:p>
        </w:tc>
        <w:tc>
          <w:tcPr>
            <w:tcW w:w="1719" w:type="dxa"/>
          </w:tcPr>
          <w:p w14:paraId="7B9089D9">
            <w:pPr>
              <w:spacing w:line="360" w:lineRule="auto"/>
              <w:jc w:val="center"/>
              <w:rPr>
                <w:rFonts w:ascii="仿宋" w:hAnsi="仿宋" w:eastAsia="仿宋" w:cs="仿宋"/>
                <w:kern w:val="0"/>
                <w:sz w:val="18"/>
                <w:szCs w:val="18"/>
              </w:rPr>
            </w:pPr>
            <w:r>
              <w:rPr>
                <w:rFonts w:ascii="仿宋" w:hAnsi="仿宋" w:eastAsia="仿宋"/>
                <w:kern w:val="0"/>
                <w:sz w:val="20"/>
                <w:szCs w:val="20"/>
              </w:rPr>
              <w:t>0</w:t>
            </w:r>
          </w:p>
        </w:tc>
      </w:tr>
      <w:tr w14:paraId="59C0AA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2D7A5DFF">
            <w:pPr>
              <w:spacing w:line="360" w:lineRule="auto"/>
              <w:jc w:val="center"/>
              <w:rPr>
                <w:rFonts w:ascii="仿宋" w:hAnsi="仿宋" w:eastAsia="仿宋" w:cs="仿宋"/>
                <w:kern w:val="0"/>
                <w:sz w:val="18"/>
                <w:szCs w:val="18"/>
              </w:rPr>
            </w:pPr>
            <w:r>
              <w:rPr>
                <w:rFonts w:hint="eastAsia" w:ascii="仿宋" w:hAnsi="仿宋" w:eastAsia="仿宋"/>
                <w:kern w:val="0"/>
                <w:sz w:val="20"/>
                <w:szCs w:val="20"/>
              </w:rPr>
              <w:t>互联网</w:t>
            </w:r>
            <w:r>
              <w:rPr>
                <w:rFonts w:ascii="仿宋" w:hAnsi="仿宋" w:eastAsia="仿宋"/>
                <w:kern w:val="0"/>
                <w:sz w:val="20"/>
                <w:szCs w:val="20"/>
              </w:rPr>
              <w:t>+教育</w:t>
            </w:r>
          </w:p>
        </w:tc>
        <w:tc>
          <w:tcPr>
            <w:tcW w:w="1418" w:type="dxa"/>
          </w:tcPr>
          <w:p w14:paraId="4A74D248">
            <w:pPr>
              <w:spacing w:line="360" w:lineRule="auto"/>
              <w:jc w:val="center"/>
              <w:rPr>
                <w:rFonts w:ascii="仿宋" w:hAnsi="仿宋" w:eastAsia="仿宋" w:cs="仿宋"/>
                <w:kern w:val="0"/>
                <w:sz w:val="18"/>
                <w:szCs w:val="18"/>
              </w:rPr>
            </w:pPr>
            <w:r>
              <w:rPr>
                <w:rFonts w:ascii="仿宋" w:hAnsi="仿宋" w:eastAsia="仿宋"/>
                <w:kern w:val="0"/>
                <w:sz w:val="20"/>
                <w:szCs w:val="20"/>
              </w:rPr>
              <w:t>2</w:t>
            </w:r>
          </w:p>
        </w:tc>
        <w:tc>
          <w:tcPr>
            <w:tcW w:w="1719" w:type="dxa"/>
          </w:tcPr>
          <w:p w14:paraId="7EB3FB67">
            <w:pPr>
              <w:spacing w:line="360" w:lineRule="auto"/>
              <w:jc w:val="center"/>
              <w:rPr>
                <w:rFonts w:ascii="仿宋" w:hAnsi="仿宋" w:eastAsia="仿宋" w:cs="仿宋"/>
                <w:kern w:val="0"/>
                <w:sz w:val="18"/>
                <w:szCs w:val="18"/>
              </w:rPr>
            </w:pPr>
            <w:r>
              <w:rPr>
                <w:rFonts w:ascii="仿宋" w:hAnsi="仿宋" w:eastAsia="仿宋"/>
                <w:kern w:val="0"/>
                <w:sz w:val="20"/>
                <w:szCs w:val="20"/>
              </w:rPr>
              <w:t>0</w:t>
            </w:r>
          </w:p>
        </w:tc>
      </w:tr>
      <w:tr w14:paraId="71D5A6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4F4CB797">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教育信息化</w:t>
            </w:r>
          </w:p>
        </w:tc>
        <w:tc>
          <w:tcPr>
            <w:tcW w:w="1418" w:type="dxa"/>
          </w:tcPr>
          <w:p w14:paraId="4D2C0DBF">
            <w:pPr>
              <w:spacing w:line="360" w:lineRule="auto"/>
              <w:jc w:val="center"/>
              <w:rPr>
                <w:rFonts w:ascii="仿宋" w:hAnsi="仿宋" w:eastAsia="仿宋" w:cs="仿宋"/>
                <w:kern w:val="0"/>
                <w:sz w:val="18"/>
                <w:szCs w:val="18"/>
              </w:rPr>
            </w:pPr>
            <w:r>
              <w:rPr>
                <w:rFonts w:ascii="仿宋" w:hAnsi="仿宋" w:eastAsia="仿宋"/>
                <w:kern w:val="0"/>
                <w:sz w:val="20"/>
                <w:szCs w:val="20"/>
              </w:rPr>
              <w:t>2</w:t>
            </w:r>
          </w:p>
        </w:tc>
        <w:tc>
          <w:tcPr>
            <w:tcW w:w="1719" w:type="dxa"/>
          </w:tcPr>
          <w:p w14:paraId="2E1835D3">
            <w:pPr>
              <w:spacing w:line="360" w:lineRule="auto"/>
              <w:jc w:val="center"/>
              <w:rPr>
                <w:rFonts w:ascii="仿宋" w:hAnsi="仿宋" w:eastAsia="仿宋" w:cs="仿宋"/>
                <w:kern w:val="0"/>
                <w:sz w:val="18"/>
                <w:szCs w:val="18"/>
              </w:rPr>
            </w:pPr>
            <w:r>
              <w:rPr>
                <w:rFonts w:ascii="仿宋" w:hAnsi="仿宋" w:eastAsia="仿宋"/>
                <w:kern w:val="0"/>
                <w:sz w:val="20"/>
                <w:szCs w:val="20"/>
              </w:rPr>
              <w:t>0.01</w:t>
            </w:r>
          </w:p>
        </w:tc>
      </w:tr>
      <w:tr w14:paraId="2D8402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2C62A92B">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教师专业发展</w:t>
            </w:r>
          </w:p>
        </w:tc>
        <w:tc>
          <w:tcPr>
            <w:tcW w:w="1418" w:type="dxa"/>
          </w:tcPr>
          <w:p w14:paraId="6000908A">
            <w:pPr>
              <w:spacing w:line="360" w:lineRule="auto"/>
              <w:jc w:val="center"/>
              <w:rPr>
                <w:rFonts w:ascii="仿宋" w:hAnsi="仿宋" w:eastAsia="仿宋" w:cs="仿宋"/>
                <w:kern w:val="0"/>
                <w:sz w:val="18"/>
                <w:szCs w:val="18"/>
              </w:rPr>
            </w:pPr>
            <w:r>
              <w:rPr>
                <w:rFonts w:ascii="仿宋" w:hAnsi="仿宋" w:eastAsia="仿宋"/>
                <w:kern w:val="0"/>
                <w:sz w:val="20"/>
                <w:szCs w:val="20"/>
              </w:rPr>
              <w:t>2</w:t>
            </w:r>
          </w:p>
        </w:tc>
        <w:tc>
          <w:tcPr>
            <w:tcW w:w="1719" w:type="dxa"/>
          </w:tcPr>
          <w:p w14:paraId="10B5E7A3">
            <w:pPr>
              <w:spacing w:line="360" w:lineRule="auto"/>
              <w:jc w:val="center"/>
              <w:rPr>
                <w:rFonts w:ascii="仿宋" w:hAnsi="仿宋" w:eastAsia="仿宋" w:cs="仿宋"/>
                <w:kern w:val="0"/>
                <w:sz w:val="18"/>
                <w:szCs w:val="18"/>
              </w:rPr>
            </w:pPr>
            <w:r>
              <w:rPr>
                <w:rFonts w:ascii="仿宋" w:hAnsi="仿宋" w:eastAsia="仿宋"/>
                <w:kern w:val="0"/>
                <w:sz w:val="20"/>
                <w:szCs w:val="20"/>
              </w:rPr>
              <w:t>0</w:t>
            </w:r>
          </w:p>
        </w:tc>
      </w:tr>
      <w:tr w14:paraId="000A61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53" w:type="dxa"/>
          </w:tcPr>
          <w:p w14:paraId="3C516787">
            <w:pPr>
              <w:spacing w:line="360" w:lineRule="auto"/>
              <w:jc w:val="center"/>
              <w:rPr>
                <w:rFonts w:ascii="仿宋" w:hAnsi="仿宋" w:eastAsia="仿宋" w:cs="仿宋"/>
                <w:kern w:val="0"/>
                <w:sz w:val="18"/>
                <w:szCs w:val="18"/>
              </w:rPr>
            </w:pPr>
            <w:r>
              <w:rPr>
                <w:rFonts w:hint="eastAsia" w:ascii="仿宋" w:hAnsi="仿宋" w:eastAsia="仿宋"/>
                <w:kern w:val="0"/>
                <w:sz w:val="20"/>
                <w:szCs w:val="20"/>
              </w:rPr>
              <w:t>无边界课程</w:t>
            </w:r>
          </w:p>
        </w:tc>
        <w:tc>
          <w:tcPr>
            <w:tcW w:w="1418" w:type="dxa"/>
          </w:tcPr>
          <w:p w14:paraId="19FD75D8">
            <w:pPr>
              <w:spacing w:line="360" w:lineRule="auto"/>
              <w:jc w:val="center"/>
              <w:rPr>
                <w:rFonts w:ascii="仿宋" w:hAnsi="仿宋" w:eastAsia="仿宋" w:cs="仿宋"/>
                <w:kern w:val="0"/>
                <w:sz w:val="18"/>
                <w:szCs w:val="18"/>
              </w:rPr>
            </w:pPr>
            <w:r>
              <w:rPr>
                <w:rFonts w:ascii="仿宋" w:hAnsi="仿宋" w:eastAsia="仿宋"/>
                <w:kern w:val="0"/>
                <w:sz w:val="20"/>
                <w:szCs w:val="20"/>
              </w:rPr>
              <w:t>2</w:t>
            </w:r>
          </w:p>
        </w:tc>
        <w:tc>
          <w:tcPr>
            <w:tcW w:w="1719" w:type="dxa"/>
          </w:tcPr>
          <w:p w14:paraId="2B9EA41B">
            <w:pPr>
              <w:spacing w:line="360" w:lineRule="auto"/>
              <w:jc w:val="center"/>
              <w:rPr>
                <w:rFonts w:ascii="仿宋" w:hAnsi="仿宋" w:eastAsia="仿宋" w:cs="仿宋"/>
                <w:kern w:val="0"/>
                <w:sz w:val="18"/>
                <w:szCs w:val="18"/>
              </w:rPr>
            </w:pPr>
            <w:r>
              <w:rPr>
                <w:rFonts w:ascii="仿宋" w:hAnsi="仿宋" w:eastAsia="仿宋"/>
                <w:kern w:val="0"/>
                <w:sz w:val="20"/>
                <w:szCs w:val="20"/>
              </w:rPr>
              <w:t>0</w:t>
            </w:r>
          </w:p>
        </w:tc>
      </w:tr>
      <w:bookmarkEnd w:id="1"/>
    </w:tbl>
    <w:p w14:paraId="295D4FD8">
      <w:pPr>
        <w:rPr>
          <w:rFonts w:ascii="宋体" w:hAnsi="宋体" w:eastAsia="宋体"/>
          <w:sz w:val="24"/>
          <w:szCs w:val="24"/>
        </w:rPr>
      </w:pPr>
    </w:p>
    <w:p w14:paraId="7BCCE8C2">
      <w:pPr>
        <w:pStyle w:val="14"/>
        <w:spacing w:line="360" w:lineRule="auto"/>
        <w:ind w:firstLine="480"/>
        <w:rPr>
          <w:rFonts w:ascii="黑体" w:hAnsi="黑体" w:eastAsia="黑体" w:cs="黑体"/>
          <w:sz w:val="24"/>
          <w:szCs w:val="24"/>
        </w:rPr>
      </w:pPr>
      <w:r>
        <w:rPr>
          <w:rFonts w:hint="eastAsia" w:ascii="黑体" w:hAnsi="黑体" w:eastAsia="黑体" w:cs="黑体"/>
          <w:sz w:val="24"/>
          <w:szCs w:val="24"/>
        </w:rPr>
        <w:t>（五）我国无边界学习的研究趋势</w:t>
      </w:r>
    </w:p>
    <w:p w14:paraId="7F0A5967">
      <w:pPr>
        <w:spacing w:line="360" w:lineRule="auto"/>
        <w:ind w:firstLine="480" w:firstLineChars="200"/>
        <w:rPr>
          <w:rFonts w:ascii="宋体" w:hAnsi="宋体" w:eastAsia="宋体"/>
          <w:sz w:val="24"/>
          <w:szCs w:val="24"/>
        </w:rPr>
      </w:pPr>
      <w:r>
        <w:rPr>
          <w:rFonts w:hint="eastAsia" w:ascii="宋体" w:hAnsi="宋体" w:eastAsia="宋体"/>
          <w:sz w:val="24"/>
          <w:szCs w:val="24"/>
        </w:rPr>
        <w:t>为探讨近二十年我国无边界学习的研究趋势，本研究使用Citespace可视化软件生成了无边界学习研究关键词时间线图谱（图5）及关键词突现图谱（图6），总结和预测21世纪以来的无边界学习研究趋势。</w:t>
      </w:r>
    </w:p>
    <w:p w14:paraId="4B14B93B">
      <w:pPr>
        <w:spacing w:line="360" w:lineRule="auto"/>
        <w:jc w:val="center"/>
        <w:rPr>
          <w:rFonts w:ascii="仿宋" w:hAnsi="仿宋" w:eastAsia="仿宋" w:cs="仿宋"/>
          <w:b/>
          <w:bCs/>
          <w:szCs w:val="21"/>
        </w:rPr>
      </w:pPr>
      <w:r>
        <w:rPr>
          <w:rFonts w:hint="eastAsia" w:ascii="仿宋" w:hAnsi="仿宋" w:eastAsia="仿宋" w:cs="仿宋"/>
          <w:b/>
          <w:bCs/>
          <w:szCs w:val="21"/>
        </w:rPr>
        <w:drawing>
          <wp:inline distT="0" distB="0" distL="114300" distR="114300">
            <wp:extent cx="5435600" cy="3030855"/>
            <wp:effectExtent l="0" t="0" r="0" b="4445"/>
            <wp:docPr id="4" name="图片 4" descr="时间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时间线2"/>
                    <pic:cNvPicPr>
                      <a:picLocks noChangeAspect="1"/>
                    </pic:cNvPicPr>
                  </pic:nvPicPr>
                  <pic:blipFill>
                    <a:blip r:embed="rId10"/>
                    <a:stretch>
                      <a:fillRect/>
                    </a:stretch>
                  </pic:blipFill>
                  <pic:spPr>
                    <a:xfrm>
                      <a:off x="0" y="0"/>
                      <a:ext cx="5435600" cy="3030855"/>
                    </a:xfrm>
                    <a:prstGeom prst="rect">
                      <a:avLst/>
                    </a:prstGeom>
                  </pic:spPr>
                </pic:pic>
              </a:graphicData>
            </a:graphic>
          </wp:inline>
        </w:drawing>
      </w:r>
    </w:p>
    <w:p w14:paraId="7512ED2A">
      <w:pPr>
        <w:spacing w:line="360" w:lineRule="auto"/>
        <w:jc w:val="center"/>
        <w:rPr>
          <w:rFonts w:ascii="仿宋" w:hAnsi="仿宋" w:eastAsia="仿宋" w:cs="仿宋"/>
          <w:b/>
          <w:bCs/>
          <w:szCs w:val="21"/>
        </w:rPr>
      </w:pPr>
      <w:r>
        <w:rPr>
          <w:rFonts w:hint="eastAsia" w:ascii="仿宋" w:hAnsi="仿宋" w:eastAsia="仿宋" w:cs="仿宋"/>
          <w:b/>
          <w:bCs/>
          <w:szCs w:val="21"/>
        </w:rPr>
        <w:t>图5 关键词时间线图谱</w:t>
      </w:r>
    </w:p>
    <w:p w14:paraId="72215133">
      <w:pPr>
        <w:spacing w:line="360" w:lineRule="auto"/>
        <w:jc w:val="center"/>
        <w:rPr>
          <w:rFonts w:ascii="宋体" w:hAnsi="宋体" w:eastAsia="宋体"/>
          <w:sz w:val="24"/>
          <w:szCs w:val="24"/>
        </w:rPr>
      </w:pPr>
      <w:r>
        <w:rPr>
          <w:rFonts w:ascii="宋体" w:hAnsi="宋体" w:eastAsia="宋体"/>
          <w:sz w:val="24"/>
          <w:szCs w:val="24"/>
        </w:rPr>
        <w:drawing>
          <wp:inline distT="0" distB="0" distL="0" distR="0">
            <wp:extent cx="4457065" cy="3154680"/>
            <wp:effectExtent l="0" t="0" r="635"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457065" cy="3154680"/>
                    </a:xfrm>
                    <a:prstGeom prst="rect">
                      <a:avLst/>
                    </a:prstGeom>
                  </pic:spPr>
                </pic:pic>
              </a:graphicData>
            </a:graphic>
          </wp:inline>
        </w:drawing>
      </w:r>
    </w:p>
    <w:p w14:paraId="033515EE">
      <w:pPr>
        <w:spacing w:line="360" w:lineRule="auto"/>
        <w:jc w:val="center"/>
        <w:rPr>
          <w:rStyle w:val="10"/>
          <w:rFonts w:ascii="仿宋" w:hAnsi="仿宋" w:eastAsia="仿宋" w:cs="仿宋"/>
          <w:b/>
          <w:bCs/>
          <w:szCs w:val="21"/>
        </w:rPr>
      </w:pPr>
      <w:r>
        <w:rPr>
          <w:rFonts w:hint="eastAsia" w:ascii="仿宋" w:hAnsi="仿宋" w:eastAsia="仿宋" w:cs="仿宋"/>
          <w:b/>
          <w:bCs/>
          <w:szCs w:val="21"/>
        </w:rPr>
        <w:t>图6 关键词突现图谱</w:t>
      </w:r>
      <w:r>
        <w:rPr>
          <w:rStyle w:val="10"/>
          <w:rFonts w:hint="eastAsia" w:ascii="仿宋" w:hAnsi="仿宋" w:eastAsia="仿宋" w:cs="仿宋"/>
          <w:b/>
          <w:bCs/>
          <w:szCs w:val="21"/>
        </w:rPr>
        <w:t>[</w:t>
      </w:r>
      <w:r>
        <w:rPr>
          <w:rStyle w:val="10"/>
          <w:rFonts w:hint="eastAsia" w:ascii="仿宋" w:hAnsi="仿宋" w:eastAsia="仿宋" w:cs="仿宋"/>
          <w:b/>
          <w:bCs/>
          <w:szCs w:val="21"/>
        </w:rPr>
        <w:footnoteReference w:id="10"/>
      </w:r>
      <w:r>
        <w:rPr>
          <w:rStyle w:val="10"/>
          <w:rFonts w:hint="eastAsia" w:ascii="仿宋" w:hAnsi="仿宋" w:eastAsia="仿宋" w:cs="仿宋"/>
          <w:b/>
          <w:bCs/>
          <w:szCs w:val="21"/>
        </w:rPr>
        <w:t>]</w:t>
      </w:r>
    </w:p>
    <w:p w14:paraId="2696FD71">
      <w:pPr>
        <w:numPr>
          <w:ilvl w:val="0"/>
          <w:numId w:val="1"/>
        </w:numPr>
        <w:spacing w:line="360" w:lineRule="auto"/>
        <w:rPr>
          <w:rFonts w:ascii="黑体" w:hAnsi="黑体" w:eastAsia="黑体" w:cs="黑体"/>
          <w:sz w:val="24"/>
          <w:szCs w:val="24"/>
        </w:rPr>
      </w:pPr>
      <w:r>
        <w:rPr>
          <w:rFonts w:hint="eastAsia" w:ascii="黑体" w:hAnsi="黑体" w:eastAsia="黑体" w:cs="黑体"/>
          <w:sz w:val="24"/>
          <w:szCs w:val="24"/>
        </w:rPr>
        <w:t>研究场域和对象扩大，由高等教育向基础教育领域渗透</w:t>
      </w:r>
    </w:p>
    <w:p w14:paraId="09859174">
      <w:pPr>
        <w:spacing w:line="360" w:lineRule="auto"/>
        <w:ind w:firstLine="480" w:firstLineChars="200"/>
        <w:rPr>
          <w:rFonts w:ascii="宋体" w:hAnsi="宋体" w:eastAsia="宋体"/>
          <w:sz w:val="24"/>
          <w:szCs w:val="24"/>
        </w:rPr>
      </w:pPr>
      <w:r>
        <w:rPr>
          <w:rFonts w:hint="eastAsia" w:ascii="宋体" w:hAnsi="宋体" w:eastAsia="宋体"/>
          <w:sz w:val="24"/>
          <w:szCs w:val="24"/>
        </w:rPr>
        <w:t>如图5、图6所示，2</w:t>
      </w:r>
      <w:r>
        <w:rPr>
          <w:rFonts w:ascii="宋体" w:hAnsi="宋体" w:eastAsia="宋体"/>
          <w:sz w:val="24"/>
          <w:szCs w:val="24"/>
        </w:rPr>
        <w:t>003-2023</w:t>
      </w:r>
      <w:r>
        <w:rPr>
          <w:rFonts w:hint="eastAsia" w:ascii="宋体" w:hAnsi="宋体" w:eastAsia="宋体"/>
          <w:sz w:val="24"/>
          <w:szCs w:val="24"/>
        </w:rPr>
        <w:t>年2</w:t>
      </w:r>
      <w:r>
        <w:rPr>
          <w:rFonts w:ascii="宋体" w:hAnsi="宋体" w:eastAsia="宋体"/>
          <w:sz w:val="24"/>
          <w:szCs w:val="24"/>
        </w:rPr>
        <w:t>0</w:t>
      </w:r>
      <w:r>
        <w:rPr>
          <w:rFonts w:hint="eastAsia" w:ascii="宋体" w:hAnsi="宋体" w:eastAsia="宋体"/>
          <w:sz w:val="24"/>
          <w:szCs w:val="24"/>
        </w:rPr>
        <w:t>年间以“无边界学习”或“无边界教育”为研究主题的文献历史突现强度最高的关键词为“无边界”和“教育信息化”，突现强度分别为1</w:t>
      </w:r>
      <w:r>
        <w:rPr>
          <w:rFonts w:ascii="宋体" w:hAnsi="宋体" w:eastAsia="宋体"/>
          <w:sz w:val="24"/>
          <w:szCs w:val="24"/>
        </w:rPr>
        <w:t>.39</w:t>
      </w:r>
      <w:r>
        <w:rPr>
          <w:rFonts w:hint="eastAsia" w:ascii="宋体" w:hAnsi="宋体" w:eastAsia="宋体"/>
          <w:sz w:val="24"/>
          <w:szCs w:val="24"/>
        </w:rPr>
        <w:t>和1</w:t>
      </w:r>
      <w:r>
        <w:rPr>
          <w:rFonts w:ascii="宋体" w:hAnsi="宋体" w:eastAsia="宋体"/>
          <w:sz w:val="24"/>
          <w:szCs w:val="24"/>
        </w:rPr>
        <w:t>.29</w:t>
      </w:r>
      <w:r>
        <w:rPr>
          <w:rFonts w:hint="eastAsia" w:ascii="宋体" w:hAnsi="宋体" w:eastAsia="宋体"/>
          <w:sz w:val="24"/>
          <w:szCs w:val="24"/>
        </w:rPr>
        <w:t>，起始突现时间为2</w:t>
      </w:r>
      <w:r>
        <w:rPr>
          <w:rFonts w:ascii="宋体" w:hAnsi="宋体" w:eastAsia="宋体"/>
          <w:sz w:val="24"/>
          <w:szCs w:val="24"/>
        </w:rPr>
        <w:t>005</w:t>
      </w:r>
      <w:r>
        <w:rPr>
          <w:rFonts w:hint="eastAsia" w:ascii="宋体" w:hAnsi="宋体" w:eastAsia="宋体"/>
          <w:sz w:val="24"/>
          <w:szCs w:val="24"/>
        </w:rPr>
        <w:t>年和2</w:t>
      </w:r>
      <w:r>
        <w:rPr>
          <w:rFonts w:ascii="宋体" w:hAnsi="宋体" w:eastAsia="宋体"/>
          <w:sz w:val="24"/>
          <w:szCs w:val="24"/>
        </w:rPr>
        <w:t>011</w:t>
      </w:r>
      <w:r>
        <w:rPr>
          <w:rFonts w:hint="eastAsia" w:ascii="宋体" w:hAnsi="宋体" w:eastAsia="宋体"/>
          <w:sz w:val="24"/>
          <w:szCs w:val="24"/>
        </w:rPr>
        <w:t>年。二十一世纪初，“无边界教育”的概念进入我国高等教育领域，“无边界”理念逐渐得到教育研究者和学者们的认同，并逐渐向其他阶段的学校教育渗透。</w:t>
      </w:r>
    </w:p>
    <w:p w14:paraId="6429B880">
      <w:pPr>
        <w:spacing w:line="360" w:lineRule="auto"/>
        <w:ind w:firstLine="480" w:firstLineChars="200"/>
        <w:rPr>
          <w:rFonts w:ascii="宋体" w:hAnsi="宋体" w:eastAsia="宋体"/>
          <w:sz w:val="24"/>
          <w:szCs w:val="24"/>
        </w:rPr>
      </w:pPr>
      <w:r>
        <w:rPr>
          <w:rFonts w:hint="eastAsia" w:ascii="宋体" w:hAnsi="宋体" w:eastAsia="宋体"/>
          <w:sz w:val="24"/>
          <w:szCs w:val="24"/>
        </w:rPr>
        <w:t>值得一提的是，与“教育信息化”几乎同时成为研究热点的“未来教室”持续了较长时间的关注度。自2</w:t>
      </w:r>
      <w:r>
        <w:rPr>
          <w:rFonts w:ascii="宋体" w:hAnsi="宋体" w:eastAsia="宋体"/>
          <w:sz w:val="24"/>
          <w:szCs w:val="24"/>
        </w:rPr>
        <w:t>010</w:t>
      </w:r>
      <w:r>
        <w:rPr>
          <w:rFonts w:hint="eastAsia" w:ascii="宋体" w:hAnsi="宋体" w:eastAsia="宋体"/>
          <w:sz w:val="24"/>
          <w:szCs w:val="24"/>
        </w:rPr>
        <w:t>年开始，一系列关于教育信息化的政策文件陆续发布，未来教室作为未来教育图景中学校教育的重要场所，也一度成为研究者们热衷讨论和探究的话题。</w:t>
      </w:r>
      <w:r>
        <w:rPr>
          <w:rFonts w:ascii="宋体" w:hAnsi="宋体" w:eastAsia="宋体"/>
          <w:sz w:val="24"/>
          <w:szCs w:val="24"/>
        </w:rPr>
        <w:t>2010年</w:t>
      </w:r>
      <w:r>
        <w:rPr>
          <w:rFonts w:hint="eastAsia" w:ascii="宋体" w:hAnsi="宋体" w:eastAsia="宋体"/>
          <w:sz w:val="24"/>
          <w:szCs w:val="24"/>
        </w:rPr>
        <w:t>3月</w:t>
      </w:r>
      <w:r>
        <w:rPr>
          <w:rFonts w:ascii="宋体" w:hAnsi="宋体" w:eastAsia="宋体"/>
          <w:sz w:val="24"/>
          <w:szCs w:val="24"/>
        </w:rPr>
        <w:t>，</w:t>
      </w:r>
      <w:r>
        <w:rPr>
          <w:rFonts w:hint="eastAsia" w:ascii="宋体" w:hAnsi="宋体" w:eastAsia="宋体"/>
          <w:sz w:val="24"/>
          <w:szCs w:val="24"/>
        </w:rPr>
        <w:t>教育部发布了</w:t>
      </w:r>
      <w:r>
        <w:rPr>
          <w:rFonts w:ascii="宋体" w:hAnsi="宋体" w:eastAsia="宋体"/>
          <w:sz w:val="24"/>
          <w:szCs w:val="24"/>
        </w:rPr>
        <w:t>《国家中长期教育改革与发展规划纲要（2010-2020年）》</w:t>
      </w:r>
      <w:r>
        <w:rPr>
          <w:rFonts w:hint="eastAsia" w:ascii="宋体" w:hAnsi="宋体" w:eastAsia="宋体"/>
          <w:sz w:val="24"/>
          <w:szCs w:val="24"/>
        </w:rPr>
        <w:t>，明确指出了信息技术对教育发展的革命性影响，次年3月《教育信息化十年发展规划（</w:t>
      </w:r>
      <w:r>
        <w:rPr>
          <w:rFonts w:ascii="宋体" w:hAnsi="宋体" w:eastAsia="宋体"/>
          <w:sz w:val="24"/>
          <w:szCs w:val="24"/>
        </w:rPr>
        <w:t>2011-2020年）》</w:t>
      </w:r>
      <w:r>
        <w:rPr>
          <w:rFonts w:hint="eastAsia" w:ascii="宋体" w:hAnsi="宋体" w:eastAsia="宋体"/>
          <w:sz w:val="24"/>
          <w:szCs w:val="24"/>
        </w:rPr>
        <w:t>发布，提出要“以教育信息化带动教育现代化，是我国教育事业发展的战略选择，要把教育信息化摆在支撑引领教育现代化的战略地位”。</w:t>
      </w:r>
    </w:p>
    <w:p w14:paraId="2F97EA88">
      <w:pPr>
        <w:spacing w:line="360" w:lineRule="auto"/>
        <w:ind w:firstLine="480" w:firstLineChars="200"/>
        <w:rPr>
          <w:rFonts w:ascii="仿宋" w:hAnsi="仿宋" w:eastAsia="仿宋" w:cs="仿宋"/>
          <w:b/>
          <w:bCs/>
          <w:szCs w:val="21"/>
        </w:rPr>
      </w:pPr>
      <w:r>
        <w:rPr>
          <w:rFonts w:hint="eastAsia" w:ascii="宋体" w:hAnsi="宋体" w:eastAsia="宋体"/>
          <w:sz w:val="24"/>
          <w:szCs w:val="24"/>
        </w:rPr>
        <w:t>需要关注的是，“园本课程”和“教师专业发展”自2019年和2021年成为研究热点，其热度仍旧持续未减，未来关于无边界教育和无边界学习的研究可继续从这两个方向深入思考和挖掘。</w:t>
      </w:r>
    </w:p>
    <w:p w14:paraId="720D29B0">
      <w:pPr>
        <w:numPr>
          <w:ilvl w:val="0"/>
          <w:numId w:val="1"/>
        </w:numPr>
        <w:spacing w:line="360" w:lineRule="auto"/>
        <w:rPr>
          <w:rFonts w:ascii="黑体" w:hAnsi="黑体" w:eastAsia="黑体" w:cs="黑体"/>
          <w:sz w:val="24"/>
          <w:szCs w:val="24"/>
        </w:rPr>
      </w:pPr>
      <w:r>
        <w:rPr>
          <w:rFonts w:hint="eastAsia" w:ascii="黑体" w:hAnsi="黑体" w:eastAsia="黑体" w:cs="黑体"/>
          <w:sz w:val="24"/>
          <w:szCs w:val="24"/>
        </w:rPr>
        <w:t>研究内容由理论探讨、基础建设转向实践应用，逐渐走向丰富性和精细化</w:t>
      </w:r>
    </w:p>
    <w:p w14:paraId="7E052D4F">
      <w:pPr>
        <w:spacing w:line="360" w:lineRule="auto"/>
        <w:ind w:firstLine="480" w:firstLineChars="200"/>
        <w:rPr>
          <w:rFonts w:ascii="宋体" w:hAnsi="宋体" w:eastAsia="宋体"/>
          <w:sz w:val="24"/>
          <w:szCs w:val="24"/>
        </w:rPr>
      </w:pPr>
      <w:r>
        <w:rPr>
          <w:rFonts w:hint="eastAsia" w:ascii="宋体" w:hAnsi="宋体" w:eastAsia="宋体"/>
          <w:sz w:val="24"/>
          <w:szCs w:val="24"/>
        </w:rPr>
        <w:t>二十一世纪初，我国无边界学习的研究主要聚焦于对其概念及理论合理性、适宜性的探讨，如2000年香港教育大学研究发展办事处程尹昌学者引进了无边界学习的概念，提出了2</w:t>
      </w:r>
      <w:r>
        <w:rPr>
          <w:rFonts w:ascii="宋体" w:hAnsi="宋体" w:eastAsia="宋体"/>
          <w:sz w:val="24"/>
          <w:szCs w:val="24"/>
        </w:rPr>
        <w:t>1</w:t>
      </w:r>
      <w:r>
        <w:rPr>
          <w:rFonts w:hint="eastAsia" w:ascii="宋体" w:hAnsi="宋体" w:eastAsia="宋体"/>
          <w:sz w:val="24"/>
          <w:szCs w:val="24"/>
        </w:rPr>
        <w:t>世纪改变课程和教学法的新范式——C</w:t>
      </w:r>
      <w:r>
        <w:rPr>
          <w:rFonts w:ascii="宋体" w:hAnsi="宋体" w:eastAsia="宋体"/>
          <w:sz w:val="24"/>
          <w:szCs w:val="24"/>
        </w:rPr>
        <w:t>MI</w:t>
      </w:r>
      <w:r>
        <w:rPr>
          <w:rFonts w:hint="eastAsia" w:ascii="宋体" w:hAnsi="宋体" w:eastAsia="宋体"/>
          <w:sz w:val="24"/>
          <w:szCs w:val="24"/>
        </w:rPr>
        <w:t>（情景化多元智能）三重教育范式。</w:t>
      </w:r>
    </w:p>
    <w:p w14:paraId="27A830F4">
      <w:pPr>
        <w:spacing w:line="360" w:lineRule="auto"/>
        <w:ind w:firstLine="480" w:firstLineChars="200"/>
        <w:rPr>
          <w:rFonts w:ascii="宋体" w:hAnsi="宋体" w:eastAsia="宋体"/>
          <w:sz w:val="24"/>
          <w:szCs w:val="24"/>
        </w:rPr>
      </w:pPr>
      <w:r>
        <w:rPr>
          <w:rFonts w:hint="eastAsia" w:ascii="宋体" w:hAnsi="宋体" w:eastAsia="宋体"/>
          <w:sz w:val="24"/>
          <w:szCs w:val="24"/>
        </w:rPr>
        <w:t>随着“无边界学习”概念的产生，与之相关的制度、技术、设备、资源、平台等的建设和支持研究逐渐增多，如尤众喜（2005）</w:t>
      </w:r>
      <w:r>
        <w:rPr>
          <w:rStyle w:val="10"/>
          <w:rFonts w:hint="eastAsia" w:ascii="宋体" w:hAnsi="宋体" w:eastAsia="宋体"/>
          <w:sz w:val="24"/>
          <w:szCs w:val="24"/>
        </w:rPr>
        <w:t>[</w:t>
      </w:r>
      <w:r>
        <w:rPr>
          <w:rStyle w:val="10"/>
          <w:rFonts w:hint="eastAsia" w:ascii="宋体" w:hAnsi="宋体" w:eastAsia="宋体"/>
          <w:sz w:val="24"/>
          <w:szCs w:val="24"/>
        </w:rPr>
        <w:footnoteReference w:id="11"/>
      </w:r>
      <w:r>
        <w:rPr>
          <w:rStyle w:val="10"/>
          <w:rFonts w:hint="eastAsia" w:ascii="宋体" w:hAnsi="宋体" w:eastAsia="宋体"/>
          <w:sz w:val="24"/>
          <w:szCs w:val="24"/>
        </w:rPr>
        <w:t>]</w:t>
      </w:r>
      <w:r>
        <w:rPr>
          <w:rFonts w:hint="eastAsia" w:ascii="宋体" w:hAnsi="宋体" w:eastAsia="宋体"/>
          <w:sz w:val="24"/>
          <w:szCs w:val="24"/>
        </w:rPr>
        <w:t>介绍了具备网络信息过滤和信息推荐功能，能跟踪学习者学习兴趣和学习过程的智能Agent系统和搜索速度更快、结果更精确的元搜素引擎，能帮助学习者更方便地进行在线自主学习。</w:t>
      </w:r>
    </w:p>
    <w:p w14:paraId="7A6AC0DA">
      <w:pPr>
        <w:spacing w:line="360" w:lineRule="auto"/>
        <w:ind w:firstLine="480" w:firstLineChars="200"/>
        <w:rPr>
          <w:rFonts w:ascii="宋体" w:hAnsi="宋体" w:eastAsia="宋体"/>
          <w:sz w:val="24"/>
          <w:szCs w:val="24"/>
        </w:rPr>
      </w:pPr>
      <w:r>
        <w:rPr>
          <w:rFonts w:hint="eastAsia" w:ascii="宋体" w:hAnsi="宋体" w:eastAsia="宋体"/>
          <w:sz w:val="24"/>
          <w:szCs w:val="24"/>
        </w:rPr>
        <w:t>2005年之后无边界学习逐渐转向对教育实践中教育目标、教与学的方式、学生核心素养培养和教师专业发展革新等方面的研究，尤其是对“无边界课程”的相关研究在全国各地的学校教育内遍地生花。如浙江省富阳市实验小学尝试在不同学科、不同教育资源、不同学习形式、课内课外等多个维度打破传统的清晰界限，融通彼此，优化整合，构建起文本世界经验世界、情感世界和生活世界之间的有机联系，首次提出了“无边界学习”的四大操作要素——话题、对话、叙事、体验。上海市铜川中学、卢湾中学分别提出了</w:t>
      </w:r>
      <w:bookmarkStart w:id="2" w:name="_Hlk132222233"/>
      <w:r>
        <w:rPr>
          <w:rFonts w:hint="eastAsia" w:ascii="宋体" w:hAnsi="宋体" w:eastAsia="宋体"/>
          <w:sz w:val="24"/>
          <w:szCs w:val="24"/>
        </w:rPr>
        <w:t>“课堂-学科-课程”三部曲</w:t>
      </w:r>
      <w:bookmarkEnd w:id="2"/>
      <w:r>
        <w:rPr>
          <w:rFonts w:hint="eastAsia" w:ascii="宋体" w:hAnsi="宋体" w:eastAsia="宋体"/>
          <w:sz w:val="24"/>
          <w:szCs w:val="24"/>
        </w:rPr>
        <w:t>和“串门式教学”“一体化培养”的课程整合模式，掀起了中小学无边界课程研究的热潮。广东省也也在“无边界学习”理念的引领下开展了一系列探索和创新实践，如深圳市南山区赤湾学校出了理论基础、学科基础、实践探究、能力培养四大无边界学习大课堂的实施路径</w:t>
      </w:r>
      <w:r>
        <w:rPr>
          <w:rStyle w:val="10"/>
          <w:rFonts w:ascii="宋体" w:hAnsi="宋体" w:eastAsia="宋体"/>
          <w:sz w:val="24"/>
          <w:szCs w:val="24"/>
        </w:rPr>
        <w:t>[</w:t>
      </w:r>
      <w:r>
        <w:rPr>
          <w:rStyle w:val="10"/>
          <w:rFonts w:ascii="宋体" w:hAnsi="宋体" w:eastAsia="宋体"/>
          <w:sz w:val="24"/>
          <w:szCs w:val="24"/>
        </w:rPr>
        <w:footnoteReference w:id="12"/>
      </w:r>
      <w:r>
        <w:rPr>
          <w:rStyle w:val="10"/>
          <w:rFonts w:ascii="宋体" w:hAnsi="宋体" w:eastAsia="宋体"/>
          <w:sz w:val="24"/>
          <w:szCs w:val="24"/>
        </w:rPr>
        <w:t>]</w:t>
      </w:r>
      <w:r>
        <w:rPr>
          <w:rFonts w:hint="eastAsia" w:ascii="宋体" w:hAnsi="宋体" w:eastAsia="宋体"/>
          <w:sz w:val="24"/>
          <w:szCs w:val="24"/>
        </w:rPr>
        <w:t>，建构了新的无边界学习理念下的育人机制和生长性学校生态系统。</w:t>
      </w:r>
    </w:p>
    <w:p w14:paraId="6C755E95">
      <w:pPr>
        <w:spacing w:line="360" w:lineRule="auto"/>
        <w:ind w:firstLine="480" w:firstLineChars="200"/>
        <w:rPr>
          <w:rFonts w:ascii="宋体" w:hAnsi="宋体" w:eastAsia="宋体"/>
          <w:sz w:val="24"/>
          <w:szCs w:val="24"/>
        </w:rPr>
      </w:pPr>
    </w:p>
    <w:p w14:paraId="6DBA6FD7">
      <w:pPr>
        <w:spacing w:line="360" w:lineRule="auto"/>
        <w:rPr>
          <w:rFonts w:ascii="黑体" w:hAnsi="黑体" w:eastAsia="黑体" w:cs="黑体"/>
          <w:sz w:val="24"/>
          <w:szCs w:val="24"/>
        </w:rPr>
      </w:pPr>
      <w:r>
        <w:rPr>
          <w:rFonts w:hint="eastAsia" w:ascii="黑体" w:hAnsi="黑体" w:eastAsia="黑体" w:cs="黑体"/>
          <w:sz w:val="24"/>
          <w:szCs w:val="24"/>
        </w:rPr>
        <w:t>四、研究展望</w:t>
      </w:r>
    </w:p>
    <w:p w14:paraId="246172BC">
      <w:pPr>
        <w:spacing w:line="360" w:lineRule="auto"/>
        <w:ind w:firstLine="480" w:firstLineChars="200"/>
        <w:rPr>
          <w:rFonts w:ascii="黑体" w:hAnsi="黑体" w:eastAsia="黑体" w:cs="黑体"/>
          <w:sz w:val="24"/>
          <w:szCs w:val="24"/>
        </w:rPr>
      </w:pPr>
      <w:r>
        <w:rPr>
          <w:rFonts w:hint="eastAsia" w:ascii="黑体" w:hAnsi="黑体" w:eastAsia="黑体" w:cs="黑体"/>
          <w:sz w:val="24"/>
          <w:szCs w:val="24"/>
        </w:rPr>
        <w:t>（一）回归教育本质，思考学校作用</w:t>
      </w:r>
    </w:p>
    <w:p w14:paraId="497B51DD">
      <w:pPr>
        <w:spacing w:line="360" w:lineRule="auto"/>
        <w:ind w:firstLine="480" w:firstLineChars="200"/>
        <w:rPr>
          <w:rFonts w:ascii="宋体" w:hAnsi="宋体" w:eastAsia="宋体"/>
          <w:sz w:val="24"/>
          <w:szCs w:val="24"/>
        </w:rPr>
      </w:pPr>
      <w:r>
        <w:rPr>
          <w:rFonts w:ascii="宋体" w:hAnsi="宋体" w:eastAsia="宋体"/>
          <w:sz w:val="24"/>
          <w:szCs w:val="24"/>
        </w:rPr>
        <w:t>随着科学技术的不断迭代，教育信息化已进入全面深入发展阶段，未来学校的功能定位和未来教师的角色定位是我们必须思考的问题。同时随着课程改革的深入，越来越多的人已经认识到学校不再是教育资源唯一的提供者，学校的作用也不再是简单地教授知识，而要回答“培养什么人，怎样培养人”的问题。无边界学习的课程实践研究符合信息时代和知识社会对人的发展的新要求，体现了国际课程改革新趋势，是对教育本质的回归性思考和培养学生适应个人和社会发展需要的必备品格和关键能力的路径化回答。</w:t>
      </w:r>
    </w:p>
    <w:p w14:paraId="1B0074A3">
      <w:pPr>
        <w:spacing w:line="360" w:lineRule="auto"/>
        <w:ind w:firstLine="480" w:firstLineChars="200"/>
        <w:rPr>
          <w:rFonts w:ascii="黑体" w:hAnsi="黑体" w:eastAsia="黑体" w:cs="黑体"/>
          <w:sz w:val="24"/>
          <w:szCs w:val="24"/>
        </w:rPr>
      </w:pPr>
      <w:r>
        <w:rPr>
          <w:rFonts w:hint="eastAsia" w:ascii="黑体" w:hAnsi="黑体" w:eastAsia="黑体" w:cs="黑体"/>
          <w:sz w:val="24"/>
          <w:szCs w:val="24"/>
        </w:rPr>
        <w:t>（二）加强顶层设计，聚焦整体架构</w:t>
      </w:r>
    </w:p>
    <w:p w14:paraId="7B875386">
      <w:pPr>
        <w:spacing w:line="360" w:lineRule="auto"/>
        <w:ind w:firstLine="480" w:firstLineChars="200"/>
        <w:rPr>
          <w:rFonts w:ascii="宋体" w:hAnsi="宋体" w:eastAsia="宋体"/>
          <w:sz w:val="24"/>
          <w:szCs w:val="24"/>
        </w:rPr>
      </w:pPr>
      <w:r>
        <w:rPr>
          <w:rFonts w:ascii="宋体" w:hAnsi="宋体" w:eastAsia="宋体"/>
          <w:sz w:val="24"/>
          <w:szCs w:val="24"/>
        </w:rPr>
        <w:t>无边界学习视野下的课程实践研究在国内一部分中小学已进行过各具特色的校本化尝试，在学前教育领域研究较少，且较多聚焦一类活动或一个环节，缺少学校顶层设计和课程整体架构，后续研究可从构建育人机制和课程模型角度出发开展更具逻辑性、全面性、层次性的研究。根据研究热点分析，园本课程和教师专业发展近几年受到多位研究者的关注，后续研究可依托无边界学习的理念，开展园本课程的创建和师资队伍培养的研究。</w:t>
      </w:r>
    </w:p>
    <w:p w14:paraId="119C325F">
      <w:pPr>
        <w:spacing w:line="360" w:lineRule="auto"/>
        <w:ind w:firstLine="480" w:firstLineChars="200"/>
        <w:rPr>
          <w:rFonts w:ascii="黑体" w:hAnsi="黑体" w:eastAsia="黑体" w:cs="黑体"/>
          <w:sz w:val="24"/>
          <w:szCs w:val="24"/>
        </w:rPr>
      </w:pPr>
      <w:r>
        <w:rPr>
          <w:rFonts w:hint="eastAsia" w:ascii="黑体" w:hAnsi="黑体" w:eastAsia="黑体" w:cs="黑体"/>
          <w:sz w:val="24"/>
          <w:szCs w:val="24"/>
        </w:rPr>
        <w:t>（三）丰富理论建设，增强合作研究</w:t>
      </w:r>
    </w:p>
    <w:p w14:paraId="30450F33">
      <w:pPr>
        <w:spacing w:line="360" w:lineRule="auto"/>
        <w:ind w:firstLine="480" w:firstLineChars="200"/>
        <w:rPr>
          <w:rFonts w:ascii="宋体" w:hAnsi="宋体" w:eastAsia="宋体"/>
          <w:sz w:val="24"/>
          <w:szCs w:val="24"/>
        </w:rPr>
      </w:pPr>
      <w:r>
        <w:rPr>
          <w:rFonts w:hint="eastAsia" w:ascii="宋体" w:hAnsi="宋体" w:eastAsia="宋体"/>
          <w:sz w:val="24"/>
          <w:szCs w:val="24"/>
        </w:rPr>
        <w:t>在150篇有效文献中，实践研究文献约71.19%，文献理论研究文献约28.81%，目前我国缺乏较高质量的无边界学习理论相关的研究，还没有形成稳固全面的理论体系，需要更多专家、学者共同建构。</w:t>
      </w:r>
    </w:p>
    <w:p w14:paraId="6464E334">
      <w:pPr>
        <w:spacing w:line="360" w:lineRule="auto"/>
        <w:ind w:firstLine="480" w:firstLineChars="200"/>
        <w:rPr>
          <w:rFonts w:ascii="宋体" w:hAnsi="宋体" w:eastAsia="宋体"/>
          <w:sz w:val="24"/>
          <w:szCs w:val="24"/>
        </w:rPr>
      </w:pPr>
      <w:r>
        <w:rPr>
          <w:rFonts w:hint="eastAsia" w:ascii="宋体" w:hAnsi="宋体" w:eastAsia="宋体"/>
          <w:sz w:val="24"/>
          <w:szCs w:val="24"/>
        </w:rPr>
        <w:t>由作者合作图谱和机构合作图谱可知，各学者和发文机构以独立研究为主，较少开展合作研究，发文机构大部分来自各级各类学校。随着教育信息化的全面深入发展，我国当前已进入教育数字化转型阶段，无边界学习将通过智能教育服务的实现和技术对教育生态的全新重塑，全方位推进教育的转型与变革。因此我国无边界学习的研究需要计算机、互联网领域的专业人员共同参与，以期拓展研究视野，促进无边界学习在教育实践中的应用。</w:t>
      </w:r>
    </w:p>
    <w:p w14:paraId="1DA71A38">
      <w:pPr>
        <w:spacing w:line="360" w:lineRule="auto"/>
        <w:ind w:firstLine="480" w:firstLineChars="200"/>
        <w:rPr>
          <w:rFonts w:ascii="黑体" w:hAnsi="黑体" w:eastAsia="黑体" w:cs="黑体"/>
          <w:sz w:val="24"/>
          <w:szCs w:val="24"/>
        </w:rPr>
        <w:sectPr>
          <w:footerReference r:id="rId4" w:type="default"/>
          <w:footnotePr>
            <w:numRestart w:val="eachPage"/>
          </w:footnotePr>
          <w:endnotePr>
            <w:numFmt w:val="decimal"/>
          </w:endnotePr>
          <w:pgSz w:w="11906" w:h="16838"/>
          <w:pgMar w:top="1440" w:right="1800" w:bottom="1440" w:left="1800" w:header="851" w:footer="992" w:gutter="0"/>
          <w:cols w:space="425" w:num="1"/>
          <w:docGrid w:type="lines" w:linePitch="312" w:charSpace="0"/>
        </w:sectPr>
      </w:pPr>
    </w:p>
    <w:p w14:paraId="306E4858">
      <w:pPr>
        <w:spacing w:line="360" w:lineRule="auto"/>
        <w:rPr>
          <w:rFonts w:ascii="黑体" w:hAnsi="黑体" w:eastAsia="黑体" w:cs="黑体"/>
          <w:sz w:val="24"/>
          <w:szCs w:val="24"/>
        </w:rPr>
      </w:pPr>
      <w:r>
        <w:rPr>
          <w:rFonts w:hint="eastAsia" w:ascii="黑体" w:hAnsi="黑体" w:eastAsia="黑体" w:cs="黑体"/>
          <w:sz w:val="24"/>
          <w:szCs w:val="24"/>
        </w:rPr>
        <w:t>参考文献:</w:t>
      </w:r>
    </w:p>
    <w:p w14:paraId="11DA2C1E">
      <w:pPr>
        <w:numPr>
          <w:ilvl w:val="0"/>
          <w:numId w:val="2"/>
        </w:numPr>
        <w:spacing w:line="360" w:lineRule="auto"/>
        <w:ind w:firstLine="420" w:firstLineChars="200"/>
        <w:rPr>
          <w:rFonts w:ascii="宋体" w:hAnsi="宋体" w:eastAsia="宋体" w:cs="宋体"/>
        </w:rPr>
      </w:pPr>
      <w:r>
        <w:rPr>
          <w:rFonts w:hint="eastAsia" w:ascii="宋体" w:hAnsi="宋体" w:eastAsia="宋体" w:cs="宋体"/>
        </w:rPr>
        <w:t xml:space="preserve">荀渊. 高等教育全球化的愿景:从无边界教育到无边界学习[J]. 电化教育研究,2019(5):32-39. </w:t>
      </w:r>
    </w:p>
    <w:p w14:paraId="79DB2DB2">
      <w:pPr>
        <w:numPr>
          <w:ilvl w:val="0"/>
          <w:numId w:val="2"/>
        </w:numPr>
        <w:spacing w:line="360" w:lineRule="auto"/>
        <w:ind w:firstLine="420" w:firstLineChars="200"/>
        <w:rPr>
          <w:rFonts w:ascii="宋体" w:hAnsi="宋体" w:eastAsia="宋体" w:cs="宋体"/>
        </w:rPr>
      </w:pPr>
      <w:r>
        <w:rPr>
          <w:rFonts w:hint="eastAsia" w:ascii="宋体" w:hAnsi="宋体" w:eastAsia="宋体" w:cs="宋体"/>
        </w:rPr>
        <w:t>王超.无边界管理[J]. 经营与管理,2004,(01):19-20.</w:t>
      </w:r>
    </w:p>
    <w:p w14:paraId="68750BB5">
      <w:pPr>
        <w:numPr>
          <w:ilvl w:val="0"/>
          <w:numId w:val="2"/>
        </w:numPr>
        <w:spacing w:line="360" w:lineRule="auto"/>
        <w:ind w:firstLine="420" w:firstLineChars="200"/>
        <w:rPr>
          <w:rFonts w:ascii="宋体" w:hAnsi="宋体" w:eastAsia="宋体" w:cs="宋体"/>
        </w:rPr>
      </w:pPr>
      <w:r>
        <w:rPr>
          <w:rFonts w:hint="eastAsia" w:ascii="宋体" w:hAnsi="宋体" w:eastAsia="宋体" w:cs="宋体"/>
        </w:rPr>
        <w:t>詹韩琼. 论高中语文的无边界学习[D].华中师范大学,2012.</w:t>
      </w:r>
    </w:p>
    <w:p w14:paraId="6D4F1D4E">
      <w:pPr>
        <w:numPr>
          <w:ilvl w:val="0"/>
          <w:numId w:val="2"/>
        </w:numPr>
        <w:spacing w:line="360" w:lineRule="auto"/>
        <w:ind w:firstLine="420" w:firstLineChars="200"/>
        <w:rPr>
          <w:rFonts w:ascii="宋体" w:hAnsi="宋体" w:eastAsia="宋体" w:cs="宋体"/>
        </w:rPr>
      </w:pPr>
      <w:r>
        <w:rPr>
          <w:rFonts w:hint="eastAsia" w:ascii="宋体" w:hAnsi="宋体" w:eastAsia="宋体" w:cs="宋体"/>
        </w:rPr>
        <w:t>Cheng, Y. C. (2000). A CMI-triplization paradigm for reforming education in the new millennium. The International Journal of Educational Management, 14(4), 156-174.</w:t>
      </w:r>
    </w:p>
    <w:p w14:paraId="0F243186">
      <w:pPr>
        <w:numPr>
          <w:ilvl w:val="0"/>
          <w:numId w:val="2"/>
        </w:numPr>
        <w:spacing w:line="360" w:lineRule="auto"/>
        <w:ind w:firstLine="420" w:firstLineChars="200"/>
        <w:rPr>
          <w:rFonts w:ascii="宋体" w:hAnsi="宋体" w:eastAsia="宋体" w:cs="宋体"/>
        </w:rPr>
      </w:pPr>
      <w:r>
        <w:rPr>
          <w:rFonts w:hint="eastAsia" w:ascii="宋体" w:hAnsi="宋体" w:eastAsia="宋体" w:cs="宋体"/>
        </w:rPr>
        <w:t>胡泽文,孙建军,武夷山.国内知识图谱应用研究综述[J].图书情报工作, 2013, 57(3): 131 − 137.</w:t>
      </w:r>
    </w:p>
    <w:p w14:paraId="7A8CA2A4">
      <w:pPr>
        <w:numPr>
          <w:ilvl w:val="0"/>
          <w:numId w:val="2"/>
        </w:numPr>
        <w:spacing w:line="360" w:lineRule="auto"/>
        <w:ind w:firstLine="420" w:firstLineChars="200"/>
        <w:rPr>
          <w:rFonts w:ascii="宋体" w:hAnsi="宋体" w:eastAsia="宋体" w:cs="宋体"/>
        </w:rPr>
      </w:pPr>
      <w:r>
        <w:rPr>
          <w:rFonts w:hint="eastAsia" w:ascii="宋体" w:hAnsi="宋体" w:eastAsia="宋体" w:cs="宋体"/>
        </w:rPr>
        <w:t>郭继业.无边界学习的内蕴及教学实践[J].教育理论与实践,2022,42(20):47-50.</w:t>
      </w:r>
    </w:p>
    <w:p w14:paraId="004859EE">
      <w:pPr>
        <w:numPr>
          <w:ilvl w:val="0"/>
          <w:numId w:val="2"/>
        </w:numPr>
        <w:spacing w:line="360" w:lineRule="auto"/>
        <w:ind w:firstLine="420" w:firstLineChars="200"/>
        <w:rPr>
          <w:rFonts w:ascii="宋体" w:hAnsi="宋体" w:eastAsia="宋体" w:cs="宋体"/>
        </w:rPr>
      </w:pPr>
      <w:r>
        <w:rPr>
          <w:rFonts w:hint="eastAsia" w:ascii="宋体" w:hAnsi="宋体" w:eastAsia="宋体" w:cs="宋体"/>
        </w:rPr>
        <w:t>鲁志昌.无边界教育:教育的当代使命与未来样态[J].湖北教育(政务宣传),2019(12):31-33.</w:t>
      </w:r>
    </w:p>
    <w:p w14:paraId="72AEA5BF">
      <w:pPr>
        <w:numPr>
          <w:ilvl w:val="0"/>
          <w:numId w:val="2"/>
        </w:numPr>
        <w:spacing w:line="360" w:lineRule="auto"/>
        <w:ind w:firstLine="420" w:firstLineChars="200"/>
        <w:rPr>
          <w:rFonts w:ascii="宋体" w:hAnsi="宋体" w:eastAsia="宋体" w:cs="宋体"/>
        </w:rPr>
      </w:pPr>
      <w:r>
        <w:rPr>
          <w:rFonts w:hint="eastAsia" w:ascii="宋体" w:hAnsi="宋体" w:eastAsia="宋体" w:cs="宋体"/>
        </w:rPr>
        <w:t>郭志滨,金少良,黄琛.史家小学:基于博物馆资源的“无边界”课程[J].人民教育,2019,(Z1):54-57.</w:t>
      </w:r>
    </w:p>
    <w:p w14:paraId="311989A0">
      <w:pPr>
        <w:numPr>
          <w:ilvl w:val="0"/>
          <w:numId w:val="2"/>
        </w:numPr>
        <w:spacing w:line="360" w:lineRule="auto"/>
        <w:ind w:firstLine="420" w:firstLineChars="200"/>
        <w:rPr>
          <w:rFonts w:ascii="宋体" w:hAnsi="宋体" w:eastAsia="宋体" w:cs="宋体"/>
        </w:rPr>
      </w:pPr>
      <w:r>
        <w:rPr>
          <w:rFonts w:hint="eastAsia" w:ascii="宋体" w:hAnsi="宋体" w:eastAsia="宋体" w:cs="宋体"/>
        </w:rPr>
        <w:t>严金淑.无边界教育:大学文化资源的妙用[J].新课程(综合版),2014,No.149(02):39.</w:t>
      </w:r>
    </w:p>
    <w:p w14:paraId="3BC17CF1">
      <w:pPr>
        <w:spacing w:line="360" w:lineRule="auto"/>
        <w:rPr>
          <w:rFonts w:ascii="宋体" w:hAnsi="宋体" w:eastAsia="宋体" w:cs="宋体"/>
        </w:rPr>
      </w:pPr>
      <w:r>
        <w:rPr>
          <w:rFonts w:hint="eastAsia" w:ascii="宋体" w:hAnsi="宋体" w:eastAsia="宋体" w:cs="宋体"/>
        </w:rPr>
        <w:t>朱卫华.幼儿园“无边界学习”课程建设的思考和实践[J].好家长,2023(02):66-67.</w:t>
      </w:r>
    </w:p>
    <w:p w14:paraId="08E2FDC6">
      <w:pPr>
        <w:spacing w:line="360" w:lineRule="auto"/>
        <w:ind w:firstLine="420" w:firstLineChars="200"/>
        <w:rPr>
          <w:rFonts w:ascii="宋体" w:hAnsi="宋体" w:eastAsia="宋体" w:cs="宋体"/>
        </w:rPr>
      </w:pPr>
      <w:r>
        <w:rPr>
          <w:rFonts w:hint="eastAsia" w:ascii="宋体" w:hAnsi="宋体" w:eastAsia="宋体" w:cs="宋体"/>
        </w:rPr>
        <w:t>[10]尤众喜. 无边界学习及其支持和引导研究[D].华东师范大学,2005.</w:t>
      </w:r>
    </w:p>
    <w:p w14:paraId="072E4EB4">
      <w:pPr>
        <w:spacing w:line="360" w:lineRule="auto"/>
        <w:ind w:firstLine="420" w:firstLineChars="200"/>
        <w:rPr>
          <w:rFonts w:ascii="宋体" w:hAnsi="宋体" w:eastAsia="宋体" w:cs="宋体"/>
        </w:rPr>
      </w:pPr>
      <w:r>
        <w:rPr>
          <w:rFonts w:hint="eastAsia" w:ascii="宋体" w:hAnsi="宋体" w:eastAsia="宋体" w:cs="宋体"/>
        </w:rPr>
        <w:t>[11]深圳南山网.赤湾学校校长王小洪：探索“无边界学习”的应用及成效.</w:t>
      </w:r>
      <w:r>
        <w:rPr>
          <w:rFonts w:hint="eastAsia" w:ascii="宋体" w:hAnsi="宋体" w:eastAsia="宋体" w:cs="宋体"/>
          <w:sz w:val="24"/>
          <w:szCs w:val="24"/>
        </w:rPr>
        <w:t xml:space="preserve"> </w:t>
      </w:r>
      <w:r>
        <w:rPr>
          <w:rFonts w:hint="eastAsia" w:ascii="宋体" w:hAnsi="宋体" w:eastAsia="宋体" w:cs="宋体"/>
        </w:rPr>
        <w:t>[EB/OL](2023-4-5)</w:t>
      </w:r>
      <w:r>
        <w:rPr>
          <w:rFonts w:hint="eastAsia" w:ascii="宋体" w:hAnsi="宋体" w:eastAsia="宋体" w:cs="宋体"/>
          <w:sz w:val="24"/>
          <w:szCs w:val="24"/>
        </w:rPr>
        <w:t>.</w:t>
      </w:r>
      <w:r>
        <w:rPr>
          <w:rFonts w:hint="eastAsia" w:ascii="宋体" w:hAnsi="宋体" w:eastAsia="宋体" w:cs="宋体"/>
        </w:rPr>
        <w:t>http://inanshan.sznews.com/content/2020-06/04/content_23221151.htm</w:t>
      </w:r>
    </w:p>
    <w:p w14:paraId="54F27AB1">
      <w:pPr>
        <w:spacing w:line="360" w:lineRule="auto"/>
        <w:rPr>
          <w:rFonts w:hint="eastAsia" w:ascii="楷体" w:hAnsi="楷体" w:eastAsia="楷体" w:cs="楷体"/>
          <w:sz w:val="22"/>
        </w:rPr>
      </w:pPr>
    </w:p>
    <w:sectPr>
      <w:footnotePr>
        <w:numRestart w:val="eachPage"/>
      </w:footnotePr>
      <w:endnotePr>
        <w:numFmt w:val="decimal"/>
      </w:end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7F9A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46C9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CA46C9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2600F89B">
      <w:pPr>
        <w:pStyle w:val="5"/>
      </w:pPr>
      <w:r>
        <w:rPr>
          <w:rStyle w:val="10"/>
        </w:rPr>
        <w:t>[</w:t>
      </w:r>
      <w:r>
        <w:rPr>
          <w:rStyle w:val="10"/>
        </w:rPr>
        <w:footnoteRef/>
      </w:r>
      <w:r>
        <w:rPr>
          <w:rStyle w:val="10"/>
        </w:rPr>
        <w:t>]</w:t>
      </w:r>
      <w:r>
        <w:t xml:space="preserve"> </w:t>
      </w:r>
      <w:r>
        <w:rPr>
          <w:rFonts w:hint="eastAsia"/>
        </w:rPr>
        <w:t>荀渊</w:t>
      </w:r>
      <w:r>
        <w:t>. 高等教育全球化的愿景:从无边界教育到无边界学习[J]. 电化教育研究,2019(5):32-39. .</w:t>
      </w:r>
    </w:p>
  </w:footnote>
  <w:footnote w:id="1">
    <w:p w14:paraId="0E4E07D0">
      <w:pPr>
        <w:pStyle w:val="5"/>
      </w:pPr>
      <w:r>
        <w:rPr>
          <w:rStyle w:val="10"/>
        </w:rPr>
        <w:t>[</w:t>
      </w:r>
      <w:r>
        <w:rPr>
          <w:rStyle w:val="10"/>
        </w:rPr>
        <w:footnoteRef/>
      </w:r>
      <w:r>
        <w:rPr>
          <w:rStyle w:val="10"/>
        </w:rPr>
        <w:t>]</w:t>
      </w:r>
      <w:r>
        <w:t xml:space="preserve"> </w:t>
      </w:r>
      <w:r>
        <w:rPr>
          <w:rFonts w:hint="eastAsia"/>
        </w:rPr>
        <w:t>王超</w:t>
      </w:r>
      <w:r>
        <w:t>.无边界管理[J]. 经营与管理,2004,(01):19-20.</w:t>
      </w:r>
    </w:p>
  </w:footnote>
  <w:footnote w:id="2">
    <w:p w14:paraId="628E5E33">
      <w:pPr>
        <w:pStyle w:val="5"/>
      </w:pPr>
      <w:r>
        <w:rPr>
          <w:rStyle w:val="10"/>
        </w:rPr>
        <w:t>[</w:t>
      </w:r>
      <w:r>
        <w:rPr>
          <w:rStyle w:val="10"/>
        </w:rPr>
        <w:footnoteRef/>
      </w:r>
      <w:r>
        <w:rPr>
          <w:rStyle w:val="10"/>
        </w:rPr>
        <w:t>]</w:t>
      </w:r>
      <w:r>
        <w:t xml:space="preserve"> 詹韩琼. 论高中语文的无边界学习[D].华中师范大学,2012.</w:t>
      </w:r>
    </w:p>
  </w:footnote>
  <w:footnote w:id="3">
    <w:p w14:paraId="0AC0A7BE">
      <w:pPr>
        <w:pStyle w:val="5"/>
      </w:pPr>
      <w:r>
        <w:rPr>
          <w:rStyle w:val="10"/>
        </w:rPr>
        <w:t>[</w:t>
      </w:r>
      <w:r>
        <w:rPr>
          <w:rStyle w:val="10"/>
        </w:rPr>
        <w:footnoteRef/>
      </w:r>
      <w:r>
        <w:rPr>
          <w:rStyle w:val="10"/>
        </w:rPr>
        <w:t>]</w:t>
      </w:r>
      <w:r>
        <w:t xml:space="preserve"> Cheng, Y. C. (2000). A CMI-triplization paradigm for reforming education in the new millennium. The International Journal of Educational Management, 14(4), 156-174.</w:t>
      </w:r>
    </w:p>
  </w:footnote>
  <w:footnote w:id="4">
    <w:p w14:paraId="1BEFD601">
      <w:pPr>
        <w:pStyle w:val="5"/>
      </w:pPr>
      <w:r>
        <w:rPr>
          <w:rStyle w:val="10"/>
        </w:rPr>
        <w:t>[</w:t>
      </w:r>
      <w:r>
        <w:rPr>
          <w:rStyle w:val="10"/>
        </w:rPr>
        <w:footnoteRef/>
      </w:r>
      <w:r>
        <w:rPr>
          <w:rStyle w:val="10"/>
        </w:rPr>
        <w:t>]</w:t>
      </w:r>
      <w:r>
        <w:t xml:space="preserve"> </w:t>
      </w:r>
      <w:r>
        <w:rPr>
          <w:rFonts w:hint="eastAsia"/>
        </w:rPr>
        <w:t>胡泽文</w:t>
      </w:r>
      <w:r>
        <w:t xml:space="preserve">,孙建军,武夷山.国内知识图谱应用研究综述[J].图书情报工作, 2013, 57(3): 131 </w:t>
      </w:r>
      <w:r>
        <w:rPr>
          <w:rFonts w:hint="eastAsia" w:ascii="微软雅黑" w:hAnsi="微软雅黑" w:eastAsia="微软雅黑" w:cs="微软雅黑"/>
        </w:rPr>
        <w:t>−</w:t>
      </w:r>
      <w:r>
        <w:t xml:space="preserve"> 137.</w:t>
      </w:r>
    </w:p>
  </w:footnote>
  <w:footnote w:id="5">
    <w:p w14:paraId="5AF19DC2">
      <w:pPr>
        <w:pStyle w:val="5"/>
      </w:pPr>
      <w:r>
        <w:rPr>
          <w:rStyle w:val="10"/>
        </w:rPr>
        <w:t>[</w:t>
      </w:r>
      <w:r>
        <w:rPr>
          <w:rStyle w:val="10"/>
        </w:rPr>
        <w:footnoteRef/>
      </w:r>
      <w:r>
        <w:rPr>
          <w:rStyle w:val="10"/>
        </w:rPr>
        <w:t>]</w:t>
      </w:r>
      <w:r>
        <w:t xml:space="preserve"> </w:t>
      </w:r>
      <w:r>
        <w:rPr>
          <w:rFonts w:hint="eastAsia"/>
        </w:rPr>
        <w:t>郭继业</w:t>
      </w:r>
      <w:r>
        <w:t>.无边界学习的内蕴及教学实践[J].教育理论与实践,2022,42(20):47-50.</w:t>
      </w:r>
    </w:p>
  </w:footnote>
  <w:footnote w:id="6">
    <w:p w14:paraId="023DFA91">
      <w:pPr>
        <w:pStyle w:val="5"/>
      </w:pPr>
      <w:r>
        <w:rPr>
          <w:rStyle w:val="10"/>
        </w:rPr>
        <w:t>[</w:t>
      </w:r>
      <w:r>
        <w:rPr>
          <w:rStyle w:val="10"/>
        </w:rPr>
        <w:footnoteRef/>
      </w:r>
      <w:r>
        <w:rPr>
          <w:rStyle w:val="10"/>
        </w:rPr>
        <w:t>]</w:t>
      </w:r>
      <w:r>
        <w:t xml:space="preserve"> 鲁志昌.无边界教育:教育的当代使命与未来样态[J].湖北教育(政务宣传),2019(12):31-33.</w:t>
      </w:r>
    </w:p>
  </w:footnote>
  <w:footnote w:id="7">
    <w:p w14:paraId="1EC22D0C">
      <w:pPr>
        <w:pStyle w:val="5"/>
      </w:pPr>
      <w:r>
        <w:rPr>
          <w:rStyle w:val="10"/>
        </w:rPr>
        <w:t>[</w:t>
      </w:r>
      <w:r>
        <w:rPr>
          <w:rStyle w:val="10"/>
        </w:rPr>
        <w:footnoteRef/>
      </w:r>
      <w:r>
        <w:rPr>
          <w:rStyle w:val="10"/>
        </w:rPr>
        <w:t>]</w:t>
      </w:r>
      <w:r>
        <w:t xml:space="preserve"> </w:t>
      </w:r>
      <w:r>
        <w:rPr>
          <w:rFonts w:hint="eastAsia"/>
        </w:rPr>
        <w:t>郭志滨</w:t>
      </w:r>
      <w:r>
        <w:t>,金少良,黄琛.史家小学:基于博物馆资源的“无边界”课程[J].人民教育,2019,(Z1):54-57.</w:t>
      </w:r>
    </w:p>
  </w:footnote>
  <w:footnote w:id="8">
    <w:p w14:paraId="1A46EAD3">
      <w:pPr>
        <w:pStyle w:val="5"/>
      </w:pPr>
      <w:r>
        <w:rPr>
          <w:rStyle w:val="10"/>
        </w:rPr>
        <w:t>[</w:t>
      </w:r>
      <w:r>
        <w:rPr>
          <w:rStyle w:val="10"/>
        </w:rPr>
        <w:footnoteRef/>
      </w:r>
      <w:r>
        <w:rPr>
          <w:rStyle w:val="10"/>
        </w:rPr>
        <w:t>]</w:t>
      </w:r>
      <w:r>
        <w:t xml:space="preserve"> 严金淑.无边界教育:大学文化资源的妙用[J].新课程(综合版),2014,No.149(02):39.</w:t>
      </w:r>
    </w:p>
  </w:footnote>
  <w:footnote w:id="9">
    <w:p w14:paraId="2DAB5361">
      <w:pPr>
        <w:pStyle w:val="5"/>
      </w:pPr>
      <w:r>
        <w:rPr>
          <w:rStyle w:val="10"/>
        </w:rPr>
        <w:t>[</w:t>
      </w:r>
      <w:r>
        <w:rPr>
          <w:rStyle w:val="10"/>
        </w:rPr>
        <w:footnoteRef/>
      </w:r>
      <w:r>
        <w:rPr>
          <w:rStyle w:val="10"/>
        </w:rPr>
        <w:t>]</w:t>
      </w:r>
      <w:r>
        <w:t xml:space="preserve"> 朱卫华.幼儿园“无边界学习”课程建设的思考和实践[J].好家长,2023(02):66-67.</w:t>
      </w:r>
    </w:p>
  </w:footnote>
  <w:footnote w:id="10">
    <w:p w14:paraId="20AA88F5">
      <w:pPr>
        <w:pStyle w:val="5"/>
      </w:pPr>
      <w:r>
        <w:rPr>
          <w:rStyle w:val="10"/>
        </w:rPr>
        <w:t>[</w:t>
      </w:r>
      <w:r>
        <w:rPr>
          <w:rStyle w:val="10"/>
        </w:rPr>
        <w:footnoteRef/>
      </w:r>
      <w:r>
        <w:rPr>
          <w:rStyle w:val="10"/>
        </w:rPr>
        <w:t>]</w:t>
      </w:r>
      <w:r>
        <w:t xml:space="preserve"> </w:t>
      </w:r>
      <w:r>
        <w:rPr>
          <w:rFonts w:hint="eastAsia"/>
        </w:rPr>
        <w:t>注：Strength表示突现强度，Begin表示突现性开始年份，End表示突现性终止年份。</w:t>
      </w:r>
    </w:p>
  </w:footnote>
  <w:footnote w:id="11">
    <w:p w14:paraId="4954D4E1">
      <w:pPr>
        <w:pStyle w:val="5"/>
      </w:pPr>
      <w:r>
        <w:rPr>
          <w:rStyle w:val="10"/>
        </w:rPr>
        <w:t>[</w:t>
      </w:r>
      <w:r>
        <w:rPr>
          <w:rStyle w:val="10"/>
        </w:rPr>
        <w:footnoteRef/>
      </w:r>
      <w:r>
        <w:rPr>
          <w:rStyle w:val="10"/>
        </w:rPr>
        <w:t>]</w:t>
      </w:r>
      <w:r>
        <w:t xml:space="preserve"> </w:t>
      </w:r>
      <w:r>
        <w:rPr>
          <w:rFonts w:hint="eastAsia"/>
        </w:rPr>
        <w:t>尤众喜. 无边界学习及其支持和引导研究[D].华东师范大学,2005.</w:t>
      </w:r>
    </w:p>
  </w:footnote>
  <w:footnote w:id="12">
    <w:p w14:paraId="56778637">
      <w:pPr>
        <w:pStyle w:val="5"/>
      </w:pPr>
      <w:r>
        <w:rPr>
          <w:rStyle w:val="10"/>
        </w:rPr>
        <w:t>[</w:t>
      </w:r>
      <w:r>
        <w:rPr>
          <w:rStyle w:val="10"/>
        </w:rPr>
        <w:footnoteRef/>
      </w:r>
      <w:r>
        <w:rPr>
          <w:rStyle w:val="10"/>
        </w:rPr>
        <w:t>]</w:t>
      </w:r>
      <w:r>
        <w:t xml:space="preserve"> </w:t>
      </w:r>
      <w:bookmarkStart w:id="3" w:name="_Hlk132578287"/>
      <w:r>
        <w:rPr>
          <w:rFonts w:hint="eastAsia"/>
        </w:rPr>
        <w:t>深圳南山网.赤湾学校校长王小洪：探索“无边界学习”的应用及成效.</w:t>
      </w:r>
      <w:r>
        <w:rPr>
          <w:rFonts w:ascii="宋体" w:hAnsi="宋体" w:eastAsia="宋体"/>
          <w:sz w:val="24"/>
          <w:szCs w:val="24"/>
        </w:rPr>
        <w:t xml:space="preserve"> </w:t>
      </w:r>
      <w:r>
        <w:rPr>
          <w:rFonts w:hint="eastAsia"/>
        </w:rPr>
        <w:t>[EB/OL](2023-4-5)</w:t>
      </w:r>
      <w:r>
        <w:rPr>
          <w:rFonts w:ascii="宋体" w:hAnsi="宋体" w:eastAsia="宋体"/>
          <w:sz w:val="24"/>
          <w:szCs w:val="24"/>
        </w:rPr>
        <w:t>.</w:t>
      </w:r>
      <w:r>
        <w:t>http://inanshan.sznews.com/content/2020-06/04/content_23221151.htm</w:t>
      </w:r>
      <w:bookmarkEnd w:id="3"/>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A88DA"/>
    <w:multiLevelType w:val="singleLevel"/>
    <w:tmpl w:val="9C3A88DA"/>
    <w:lvl w:ilvl="0" w:tentative="0">
      <w:start w:val="1"/>
      <w:numFmt w:val="decimal"/>
      <w:lvlText w:val="[%1]"/>
      <w:lvlJc w:val="left"/>
      <w:pPr>
        <w:tabs>
          <w:tab w:val="left" w:pos="312"/>
        </w:tabs>
      </w:pPr>
    </w:lvl>
  </w:abstractNum>
  <w:abstractNum w:abstractNumId="1">
    <w:nsid w:val="1B400890"/>
    <w:multiLevelType w:val="singleLevel"/>
    <w:tmpl w:val="1B400890"/>
    <w:lvl w:ilvl="0" w:tentative="0">
      <w:start w:val="1"/>
      <w:numFmt w:val="decimal"/>
      <w:suff w:val="nothing"/>
      <w:lvlText w:val="%1、"/>
      <w:lvlJc w:val="left"/>
      <w:pPr>
        <w:ind w:left="421"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Restart w:val="eachPage"/>
    <w:footnote w:id="26"/>
    <w:footnote w:id="27"/>
  </w:footnotePr>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diZTI3YTVmN2Q3ZTdlZTdjYzU3NTE5M2M2ZWIxZTgifQ=="/>
  </w:docVars>
  <w:rsids>
    <w:rsidRoot w:val="0036783C"/>
    <w:rsid w:val="00075FCD"/>
    <w:rsid w:val="00163052"/>
    <w:rsid w:val="001A3FA9"/>
    <w:rsid w:val="00320493"/>
    <w:rsid w:val="00354FB9"/>
    <w:rsid w:val="0036783C"/>
    <w:rsid w:val="003D68E7"/>
    <w:rsid w:val="005101A4"/>
    <w:rsid w:val="00537BF9"/>
    <w:rsid w:val="005727B8"/>
    <w:rsid w:val="005863BE"/>
    <w:rsid w:val="008708D2"/>
    <w:rsid w:val="00934D5A"/>
    <w:rsid w:val="00A044B6"/>
    <w:rsid w:val="00BF4658"/>
    <w:rsid w:val="00C10BD7"/>
    <w:rsid w:val="00C24D2C"/>
    <w:rsid w:val="00C47655"/>
    <w:rsid w:val="00C71C21"/>
    <w:rsid w:val="00CB2DBF"/>
    <w:rsid w:val="00CD2402"/>
    <w:rsid w:val="00F93050"/>
    <w:rsid w:val="0B093D05"/>
    <w:rsid w:val="0E6E5989"/>
    <w:rsid w:val="0E7E7AEE"/>
    <w:rsid w:val="14BD2949"/>
    <w:rsid w:val="1D5936F8"/>
    <w:rsid w:val="22EB3F37"/>
    <w:rsid w:val="29D347D7"/>
    <w:rsid w:val="2B620AE9"/>
    <w:rsid w:val="2CB6127A"/>
    <w:rsid w:val="2FD22FA5"/>
    <w:rsid w:val="374620C6"/>
    <w:rsid w:val="4E2B03A9"/>
    <w:rsid w:val="5E2C6C63"/>
    <w:rsid w:val="640E2685"/>
    <w:rsid w:val="68767DC5"/>
    <w:rsid w:val="71625B76"/>
    <w:rsid w:val="72255653"/>
    <w:rsid w:val="7EB73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semiHidden/>
    <w:unhideWhenUsed/>
    <w:qFormat/>
    <w:uiPriority w:val="99"/>
    <w:pPr>
      <w:snapToGrid w:val="0"/>
      <w:jc w:val="left"/>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3"/>
    <w:semiHidden/>
    <w:unhideWhenUsed/>
    <w:qFormat/>
    <w:uiPriority w:val="99"/>
    <w:pPr>
      <w:snapToGrid w:val="0"/>
      <w:jc w:val="left"/>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ndnote reference"/>
    <w:basedOn w:val="8"/>
    <w:semiHidden/>
    <w:unhideWhenUsed/>
    <w:qFormat/>
    <w:uiPriority w:val="99"/>
    <w:rPr>
      <w:vertAlign w:val="superscript"/>
    </w:rPr>
  </w:style>
  <w:style w:type="character" w:styleId="10">
    <w:name w:val="footnote reference"/>
    <w:basedOn w:val="8"/>
    <w:semiHidden/>
    <w:unhideWhenUsed/>
    <w:qFormat/>
    <w:uiPriority w:val="99"/>
    <w:rPr>
      <w:vertAlign w:val="superscript"/>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 w:type="character" w:customStyle="1" w:styleId="13">
    <w:name w:val="脚注文本 字符"/>
    <w:basedOn w:val="8"/>
    <w:link w:val="5"/>
    <w:semiHidden/>
    <w:qFormat/>
    <w:uiPriority w:val="99"/>
    <w:rPr>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3CF1C0-069C-42A9-B9B6-5C08DC4556DF}">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6087</Words>
  <Characters>6785</Characters>
  <Lines>50</Lines>
  <Paragraphs>14</Paragraphs>
  <TotalTime>9</TotalTime>
  <ScaleCrop>false</ScaleCrop>
  <LinksUpToDate>false</LinksUpToDate>
  <CharactersWithSpaces>6847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2023-06-13T23:59:00Z</dcterms:created>
  <dc:creator>CHEN Huang</dc:creator>
  <cp:lastModifiedBy>兰玉荣</cp:lastModifiedBy>
  <cp:lastPrinted>2025-06-09T07:24:00Z</cp:lastPrinted>
  <dcterms:modified xsi:type="dcterms:W3CDTF">2025-06-13T04:47:39Z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D5906488EC6D45E48C7FB052F79C2A41_13</vt:lpwstr>
  </property>
  <property fmtid="{D5CDD505-2E9C-101B-9397-08002B2CF9AE}" pid="4" name="KSOTemplateDocerSaveRecord">
    <vt:lpwstr>eyJoZGlkIjoiNDU4NGQ2YzAwNjg4NDc0NGM0Y2E5MzFlYjM1MWY5YmEiLCJ1c2VySWQiOiIxNjAxOTk2NzI4In0=</vt:lpwstr>
  </property>
</Properties>
</file>