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0E6D22">
      <w:pPr>
        <w:jc w:val="center"/>
        <w:rPr>
          <w:rFonts w:hint="default"/>
          <w:lang w:val="en-US" w:eastAsia="zh-CN"/>
        </w:rPr>
      </w:pPr>
      <w:r>
        <w:rPr>
          <w:rFonts w:hint="eastAsia"/>
          <w:lang w:val="en-US" w:eastAsia="zh-CN"/>
        </w:rPr>
        <w:t>校本化视域下语文与戏剧相结合的跨学科项目化学习实践研究</w:t>
      </w:r>
    </w:p>
    <w:p w14:paraId="4788CAB8">
      <w:pPr>
        <w:jc w:val="center"/>
        <w:rPr>
          <w:rFonts w:hint="eastAsia"/>
          <w:lang w:val="en-US" w:eastAsia="zh-CN"/>
        </w:rPr>
      </w:pPr>
      <w:r>
        <w:rPr>
          <w:rFonts w:hint="eastAsia"/>
          <w:lang w:val="en-US" w:eastAsia="zh-CN"/>
        </w:rPr>
        <w:t>——从“整本书阅读”《骆驼祥子》到“年级大戏”《骆驼祥子》</w:t>
      </w:r>
    </w:p>
    <w:p w14:paraId="7C278DCD">
      <w:pPr>
        <w:jc w:val="center"/>
        <w:rPr>
          <w:rFonts w:hint="eastAsia"/>
          <w:lang w:val="en-US" w:eastAsia="zh-CN"/>
        </w:rPr>
      </w:pPr>
      <w:r>
        <w:rPr>
          <w:rFonts w:hint="eastAsia"/>
          <w:lang w:val="en-US" w:eastAsia="zh-CN"/>
        </w:rPr>
        <w:t>艾迪</w:t>
      </w:r>
    </w:p>
    <w:p w14:paraId="08503310">
      <w:pPr>
        <w:jc w:val="center"/>
        <w:rPr>
          <w:rFonts w:hint="default"/>
          <w:lang w:val="en-US" w:eastAsia="zh-CN"/>
        </w:rPr>
      </w:pPr>
      <w:r>
        <w:rPr>
          <w:rFonts w:hint="eastAsia"/>
          <w:lang w:val="en-US" w:eastAsia="zh-CN"/>
        </w:rPr>
        <w:t>上海市康健外国语实验中学</w:t>
      </w:r>
    </w:p>
    <w:p w14:paraId="07F88CB2">
      <w:pPr>
        <w:pStyle w:val="10"/>
        <w:ind w:left="0" w:leftChars="0" w:firstLine="420" w:firstLineChars="200"/>
        <w:jc w:val="both"/>
        <w:rPr>
          <w:rFonts w:hint="default" w:ascii="宋体" w:hAnsi="宋体" w:eastAsia="宋体"/>
          <w:lang w:val="en-US" w:eastAsia="zh-CN"/>
        </w:rPr>
      </w:pPr>
      <w:r>
        <w:rPr>
          <w:rFonts w:hint="eastAsia" w:ascii="宋体" w:hAnsi="宋体" w:eastAsia="宋体"/>
          <w:lang w:val="en-US" w:eastAsia="zh-CN"/>
        </w:rPr>
        <w:t>【摘要】将《义务教育语文课程标准》（2022年版）拓展型学习任务群中的“整本书阅读”和“跨学科学习”相结合，将语文课程与校本课程相结合，开展从“整本书阅读”《骆驼祥子》到“年级大戏”《骆驼祥子》的跨学科项目化学习。</w:t>
      </w:r>
      <w:r>
        <w:rPr>
          <w:rFonts w:hint="eastAsia" w:ascii="宋体" w:hAnsi="宋体" w:eastAsia="宋体"/>
        </w:rPr>
        <w:t>这是对语文</w:t>
      </w:r>
      <w:r>
        <w:rPr>
          <w:rFonts w:hint="eastAsia" w:ascii="宋体" w:hAnsi="宋体" w:eastAsia="宋体"/>
          <w:lang w:val="en-US" w:eastAsia="zh-CN"/>
        </w:rPr>
        <w:t>课程</w:t>
      </w:r>
      <w:r>
        <w:rPr>
          <w:rFonts w:hint="eastAsia" w:ascii="宋体" w:hAnsi="宋体" w:eastAsia="宋体"/>
        </w:rPr>
        <w:t>中“</w:t>
      </w:r>
      <w:r>
        <w:rPr>
          <w:rFonts w:hint="eastAsia" w:ascii="宋体" w:hAnsi="宋体" w:eastAsia="宋体"/>
          <w:lang w:val="en-US" w:eastAsia="zh-CN"/>
        </w:rPr>
        <w:t>整本书</w:t>
      </w:r>
      <w:r>
        <w:rPr>
          <w:rFonts w:hint="eastAsia" w:ascii="宋体" w:hAnsi="宋体" w:eastAsia="宋体"/>
        </w:rPr>
        <w:t>”阅读路径的深入实践，也是对学校“戏剧课程”向纵深发展的有益尝试。</w:t>
      </w:r>
    </w:p>
    <w:p w14:paraId="17A6BF7A">
      <w:pPr>
        <w:pStyle w:val="10"/>
        <w:ind w:left="0" w:leftChars="0" w:firstLine="420" w:firstLineChars="200"/>
        <w:jc w:val="both"/>
        <w:rPr>
          <w:rFonts w:hint="default" w:ascii="宋体" w:hAnsi="宋体" w:eastAsia="宋体"/>
          <w:lang w:val="en-US" w:eastAsia="zh-CN"/>
        </w:rPr>
      </w:pPr>
      <w:r>
        <w:rPr>
          <w:rFonts w:hint="eastAsia" w:ascii="宋体" w:hAnsi="宋体" w:eastAsia="宋体"/>
          <w:lang w:val="en-US" w:eastAsia="zh-CN"/>
        </w:rPr>
        <w:t>【关键词】 国家课程 校本课程 跨学科项目化学习 整本书阅读 拓展型学习任务群</w:t>
      </w:r>
    </w:p>
    <w:p w14:paraId="518AE014">
      <w:pPr>
        <w:pStyle w:val="10"/>
        <w:jc w:val="both"/>
        <w:rPr>
          <w:rFonts w:hint="default" w:ascii="宋体" w:hAnsi="宋体" w:eastAsia="宋体"/>
          <w:lang w:val="en-US" w:eastAsia="zh-CN"/>
        </w:rPr>
      </w:pPr>
    </w:p>
    <w:p w14:paraId="73BF1923">
      <w:pPr>
        <w:jc w:val="left"/>
        <w:rPr>
          <w:rFonts w:hint="default"/>
          <w:lang w:val="en-US" w:eastAsia="zh-CN"/>
        </w:rPr>
      </w:pPr>
      <w:r>
        <w:rPr>
          <w:rFonts w:hint="eastAsia"/>
          <w:lang w:val="en-US" w:eastAsia="zh-CN"/>
        </w:rPr>
        <w:t>一．背景与问题</w:t>
      </w:r>
    </w:p>
    <w:p w14:paraId="64AEC315">
      <w:pPr>
        <w:ind w:firstLine="420"/>
        <w:rPr>
          <w:rFonts w:hint="eastAsia" w:ascii="Calibri" w:hAnsi="Calibri" w:eastAsia="宋体" w:cs="Calibri"/>
          <w:szCs w:val="21"/>
        </w:rPr>
      </w:pPr>
      <w:r>
        <w:rPr>
          <w:rFonts w:ascii="Calibri" w:hAnsi="Calibri" w:eastAsia="宋体" w:cs="Calibri"/>
          <w:szCs w:val="21"/>
        </w:rPr>
        <w:t xml:space="preserve">在“五育融合”的教育背景下，国家出台《义务教育课程方案 </w:t>
      </w:r>
      <w:r>
        <w:rPr>
          <w:rFonts w:hint="eastAsia" w:ascii="Calibri" w:hAnsi="Calibri" w:eastAsia="宋体" w:cs="Calibri"/>
          <w:szCs w:val="21"/>
        </w:rPr>
        <w:t>（</w:t>
      </w:r>
      <w:r>
        <w:rPr>
          <w:rFonts w:ascii="Calibri" w:hAnsi="Calibri" w:eastAsia="宋体" w:cs="Calibri"/>
          <w:szCs w:val="21"/>
        </w:rPr>
        <w:t>2022 版</w:t>
      </w:r>
      <w:r>
        <w:rPr>
          <w:rFonts w:hint="eastAsia" w:ascii="Calibri" w:hAnsi="Calibri" w:eastAsia="宋体" w:cs="Calibri"/>
          <w:szCs w:val="21"/>
        </w:rPr>
        <w:t>）</w:t>
      </w:r>
      <w:r>
        <w:rPr>
          <w:rFonts w:ascii="Calibri" w:hAnsi="Calibri" w:eastAsia="宋体" w:cs="Calibri"/>
          <w:szCs w:val="21"/>
        </w:rPr>
        <w:t>》</w:t>
      </w:r>
      <w:r>
        <w:rPr>
          <w:rFonts w:hint="eastAsia" w:ascii="Calibri" w:hAnsi="Calibri" w:eastAsia="宋体" w:cs="Calibri"/>
          <w:szCs w:val="21"/>
        </w:rPr>
        <w:t>，</w:t>
      </w:r>
      <w:r>
        <w:rPr>
          <w:rFonts w:ascii="Calibri" w:hAnsi="Calibri" w:eastAsia="宋体" w:cs="Calibri"/>
          <w:szCs w:val="21"/>
        </w:rPr>
        <w:t>将跨学科主题学习作为国家课程改革力推的重要学习方式</w:t>
      </w:r>
      <w:r>
        <w:rPr>
          <w:rFonts w:hint="eastAsia" w:ascii="Calibri" w:hAnsi="Calibri" w:eastAsia="宋体" w:cs="Calibri"/>
          <w:szCs w:val="21"/>
        </w:rPr>
        <w:t>。</w:t>
      </w:r>
    </w:p>
    <w:p w14:paraId="3160834A">
      <w:pPr>
        <w:ind w:firstLine="420"/>
        <w:rPr>
          <w:rFonts w:ascii="Calibri" w:hAnsi="Calibri" w:eastAsia="宋体" w:cs="Calibri"/>
          <w:szCs w:val="21"/>
        </w:rPr>
      </w:pPr>
      <w:r>
        <w:rPr>
          <w:rFonts w:ascii="Calibri" w:hAnsi="Calibri" w:eastAsia="宋体" w:cs="Calibri"/>
          <w:szCs w:val="21"/>
        </w:rPr>
        <w:t>2022年版《义务教育语文课程标准》</w:t>
      </w:r>
      <w:r>
        <w:rPr>
          <w:rFonts w:hint="eastAsia" w:ascii="Calibri" w:hAnsi="Calibri" w:eastAsia="宋体" w:cs="Calibri"/>
          <w:szCs w:val="21"/>
          <w:lang w:val="en-US" w:eastAsia="zh-CN"/>
        </w:rPr>
        <w:t>中的</w:t>
      </w:r>
      <w:r>
        <w:rPr>
          <w:rFonts w:hint="eastAsia" w:ascii="宋体" w:hAnsi="宋体" w:eastAsia="宋体"/>
          <w:lang w:val="en-US" w:eastAsia="zh-CN"/>
        </w:rPr>
        <w:t>拓展型学习任务群包括“整本书阅读”和“跨学科学习”。</w:t>
      </w:r>
    </w:p>
    <w:p w14:paraId="602851A7">
      <w:pPr>
        <w:numPr>
          <w:ilvl w:val="0"/>
          <w:numId w:val="0"/>
        </w:numPr>
        <w:tabs>
          <w:tab w:val="left" w:pos="312"/>
        </w:tabs>
        <w:ind w:firstLine="420"/>
        <w:rPr>
          <w:rFonts w:hint="eastAsia"/>
          <w:b w:val="0"/>
          <w:lang w:val="en-US" w:eastAsia="zh-CN"/>
        </w:rPr>
      </w:pPr>
      <w:r>
        <w:rPr>
          <w:rFonts w:hint="eastAsia" w:ascii="Calibri" w:hAnsi="Calibri" w:eastAsia="宋体" w:cs="Calibri"/>
          <w:szCs w:val="21"/>
          <w:lang w:val="en-US" w:eastAsia="zh-CN"/>
        </w:rPr>
        <w:t>我校校本课程中形式丰富、深受学生喜爱的戏剧课程为跨学科项目化学习提供了真实的语用情境和有力的技术支持。</w:t>
      </w:r>
      <w:r>
        <w:rPr>
          <w:rFonts w:hint="eastAsia"/>
          <w:b w:val="0"/>
          <w:lang w:val="en-US" w:eastAsia="zh-CN"/>
        </w:rPr>
        <w:t>我校七年级学生喜爱阅读小说和表演戏剧。学校七年级语文课程每周设有一节阅读课，七年级戏剧课程每两周设有一节戏剧通识课。七年级部分学生是学校中英文戏剧社团、戏剧写作社团的骨干。七年级学生之间的矛盾冲突常常来自于过度坚持己见，不会合作分享，不够尊重他人，缺少责任意识。在学情分析的基础上，探寻语文课程“整本书阅读”的有效阅读路径，让戏剧美育“飞入寻常百姓家”，照亮更多的学生，帮助学生树立正确的人生观、价值观和世界观，从整本书《骆驼祥子》到年级大戏《骆驼祥子》的跨学科项目化学习很有意义。</w:t>
      </w:r>
    </w:p>
    <w:p w14:paraId="6EF0F1A1">
      <w:pPr>
        <w:ind w:firstLine="420"/>
        <w:rPr>
          <w:rFonts w:hint="default" w:ascii="Calibri" w:hAnsi="Calibri" w:eastAsia="宋体" w:cs="Calibri"/>
          <w:szCs w:val="21"/>
          <w:lang w:val="en-US" w:eastAsia="zh-CN"/>
        </w:rPr>
      </w:pPr>
      <w:r>
        <w:rPr>
          <w:rFonts w:hint="eastAsia" w:ascii="Calibri" w:hAnsi="Calibri" w:eastAsia="宋体" w:cs="Calibri"/>
          <w:szCs w:val="21"/>
          <w:lang w:val="en-US" w:eastAsia="zh-CN"/>
        </w:rPr>
        <w:t>当前基于语文学科的跨学科项目化学习</w:t>
      </w:r>
      <w:r>
        <w:rPr>
          <w:rFonts w:hint="eastAsia" w:ascii="Calibri" w:hAnsi="Calibri" w:eastAsia="宋体" w:cs="Calibri"/>
          <w:szCs w:val="21"/>
        </w:rPr>
        <w:t>出现了一定程度上的语文学科性质偏失</w:t>
      </w:r>
      <w:r>
        <w:rPr>
          <w:rFonts w:hint="eastAsia" w:ascii="Calibri" w:hAnsi="Calibri" w:eastAsia="宋体" w:cs="Calibri"/>
          <w:szCs w:val="21"/>
          <w:lang w:val="en-US" w:eastAsia="zh-CN"/>
        </w:rPr>
        <w:t>的</w:t>
      </w:r>
      <w:r>
        <w:rPr>
          <w:rFonts w:hint="eastAsia" w:ascii="Calibri" w:hAnsi="Calibri" w:eastAsia="宋体" w:cs="Calibri"/>
          <w:szCs w:val="21"/>
        </w:rPr>
        <w:t>现象。</w:t>
      </w:r>
    </w:p>
    <w:p w14:paraId="50423E9E">
      <w:pPr>
        <w:rPr>
          <w:rFonts w:ascii="Calibri" w:hAnsi="Calibri" w:eastAsia="宋体" w:cs="Calibri"/>
          <w:szCs w:val="21"/>
        </w:rPr>
      </w:pPr>
      <w:r>
        <w:rPr>
          <w:rFonts w:hint="eastAsia" w:ascii="Calibri" w:hAnsi="Calibri" w:eastAsia="宋体" w:cs="Calibri"/>
          <w:szCs w:val="21"/>
        </w:rPr>
        <w:t>笔者要实践研究的</w:t>
      </w:r>
      <w:r>
        <w:rPr>
          <w:rFonts w:hint="eastAsia" w:ascii="Calibri" w:hAnsi="Calibri" w:eastAsia="宋体" w:cs="Calibri"/>
          <w:szCs w:val="21"/>
          <w:lang w:val="en-US" w:eastAsia="zh-CN"/>
        </w:rPr>
        <w:t>语文课程与戏剧课程相结合的</w:t>
      </w:r>
      <w:r>
        <w:rPr>
          <w:rFonts w:hint="eastAsia" w:ascii="Calibri" w:hAnsi="Calibri" w:eastAsia="宋体" w:cs="Calibri"/>
          <w:szCs w:val="21"/>
        </w:rPr>
        <w:t>跨学科项目化学习</w:t>
      </w:r>
      <w:r>
        <w:rPr>
          <w:rFonts w:hint="eastAsia" w:ascii="Calibri" w:hAnsi="Calibri" w:eastAsia="宋体" w:cs="Calibri"/>
          <w:szCs w:val="21"/>
          <w:lang w:val="en-US" w:eastAsia="zh-CN"/>
        </w:rPr>
        <w:t>是以语文学科为核心，这两门课程是有机整合，又是独立存在的。</w:t>
      </w:r>
    </w:p>
    <w:p w14:paraId="7A9222D0">
      <w:pPr>
        <w:tabs>
          <w:tab w:val="left" w:pos="312"/>
        </w:tabs>
        <w:rPr>
          <w:rFonts w:hint="default" w:eastAsiaTheme="minorEastAsia"/>
          <w:b w:val="0"/>
          <w:lang w:val="en-US" w:eastAsia="zh-CN"/>
        </w:rPr>
      </w:pPr>
      <w:r>
        <w:rPr>
          <w:rFonts w:hint="eastAsia"/>
          <w:b w:val="0"/>
          <w:lang w:val="en-US" w:eastAsia="zh-CN"/>
        </w:rPr>
        <w:t>二．</w:t>
      </w:r>
      <w:r>
        <w:rPr>
          <w:rFonts w:hint="eastAsia"/>
          <w:lang w:val="en-US" w:eastAsia="zh-CN"/>
        </w:rPr>
        <w:t>校本化视域下语文与戏剧相结合的跨学科项目化学习</w:t>
      </w:r>
      <w:r>
        <w:rPr>
          <w:rFonts w:hint="eastAsia"/>
          <w:b w:val="0"/>
          <w:lang w:val="en-US" w:eastAsia="zh-CN"/>
        </w:rPr>
        <w:t>的实践探索</w:t>
      </w:r>
    </w:p>
    <w:p w14:paraId="420DEEA1">
      <w:pPr>
        <w:tabs>
          <w:tab w:val="left" w:pos="312"/>
        </w:tabs>
        <w:ind w:firstLine="420" w:firstLineChars="200"/>
        <w:rPr>
          <w:rFonts w:hint="eastAsia"/>
          <w:b w:val="0"/>
        </w:rPr>
      </w:pPr>
      <w:r>
        <w:rPr>
          <w:rFonts w:hint="eastAsia" w:ascii="Calibri" w:hAnsi="Calibri" w:eastAsia="宋体" w:cs="Calibri"/>
          <w:szCs w:val="21"/>
          <w:lang w:val="en-US" w:eastAsia="zh-CN"/>
        </w:rPr>
        <w:t>结合本校校本课程中的戏剧课程，笔者所在的七年级语文备课组与全体学生一起开展了《年级大戏&lt;骆驼祥子&gt;》跨学科项目化学习。该项目化学习以语文为核心学科，以校本课程——戏剧课程为关联学科，</w:t>
      </w:r>
      <w:r>
        <w:rPr>
          <w:rFonts w:hint="eastAsia"/>
          <w:b w:val="0"/>
        </w:rPr>
        <w:t>通过“编导演”一体的戏剧活动创设情境，通过多层次的任务，完成初读</w:t>
      </w:r>
      <w:r>
        <w:rPr>
          <w:rFonts w:hint="eastAsia"/>
          <w:b w:val="0"/>
          <w:lang w:val="en-US" w:eastAsia="zh-CN"/>
        </w:rPr>
        <w:t>名著</w:t>
      </w:r>
      <w:r>
        <w:rPr>
          <w:rFonts w:hint="eastAsia"/>
          <w:b w:val="0"/>
        </w:rPr>
        <w:t>、编写剧本、试选演员、排演话剧全过程。</w:t>
      </w:r>
    </w:p>
    <w:p w14:paraId="665ADDB5">
      <w:pPr>
        <w:tabs>
          <w:tab w:val="left" w:pos="312"/>
        </w:tabs>
        <w:ind w:firstLine="420" w:firstLineChars="200"/>
        <w:rPr>
          <w:rFonts w:hint="default" w:eastAsiaTheme="minorEastAsia"/>
          <w:b w:val="0"/>
          <w:lang w:val="en-US" w:eastAsia="zh-CN"/>
        </w:rPr>
      </w:pPr>
      <w:r>
        <w:rPr>
          <w:rFonts w:hint="eastAsia"/>
          <w:b w:val="0"/>
          <w:lang w:val="en-US" w:eastAsia="zh-CN"/>
        </w:rPr>
        <w:t>核心知识、驱动性问题、高阶认知、学习实践、公开成果、学习评价这六个维度既是项目化学习设计的要素，也是在实际设计项目化学习时可以参考的六个步骤。笔者将结合这几个步骤，呈现该项目化学习的实践过程及效果。</w:t>
      </w:r>
    </w:p>
    <w:p w14:paraId="6C4C587F">
      <w:pPr>
        <w:numPr>
          <w:ilvl w:val="0"/>
          <w:numId w:val="1"/>
        </w:numPr>
        <w:tabs>
          <w:tab w:val="left" w:pos="312"/>
        </w:tabs>
        <w:rPr>
          <w:rFonts w:hint="eastAsia"/>
          <w:b w:val="0"/>
          <w:lang w:val="en-US" w:eastAsia="zh-CN"/>
        </w:rPr>
      </w:pPr>
      <w:r>
        <w:rPr>
          <w:rFonts w:hint="eastAsia"/>
          <w:b w:val="0"/>
          <w:lang w:val="en-US" w:eastAsia="zh-CN"/>
        </w:rPr>
        <w:t>寻找核心知识</w:t>
      </w:r>
    </w:p>
    <w:p w14:paraId="561D687C">
      <w:pPr>
        <w:numPr>
          <w:ilvl w:val="0"/>
          <w:numId w:val="0"/>
        </w:numPr>
        <w:tabs>
          <w:tab w:val="left" w:pos="312"/>
        </w:tabs>
        <w:rPr>
          <w:rFonts w:hint="default"/>
          <w:b w:val="0"/>
          <w:lang w:val="en-US" w:eastAsia="zh-CN"/>
        </w:rPr>
      </w:pPr>
      <w:r>
        <w:rPr>
          <w:rFonts w:hint="eastAsia"/>
          <w:b w:val="0"/>
          <w:lang w:val="en-US" w:eastAsia="zh-CN"/>
        </w:rPr>
        <w:t xml:space="preserve">    项目化学习的设计不是从项目或活动开始，而是从期待学生理解和掌握的核心知识出发。</w:t>
      </w:r>
    </w:p>
    <w:p w14:paraId="5C8641A1">
      <w:pPr>
        <w:numPr>
          <w:ilvl w:val="0"/>
          <w:numId w:val="0"/>
        </w:numPr>
        <w:tabs>
          <w:tab w:val="left" w:pos="312"/>
        </w:tabs>
        <w:ind w:firstLine="420"/>
        <w:rPr>
          <w:rFonts w:hint="eastAsia"/>
          <w:b w:val="0"/>
          <w:lang w:val="en-US" w:eastAsia="zh-CN"/>
        </w:rPr>
      </w:pPr>
      <w:r>
        <w:rPr>
          <w:rFonts w:hint="eastAsia"/>
          <w:b w:val="0"/>
          <w:lang w:val="en-US" w:eastAsia="zh-CN"/>
        </w:rPr>
        <w:t>跨学科项目化学习应该同时指向两个或两个以上学科的核心知识、关键概念。找到学科间交叉的关键概念，才能避免“拼盘式”的多学科学习，这是跨学科设计的开始。设计者需要借助课程标准、教材寻找这些关键概念。</w:t>
      </w:r>
    </w:p>
    <w:p w14:paraId="3D197FE9">
      <w:pPr>
        <w:numPr>
          <w:ilvl w:val="0"/>
          <w:numId w:val="0"/>
        </w:numPr>
        <w:tabs>
          <w:tab w:val="left" w:pos="312"/>
        </w:tabs>
        <w:ind w:firstLine="420"/>
        <w:rPr>
          <w:rFonts w:hint="default"/>
          <w:b w:val="0"/>
          <w:lang w:val="en-US" w:eastAsia="zh-CN"/>
        </w:rPr>
      </w:pPr>
      <w:r>
        <w:rPr>
          <w:rFonts w:hint="eastAsia"/>
          <w:b w:val="0"/>
          <w:lang w:val="en-US" w:eastAsia="zh-CN"/>
        </w:rPr>
        <w:t>部编版</w:t>
      </w:r>
      <w:r>
        <w:rPr>
          <w:rFonts w:hint="eastAsia"/>
          <w:b w:val="0"/>
        </w:rPr>
        <w:t>七下语文第三单元</w:t>
      </w:r>
      <w:r>
        <w:rPr>
          <w:rFonts w:hint="eastAsia"/>
          <w:b w:val="0"/>
          <w:lang w:val="en-US" w:eastAsia="zh-CN"/>
        </w:rPr>
        <w:t>包含</w:t>
      </w:r>
      <w:r>
        <w:rPr>
          <w:rFonts w:hint="eastAsia"/>
          <w:b w:val="0"/>
        </w:rPr>
        <w:t>《阿长与&lt;山海经&gt;》《老王》《台阶》《卖油翁》《骆驼祥子》（整本书阅读）</w:t>
      </w:r>
      <w:r>
        <w:rPr>
          <w:rFonts w:hint="eastAsia"/>
          <w:b w:val="0"/>
          <w:lang w:val="en-US" w:eastAsia="zh-CN"/>
        </w:rPr>
        <w:t>。本单元都是围绕人物展开，</w:t>
      </w:r>
      <w:r>
        <w:rPr>
          <w:rFonts w:hint="eastAsia"/>
          <w:b w:val="0"/>
        </w:rPr>
        <w:t>语言、情感、人物描写、人物形象</w:t>
      </w:r>
      <w:r>
        <w:rPr>
          <w:rFonts w:hint="eastAsia"/>
          <w:b w:val="0"/>
          <w:lang w:eastAsia="zh-CN"/>
        </w:rPr>
        <w:t>、</w:t>
      </w:r>
      <w:r>
        <w:rPr>
          <w:rFonts w:hint="eastAsia"/>
          <w:b w:val="0"/>
        </w:rPr>
        <w:t>主旨</w:t>
      </w:r>
      <w:r>
        <w:rPr>
          <w:rFonts w:hint="eastAsia"/>
          <w:b w:val="0"/>
          <w:lang w:eastAsia="zh-CN"/>
        </w:rPr>
        <w:t>是</w:t>
      </w:r>
      <w:r>
        <w:rPr>
          <w:rFonts w:hint="eastAsia"/>
          <w:b w:val="0"/>
          <w:lang w:val="en-US" w:eastAsia="zh-CN"/>
        </w:rPr>
        <w:t>本单元教学的关键概念。将单篇课文的阅读方法迁移到整本书阅读是单元教学的目标之一。</w:t>
      </w:r>
    </w:p>
    <w:p w14:paraId="2C580AD7">
      <w:pPr>
        <w:numPr>
          <w:ilvl w:val="0"/>
          <w:numId w:val="0"/>
        </w:numPr>
        <w:tabs>
          <w:tab w:val="left" w:pos="312"/>
        </w:tabs>
        <w:ind w:firstLine="420"/>
        <w:rPr>
          <w:rFonts w:hint="default"/>
          <w:b w:val="0"/>
          <w:lang w:val="en-US" w:eastAsia="zh-CN"/>
        </w:rPr>
      </w:pPr>
      <w:r>
        <w:rPr>
          <w:rFonts w:hint="eastAsia"/>
          <w:b w:val="0"/>
          <w:lang w:val="en-US" w:eastAsia="zh-CN"/>
        </w:rPr>
        <w:t>基于关键概念，“</w:t>
      </w:r>
      <w:r>
        <w:rPr>
          <w:rFonts w:hint="eastAsia"/>
          <w:b w:val="0"/>
        </w:rPr>
        <w:t>品读人物言行，理解人物情感，把握人物性格，进而体会人物品格</w:t>
      </w:r>
      <w:r>
        <w:rPr>
          <w:rFonts w:hint="eastAsia"/>
          <w:b w:val="0"/>
          <w:lang w:val="en-US" w:eastAsia="zh-CN"/>
        </w:rPr>
        <w:t>”是本单元教学重点。</w:t>
      </w:r>
    </w:p>
    <w:p w14:paraId="2E20F7F9">
      <w:pPr>
        <w:numPr>
          <w:ilvl w:val="0"/>
          <w:numId w:val="0"/>
        </w:numPr>
        <w:tabs>
          <w:tab w:val="left" w:pos="312"/>
        </w:tabs>
        <w:ind w:firstLine="420"/>
        <w:rPr>
          <w:rFonts w:hint="eastAsia"/>
          <w:b w:val="0"/>
          <w:lang w:val="en-US" w:eastAsia="zh-CN"/>
        </w:rPr>
      </w:pPr>
      <w:r>
        <w:rPr>
          <w:rFonts w:hint="eastAsia"/>
          <w:b w:val="0"/>
          <w:lang w:val="en-US" w:eastAsia="zh-CN"/>
        </w:rPr>
        <w:t>我校“3C课程”中的“</w:t>
      </w:r>
      <w:r>
        <w:rPr>
          <w:rFonts w:hint="eastAsia"/>
          <w:color w:val="000000"/>
          <w:szCs w:val="21"/>
        </w:rPr>
        <w:t>communication</w:t>
      </w:r>
      <w:r>
        <w:rPr>
          <w:rFonts w:hint="eastAsia"/>
          <w:b w:val="0"/>
          <w:lang w:val="en-US" w:eastAsia="zh-CN"/>
        </w:rPr>
        <w:t>”课程包含国家课程中的语文课程，也包含校本课程中的戏剧课程。戏剧课程依托中文戏剧社、英文戏剧社、戏剧创作社等社团及拓展课、戏剧通识课来实施。人物、台词、舞台形象、剧本、人物言行、角色、戏剧冲突是戏剧课程的关键概念。</w:t>
      </w:r>
    </w:p>
    <w:p w14:paraId="31DB9495">
      <w:pPr>
        <w:numPr>
          <w:ilvl w:val="0"/>
          <w:numId w:val="0"/>
        </w:numPr>
        <w:tabs>
          <w:tab w:val="left" w:pos="312"/>
        </w:tabs>
        <w:ind w:firstLine="420"/>
        <w:rPr>
          <w:rFonts w:hint="default"/>
          <w:b w:val="0"/>
          <w:lang w:val="en-US" w:eastAsia="zh-CN"/>
        </w:rPr>
      </w:pPr>
      <w:r>
        <w:rPr>
          <w:rFonts w:hint="eastAsia"/>
          <w:b w:val="0"/>
          <w:lang w:val="en-US" w:eastAsia="zh-CN"/>
        </w:rPr>
        <w:t>名著《骆驼祥子》呈现的是旧时代北平车夫祥子“三起三落”的悲惨命运，这个有年代感的故事与学生的经验有一定的距离，从单篇课文中学到的读人物故事的方法不足以完整支撑整部小说的阅读。如果能立足语文和戏剧交叉的关键概念——人物形象、人物言行、人物描写、人物情感，通过多学科的方法，运用多种工具来理解《骆驼祥子》，会给学生带来更深刻的感受，会让学生的学习体现出主动性和深刻性的特点。</w:t>
      </w:r>
    </w:p>
    <w:p w14:paraId="4E5454C9">
      <w:pPr>
        <w:numPr>
          <w:ilvl w:val="0"/>
          <w:numId w:val="1"/>
        </w:numPr>
        <w:tabs>
          <w:tab w:val="left" w:pos="312"/>
        </w:tabs>
        <w:ind w:left="0" w:leftChars="0" w:firstLine="0" w:firstLineChars="0"/>
        <w:rPr>
          <w:rFonts w:hint="eastAsia"/>
          <w:b w:val="0"/>
          <w:lang w:val="en-US" w:eastAsia="zh-CN"/>
        </w:rPr>
      </w:pPr>
      <w:r>
        <w:rPr>
          <w:rFonts w:hint="eastAsia"/>
          <w:b w:val="0"/>
          <w:lang w:val="en-US" w:eastAsia="zh-CN"/>
        </w:rPr>
        <w:t>形成本质问题和驱动性问题</w:t>
      </w:r>
    </w:p>
    <w:p w14:paraId="3EBF5AE4">
      <w:pPr>
        <w:numPr>
          <w:ilvl w:val="0"/>
          <w:numId w:val="0"/>
        </w:numPr>
        <w:tabs>
          <w:tab w:val="left" w:pos="312"/>
        </w:tabs>
        <w:ind w:leftChars="0" w:firstLine="420"/>
        <w:rPr>
          <w:rFonts w:hint="eastAsia"/>
          <w:b w:val="0"/>
          <w:lang w:val="en-US" w:eastAsia="zh-CN"/>
        </w:rPr>
      </w:pPr>
      <w:r>
        <w:rPr>
          <w:rFonts w:hint="eastAsia"/>
          <w:b w:val="0"/>
          <w:lang w:val="en-US" w:eastAsia="zh-CN"/>
        </w:rPr>
        <w:t>语文和戏剧课程作为我校“3C”课程中“</w:t>
      </w:r>
      <w:r>
        <w:rPr>
          <w:rFonts w:hint="eastAsia"/>
          <w:color w:val="000000"/>
          <w:szCs w:val="21"/>
        </w:rPr>
        <w:t>communication</w:t>
      </w:r>
      <w:r>
        <w:rPr>
          <w:rFonts w:hint="eastAsia"/>
          <w:b w:val="0"/>
          <w:lang w:val="en-US" w:eastAsia="zh-CN"/>
        </w:rPr>
        <w:t>”课程的重要组成部分，戏剧课程的实施者范围很广，包括部分语文教师。我校七年级语文备课组作为此次跨学科项目化学习的主要实施者，基于对语文课程标准的理解，对“整本书阅读”和“跨学科学习”拓展型学习任务群的理解，在项目化学习实施过程中更注重抓住项目问题强化核心学科的性质。</w:t>
      </w:r>
    </w:p>
    <w:p w14:paraId="3962ED23">
      <w:pPr>
        <w:ind w:firstLine="420" w:firstLineChars="200"/>
        <w:rPr>
          <w:rFonts w:hint="eastAsia"/>
          <w:lang w:val="en-US" w:eastAsia="zh-CN"/>
        </w:rPr>
      </w:pPr>
      <w:r>
        <w:rPr>
          <w:rFonts w:hint="eastAsia"/>
          <w:b w:val="0"/>
          <w:lang w:val="en-US" w:eastAsia="zh-CN"/>
        </w:rPr>
        <w:t>围绕语文和戏剧课程的关键概念，提出本质问题——</w:t>
      </w:r>
      <w:r>
        <w:rPr>
          <w:rFonts w:hint="eastAsia"/>
        </w:rPr>
        <w:t>人物描写如何表现人物形象？人物形象如何传递作者情感？</w:t>
      </w:r>
      <w:r>
        <w:rPr>
          <w:rFonts w:hint="eastAsia"/>
          <w:lang w:val="en-US" w:eastAsia="zh-CN"/>
        </w:rPr>
        <w:t>这个本质问题关联七下第三单元单篇课文阅读、《骆驼祥子》整本书阅读、《骆驼祥子》剧本创作和舞台表演。</w:t>
      </w:r>
    </w:p>
    <w:p w14:paraId="5FA878FC">
      <w:pPr>
        <w:numPr>
          <w:ilvl w:val="0"/>
          <w:numId w:val="0"/>
        </w:numPr>
        <w:tabs>
          <w:tab w:val="left" w:pos="312"/>
        </w:tabs>
        <w:ind w:leftChars="0" w:firstLine="420"/>
        <w:rPr>
          <w:rFonts w:hint="eastAsia"/>
          <w:b w:val="0"/>
          <w:lang w:val="en-US" w:eastAsia="zh-CN"/>
        </w:rPr>
      </w:pPr>
      <w:r>
        <w:rPr>
          <w:rFonts w:hint="eastAsia"/>
          <w:b w:val="0"/>
          <w:lang w:val="en-US" w:eastAsia="zh-CN"/>
        </w:rPr>
        <w:t>在此基础上，教师进一步将项目化学习中抽象的本质问题转化成学生感兴趣的问题。比如：在康外实中六月艺术节戏剧表演活动中，将上演由七年级学生“编导演”的年级大戏《骆驼祥子》。为了出色完成这一任务，我们该做些什么？“以终为始”的设计，让学生明确学习的终点，对当前的整本书阅读充满了期待。教师和学生一起制定到达终点的计划，明确各阶段的学习任务，学生成为自主学习者。</w:t>
      </w:r>
    </w:p>
    <w:p w14:paraId="3E818DD4">
      <w:pPr>
        <w:pStyle w:val="10"/>
        <w:numPr>
          <w:ilvl w:val="0"/>
          <w:numId w:val="0"/>
        </w:numPr>
        <w:ind w:leftChars="0" w:firstLine="420" w:firstLineChars="200"/>
        <w:rPr>
          <w:rFonts w:hint="eastAsia"/>
          <w:b w:val="0"/>
          <w:lang w:val="en-US" w:eastAsia="zh-CN"/>
        </w:rPr>
      </w:pPr>
      <w:r>
        <w:rPr>
          <w:rFonts w:hint="eastAsia"/>
          <w:lang w:val="en-US" w:eastAsia="zh-CN"/>
        </w:rPr>
        <w:t>在项目实施过程中，围绕本质问题，始于驱动性问题，我们通过以下步骤来强化核心学科的性质：1.探究写人记事文章的阅读路径。2.</w:t>
      </w:r>
      <w:r>
        <w:rPr>
          <w:rFonts w:hint="eastAsia"/>
          <w:b w:val="0"/>
        </w:rPr>
        <w:t>探究写人记事文章</w:t>
      </w:r>
      <w:r>
        <w:rPr>
          <w:rFonts w:hint="eastAsia"/>
          <w:b w:val="0"/>
          <w:lang w:val="en-US" w:eastAsia="zh-CN"/>
        </w:rPr>
        <w:t>的</w:t>
      </w:r>
      <w:r>
        <w:rPr>
          <w:rFonts w:hint="eastAsia"/>
          <w:b w:val="0"/>
        </w:rPr>
        <w:t>写作思考路径。</w:t>
      </w:r>
      <w:r>
        <w:rPr>
          <w:rFonts w:hint="eastAsia"/>
          <w:b w:val="0"/>
          <w:lang w:val="en-US" w:eastAsia="zh-CN"/>
        </w:rPr>
        <w:t>3.探究小说阅读路径。4.探究剧本创作的思考路径。下图为《骆驼祥子》小说阅读路径：</w:t>
      </w:r>
    </w:p>
    <w:p w14:paraId="48FA3E1C">
      <w:pPr>
        <w:pStyle w:val="10"/>
        <w:numPr>
          <w:ilvl w:val="0"/>
          <w:numId w:val="0"/>
        </w:numPr>
        <w:ind w:leftChars="0" w:firstLine="420" w:firstLineChars="200"/>
        <w:rPr>
          <w:rFonts w:hint="eastAsia"/>
          <w:b w:val="0"/>
          <w:lang w:val="en-US" w:eastAsia="zh-CN"/>
        </w:rPr>
      </w:pPr>
      <w:r>
        <w:drawing>
          <wp:inline distT="0" distB="0" distL="0" distR="0">
            <wp:extent cx="4939665" cy="13398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4939665" cy="1339850"/>
                    </a:xfrm>
                    <a:prstGeom prst="rect">
                      <a:avLst/>
                    </a:prstGeom>
                    <a:noFill/>
                    <a:ln>
                      <a:noFill/>
                    </a:ln>
                  </pic:spPr>
                </pic:pic>
              </a:graphicData>
            </a:graphic>
          </wp:inline>
        </w:drawing>
      </w:r>
    </w:p>
    <w:p w14:paraId="2B231B24">
      <w:pPr>
        <w:pStyle w:val="10"/>
        <w:numPr>
          <w:ilvl w:val="0"/>
          <w:numId w:val="0"/>
        </w:numPr>
        <w:ind w:leftChars="0" w:firstLine="420" w:firstLineChars="200"/>
      </w:pPr>
    </w:p>
    <w:p w14:paraId="4E3B9804">
      <w:pPr>
        <w:ind w:firstLine="420" w:firstLineChars="200"/>
        <w:rPr>
          <w:rFonts w:hint="default"/>
          <w:lang w:val="en-US" w:eastAsia="zh-CN"/>
        </w:rPr>
      </w:pPr>
      <w:r>
        <w:rPr>
          <w:rFonts w:hint="eastAsia"/>
          <w:lang w:val="en-US" w:eastAsia="zh-CN"/>
        </w:rPr>
        <w:t>在这一系列探究过程中，</w:t>
      </w:r>
      <w:r>
        <w:rPr>
          <w:rFonts w:hint="default"/>
          <w:lang w:val="en-US" w:eastAsia="zh-CN"/>
        </w:rPr>
        <w:t>学生</w:t>
      </w:r>
      <w:r>
        <w:rPr>
          <w:rFonts w:hint="eastAsia"/>
          <w:lang w:val="en-US" w:eastAsia="zh-CN"/>
        </w:rPr>
        <w:t>的认知</w:t>
      </w:r>
      <w:r>
        <w:rPr>
          <w:rFonts w:hint="default"/>
          <w:lang w:val="en-US" w:eastAsia="zh-CN"/>
        </w:rPr>
        <w:t>完成从书本到剧本，从人物到角色的转变</w:t>
      </w:r>
      <w:r>
        <w:rPr>
          <w:rFonts w:hint="eastAsia"/>
          <w:lang w:val="en-US" w:eastAsia="zh-CN"/>
        </w:rPr>
        <w:t>，</w:t>
      </w:r>
      <w:r>
        <w:rPr>
          <w:rFonts w:hint="default"/>
          <w:lang w:val="en-US" w:eastAsia="zh-CN"/>
        </w:rPr>
        <w:t>通过“读、学、品、演”层次递进的学习方式</w:t>
      </w:r>
      <w:r>
        <w:rPr>
          <w:rFonts w:hint="eastAsia"/>
          <w:lang w:val="en-US" w:eastAsia="zh-CN"/>
        </w:rPr>
        <w:t>，更深入地</w:t>
      </w:r>
      <w:r>
        <w:rPr>
          <w:rFonts w:hint="default"/>
          <w:lang w:val="en-US" w:eastAsia="zh-CN"/>
        </w:rPr>
        <w:t>理解</w:t>
      </w:r>
      <w:r>
        <w:rPr>
          <w:rFonts w:hint="eastAsia"/>
          <w:lang w:val="en-US" w:eastAsia="zh-CN"/>
        </w:rPr>
        <w:t>了</w:t>
      </w:r>
      <w:r>
        <w:rPr>
          <w:rFonts w:hint="default"/>
          <w:lang w:val="en-US" w:eastAsia="zh-CN"/>
        </w:rPr>
        <w:t>人物描写对表现人物形象的作用，理解</w:t>
      </w:r>
      <w:r>
        <w:rPr>
          <w:rFonts w:hint="eastAsia"/>
          <w:lang w:val="en-US" w:eastAsia="zh-CN"/>
        </w:rPr>
        <w:t>了</w:t>
      </w:r>
      <w:r>
        <w:rPr>
          <w:rFonts w:hint="default"/>
          <w:lang w:val="en-US" w:eastAsia="zh-CN"/>
        </w:rPr>
        <w:t>人物形象能传递作者情感</w:t>
      </w:r>
      <w:r>
        <w:rPr>
          <w:rFonts w:hint="eastAsia"/>
          <w:lang w:val="en-US" w:eastAsia="zh-CN"/>
        </w:rPr>
        <w:t>。</w:t>
      </w:r>
    </w:p>
    <w:p w14:paraId="7FCA8468">
      <w:pPr>
        <w:numPr>
          <w:ilvl w:val="0"/>
          <w:numId w:val="1"/>
        </w:numPr>
        <w:tabs>
          <w:tab w:val="left" w:pos="312"/>
        </w:tabs>
        <w:ind w:left="0" w:leftChars="0" w:firstLine="0" w:firstLineChars="0"/>
        <w:rPr>
          <w:rFonts w:hint="eastAsia"/>
          <w:b w:val="0"/>
          <w:lang w:val="en-US" w:eastAsia="zh-CN"/>
        </w:rPr>
      </w:pPr>
      <w:r>
        <w:rPr>
          <w:rFonts w:hint="eastAsia"/>
          <w:b w:val="0"/>
          <w:lang w:val="en-US" w:eastAsia="zh-CN"/>
        </w:rPr>
        <w:t>理清高阶认知策略</w:t>
      </w:r>
    </w:p>
    <w:p w14:paraId="2D289003">
      <w:pPr>
        <w:numPr>
          <w:ilvl w:val="0"/>
          <w:numId w:val="0"/>
        </w:numPr>
        <w:tabs>
          <w:tab w:val="left" w:pos="312"/>
        </w:tabs>
        <w:ind w:leftChars="0" w:firstLine="420"/>
        <w:rPr>
          <w:rFonts w:hint="eastAsia"/>
          <w:b w:val="0"/>
          <w:lang w:val="en-US" w:eastAsia="zh-CN"/>
        </w:rPr>
      </w:pPr>
      <w:r>
        <w:rPr>
          <w:rFonts w:hint="eastAsia"/>
          <w:b w:val="0"/>
          <w:lang w:val="en-US" w:eastAsia="zh-CN"/>
        </w:rPr>
        <w:t>项目化学习主要通过高阶认知带动低阶认知。项目化学习的主要认知策略包括：问题解决、创见、决策、实验、调研、系统分析。</w:t>
      </w:r>
    </w:p>
    <w:p w14:paraId="3E17979C">
      <w:pPr>
        <w:numPr>
          <w:ilvl w:val="0"/>
          <w:numId w:val="0"/>
        </w:numPr>
        <w:tabs>
          <w:tab w:val="left" w:pos="312"/>
        </w:tabs>
        <w:ind w:leftChars="0" w:firstLine="420"/>
        <w:rPr>
          <w:rFonts w:hint="eastAsia"/>
          <w:b w:val="0"/>
          <w:lang w:val="en-US" w:eastAsia="zh-CN"/>
        </w:rPr>
      </w:pPr>
      <w:r>
        <w:rPr>
          <w:rFonts w:hint="eastAsia"/>
          <w:b w:val="0"/>
          <w:lang w:val="en-US" w:eastAsia="zh-CN"/>
        </w:rPr>
        <w:t>以问题解决这一高阶认知策略为例，在项目化学习中，学生要明确目标，要分析阻碍目标实现的障碍和可以利用的资源，要通过尝试错误来寻找最优的问题解决路径。在本次项目化学习中，七2班同学在戏剧结尾的方式上遇到了障碍。有的同学认为以“虎妞之死”作为结尾，有戛然而止、发人深省的作用。有的同学认为以“虎妞之死”结尾，配上音效渲染气氛，加上“祥子”的一些动作，更能衬托人物的心情。主演“祥子”采纳同学们的建议一一尝试，效果均不佳。“祥子”百无聊赖、独自郁闷、轻幅晃头地看着窗外，唱起了随口编的小曲。他的歌声吸引了同学们。大家一致认为他此刻的形象很适合用作戏剧的结尾，再添加撒纸钱的动作，配上音效会更好。同学们积极参与编写歌词，并在与老师们的交流中陈述自己的观点。学校戏剧课程外请的戏剧专业的老师对于同学们主动思考、解决问题的方式给予高度评价，也提出了的建议。同学们通过多次尝试，感受到：戏剧不同于歌剧。综合考量主人公悲惨的结局，表演时面对的观众，以及“祥子”自身的表演能力，同学们最后保留了歌词的内容，添加了“祥子”的动作，将唱歌改成了独白。</w:t>
      </w:r>
    </w:p>
    <w:p w14:paraId="3F7727F7">
      <w:pPr>
        <w:numPr>
          <w:ilvl w:val="0"/>
          <w:numId w:val="0"/>
        </w:numPr>
        <w:tabs>
          <w:tab w:val="left" w:pos="312"/>
        </w:tabs>
        <w:ind w:leftChars="0" w:firstLine="420"/>
        <w:rPr>
          <w:rFonts w:hint="default"/>
          <w:b w:val="0"/>
          <w:lang w:val="en-US" w:eastAsia="zh-CN"/>
        </w:rPr>
      </w:pPr>
      <w:r>
        <w:rPr>
          <w:rFonts w:hint="eastAsia"/>
          <w:b w:val="0"/>
          <w:lang w:val="en-US" w:eastAsia="zh-CN"/>
        </w:rPr>
        <w:t>在问题解决中，同学们对问题情境中已有信息进行收集、整理、分类，从中明确限制性的条件和可以解决问题的路径。</w:t>
      </w:r>
    </w:p>
    <w:p w14:paraId="2B3263E0">
      <w:pPr>
        <w:numPr>
          <w:ilvl w:val="0"/>
          <w:numId w:val="1"/>
        </w:numPr>
        <w:tabs>
          <w:tab w:val="left" w:pos="312"/>
        </w:tabs>
        <w:ind w:left="0" w:leftChars="0" w:firstLine="0" w:firstLineChars="0"/>
        <w:rPr>
          <w:rFonts w:hint="eastAsia"/>
          <w:b w:val="0"/>
          <w:lang w:val="en-US" w:eastAsia="zh-CN"/>
        </w:rPr>
      </w:pPr>
      <w:r>
        <w:rPr>
          <w:rFonts w:hint="eastAsia"/>
          <w:b w:val="0"/>
          <w:lang w:val="en-US" w:eastAsia="zh-CN"/>
        </w:rPr>
        <w:t>确认主要的学习实践</w:t>
      </w:r>
    </w:p>
    <w:p w14:paraId="61E15F38">
      <w:pPr>
        <w:numPr>
          <w:ilvl w:val="0"/>
          <w:numId w:val="0"/>
        </w:numPr>
        <w:tabs>
          <w:tab w:val="left" w:pos="312"/>
        </w:tabs>
        <w:ind w:leftChars="0" w:firstLine="420"/>
        <w:rPr>
          <w:rFonts w:hint="eastAsia"/>
          <w:b w:val="0"/>
          <w:lang w:val="en-US" w:eastAsia="zh-CN"/>
        </w:rPr>
      </w:pPr>
      <w:r>
        <w:rPr>
          <w:rFonts w:hint="eastAsia"/>
          <w:b w:val="0"/>
          <w:lang w:val="en-US" w:eastAsia="zh-CN"/>
        </w:rPr>
        <w:t>高阶认知策略需要在有意义的学习实践中发展和完善。探究性实践、社会性实践、审美性实践、调控性实践的交叉与融合在年级大戏《骆驼祥子》中成效显著。</w:t>
      </w:r>
    </w:p>
    <w:p w14:paraId="6ED63DE2">
      <w:pPr>
        <w:numPr>
          <w:ilvl w:val="0"/>
          <w:numId w:val="0"/>
        </w:numPr>
        <w:tabs>
          <w:tab w:val="left" w:pos="312"/>
        </w:tabs>
        <w:ind w:leftChars="0" w:firstLine="420"/>
        <w:rPr>
          <w:rFonts w:hint="eastAsia"/>
          <w:b w:val="0"/>
          <w:lang w:val="en-US" w:eastAsia="zh-CN"/>
        </w:rPr>
      </w:pPr>
      <w:r>
        <w:rPr>
          <w:rFonts w:hint="eastAsia"/>
          <w:b w:val="0"/>
          <w:lang w:val="en-US" w:eastAsia="zh-CN"/>
        </w:rPr>
        <w:t>在老师的帮助下，七2班博悦中队成立了“博悦传媒”，组建了“编剧组”“导演组”“舞美组”“演员组”。在单元学习、整本书阅读阶段，他们围绕本质问题，探究阅读和写作路径。在剧本创作、戏剧表演阶段，他们围绕创作和表演分工合作，相互扶持。</w:t>
      </w:r>
    </w:p>
    <w:p w14:paraId="457277C6">
      <w:pPr>
        <w:numPr>
          <w:ilvl w:val="0"/>
          <w:numId w:val="0"/>
        </w:numPr>
        <w:tabs>
          <w:tab w:val="left" w:pos="312"/>
        </w:tabs>
        <w:ind w:leftChars="0" w:firstLine="420"/>
        <w:rPr>
          <w:rFonts w:hint="eastAsia"/>
          <w:b w:val="0"/>
          <w:lang w:val="en-US" w:eastAsia="zh-CN"/>
        </w:rPr>
      </w:pPr>
      <w:r>
        <w:rPr>
          <w:rFonts w:hint="eastAsia"/>
          <w:b w:val="0"/>
          <w:lang w:val="en-US" w:eastAsia="zh-CN"/>
        </w:rPr>
        <w:t>七2班全班49人中共有34人参与了这部年级大戏。很多人在做同一件正确的事情时所体现出来的个人力量，汇聚在一起就成为团体的凝聚力，凝聚力不是在活动结束后突然产生的，它是在活动过程中不断形成和完善的，它可能产生于学生对学生的影响，也可能产生于师生之间的影响。</w:t>
      </w:r>
    </w:p>
    <w:p w14:paraId="7B9D691A">
      <w:pPr>
        <w:numPr>
          <w:ilvl w:val="0"/>
          <w:numId w:val="0"/>
        </w:numPr>
        <w:tabs>
          <w:tab w:val="left" w:pos="312"/>
        </w:tabs>
        <w:ind w:leftChars="0" w:firstLine="420"/>
        <w:rPr>
          <w:rFonts w:hint="eastAsia"/>
          <w:b w:val="0"/>
          <w:lang w:val="en-US" w:eastAsia="zh-CN"/>
        </w:rPr>
      </w:pPr>
      <w:r>
        <w:rPr>
          <w:rFonts w:hint="eastAsia"/>
          <w:b w:val="0"/>
          <w:lang w:val="en-US" w:eastAsia="zh-CN"/>
        </w:rPr>
        <w:t>在这个活动中，学生展现出令人赞叹的主动性和创造性，他们</w:t>
      </w:r>
      <w:r>
        <w:rPr>
          <w:rFonts w:hint="eastAsia" w:ascii="宋体" w:hAnsi="宋体" w:eastAsia="宋体"/>
          <w:lang w:val="en-US" w:eastAsia="zh-CN"/>
        </w:rPr>
        <w:t>学会了监控和调节自己的学习方法，</w:t>
      </w:r>
      <w:r>
        <w:rPr>
          <w:rFonts w:hint="eastAsia"/>
          <w:b w:val="0"/>
          <w:lang w:val="en-US" w:eastAsia="zh-CN"/>
        </w:rPr>
        <w:t>他们从年级学科活动中脱颖而出，以班级之力为学校艺术节增光添彩。这时的学习情境已经由老师设计逐渐转变成部分学生主动地创造，最后形成班级的群体性建设。</w:t>
      </w:r>
    </w:p>
    <w:p w14:paraId="5474D0A0">
      <w:pPr>
        <w:pStyle w:val="10"/>
        <w:rPr>
          <w:rFonts w:hint="eastAsia" w:ascii="宋体" w:hAnsi="宋体" w:eastAsia="宋体"/>
        </w:rPr>
      </w:pPr>
      <w:r>
        <w:rPr>
          <w:rFonts w:hint="eastAsia" w:ascii="宋体" w:hAnsi="宋体" w:eastAsia="宋体"/>
        </w:rPr>
        <w:t>在这个</w:t>
      </w:r>
      <w:r>
        <w:rPr>
          <w:rFonts w:hint="eastAsia" w:ascii="宋体" w:hAnsi="宋体" w:eastAsia="宋体"/>
          <w:lang w:val="en-US" w:eastAsia="zh-CN"/>
        </w:rPr>
        <w:t>项目化学习</w:t>
      </w:r>
      <w:r>
        <w:rPr>
          <w:rFonts w:hint="eastAsia" w:ascii="宋体" w:hAnsi="宋体" w:eastAsia="宋体"/>
        </w:rPr>
        <w:t>中，师生共同的经历中有“积极进取”“志趣相投”这样美好的情感体验，也有“独立思考”“迎难而上”“合作分享”这样理性的成长。</w:t>
      </w:r>
    </w:p>
    <w:p w14:paraId="4731FFA9">
      <w:pPr>
        <w:numPr>
          <w:ilvl w:val="0"/>
          <w:numId w:val="1"/>
        </w:numPr>
        <w:tabs>
          <w:tab w:val="left" w:pos="312"/>
        </w:tabs>
        <w:ind w:left="0" w:leftChars="0" w:firstLine="0" w:firstLineChars="0"/>
        <w:rPr>
          <w:rFonts w:hint="eastAsia"/>
          <w:b w:val="0"/>
          <w:lang w:val="en-US" w:eastAsia="zh-CN"/>
        </w:rPr>
      </w:pPr>
      <w:r>
        <w:rPr>
          <w:rFonts w:hint="eastAsia"/>
          <w:b w:val="0"/>
          <w:lang w:val="en-US" w:eastAsia="zh-CN"/>
        </w:rPr>
        <w:t>明确学习成果和公开方式</w:t>
      </w:r>
    </w:p>
    <w:p w14:paraId="652C6C77">
      <w:pPr>
        <w:numPr>
          <w:ilvl w:val="0"/>
          <w:numId w:val="0"/>
        </w:numPr>
        <w:tabs>
          <w:tab w:val="left" w:pos="312"/>
        </w:tabs>
        <w:ind w:leftChars="0" w:firstLine="420"/>
        <w:rPr>
          <w:rFonts w:hint="eastAsia"/>
          <w:b w:val="0"/>
          <w:lang w:val="en-US" w:eastAsia="zh-CN"/>
        </w:rPr>
      </w:pPr>
      <w:r>
        <w:rPr>
          <w:rFonts w:hint="eastAsia"/>
          <w:b w:val="0"/>
          <w:lang w:val="en-US" w:eastAsia="zh-CN"/>
        </w:rPr>
        <w:t>项目化学习的成果指向驱动性问题，但不同于驱动性问题，包括个人成果和团队成果。</w:t>
      </w:r>
    </w:p>
    <w:p w14:paraId="4357BD0B">
      <w:pPr>
        <w:numPr>
          <w:ilvl w:val="0"/>
          <w:numId w:val="0"/>
        </w:numPr>
        <w:tabs>
          <w:tab w:val="left" w:pos="312"/>
        </w:tabs>
        <w:ind w:leftChars="0" w:firstLine="420"/>
        <w:rPr>
          <w:rFonts w:hint="eastAsia"/>
          <w:lang w:eastAsia="zh-CN"/>
        </w:rPr>
      </w:pPr>
      <w:r>
        <w:rPr>
          <w:rFonts w:hint="eastAsia"/>
          <w:b w:val="0"/>
          <w:lang w:val="en-US" w:eastAsia="zh-CN"/>
        </w:rPr>
        <w:t>在本次跨学科项目化学习过程中，每位学生通过学习单篇课文，完成单元写作《他/她，与众不同》，完成《骆驼祥子》阅读任务单①，完成《骆驼祥子》微型剧本创作和微型剧本演绎。在个人成果的基础上，</w:t>
      </w:r>
      <w:r>
        <w:rPr>
          <w:rFonts w:hint="eastAsia"/>
        </w:rPr>
        <w:t>创作班级剧本，完成班级选角，排演戏剧</w:t>
      </w:r>
      <w:r>
        <w:rPr>
          <w:rFonts w:hint="eastAsia"/>
          <w:lang w:eastAsia="zh-CN"/>
        </w:rPr>
        <w:t>。</w:t>
      </w:r>
    </w:p>
    <w:p w14:paraId="6F979FC0">
      <w:pPr>
        <w:numPr>
          <w:ilvl w:val="0"/>
          <w:numId w:val="0"/>
        </w:numPr>
        <w:tabs>
          <w:tab w:val="left" w:pos="312"/>
        </w:tabs>
        <w:ind w:leftChars="0" w:firstLine="420"/>
        <w:rPr>
          <w:rFonts w:hint="eastAsia"/>
          <w:lang w:val="en-US" w:eastAsia="zh-CN"/>
        </w:rPr>
      </w:pPr>
      <w:r>
        <w:rPr>
          <w:rFonts w:hint="eastAsia"/>
          <w:lang w:val="en-US" w:eastAsia="zh-CN"/>
        </w:rPr>
        <w:t>最后，</w:t>
      </w:r>
      <w:r>
        <w:rPr>
          <w:rFonts w:hint="eastAsia"/>
          <w:lang w:eastAsia="zh-CN"/>
        </w:rPr>
        <w:t>各班级完成指定的《骆驼祥子》“三起三落”中的某一“起”或“落”的剧本创作，用戏剧表演的形式表现这一“起”或“落”。</w:t>
      </w:r>
      <w:r>
        <w:rPr>
          <w:rFonts w:hint="eastAsia"/>
          <w:lang w:val="en-US" w:eastAsia="zh-CN"/>
        </w:rPr>
        <w:t>六个班级的“一起”或“一落”汇总起来就是一部演绎祥子一生的年级大戏。最终的戏剧表演指向对核心知识、本质问题的深度理解。“</w:t>
      </w:r>
      <w:r>
        <w:rPr>
          <w:rFonts w:hint="eastAsia"/>
        </w:rPr>
        <w:t>人物描写如何表现人物形象？人物形象如何传递作者情感？</w:t>
      </w:r>
      <w:r>
        <w:rPr>
          <w:rFonts w:hint="eastAsia"/>
          <w:lang w:val="en-US" w:eastAsia="zh-CN"/>
        </w:rPr>
        <w:t>”这一本质问题从学习单篇课文开始，到戏剧表演结束，贯穿项目化学习的始终。</w:t>
      </w:r>
    </w:p>
    <w:p w14:paraId="66B2781D">
      <w:pPr>
        <w:numPr>
          <w:ilvl w:val="0"/>
          <w:numId w:val="0"/>
        </w:numPr>
        <w:tabs>
          <w:tab w:val="left" w:pos="312"/>
        </w:tabs>
        <w:ind w:leftChars="0" w:firstLine="420"/>
        <w:rPr>
          <w:rFonts w:hint="eastAsia"/>
          <w:b w:val="0"/>
          <w:lang w:val="en-US" w:eastAsia="zh-CN"/>
        </w:rPr>
      </w:pPr>
      <w:r>
        <w:rPr>
          <w:rFonts w:hint="eastAsia"/>
          <w:lang w:val="en-US" w:eastAsia="zh-CN"/>
        </w:rPr>
        <w:t>项目化学习中的公开成果既包括制作或表现出来的产品，也包括说明这个产品内在设计理念与过程的文本。七2班制作的《制片人眼中的“博悦传媒”——记年级大戏&lt;骆驼祥子&gt;》手册记录了七2 班在项目化学习中为什么这样做，做的过程是什么，经过了怎样的思考和调整。</w:t>
      </w:r>
    </w:p>
    <w:p w14:paraId="65D4C364">
      <w:pPr>
        <w:numPr>
          <w:ilvl w:val="0"/>
          <w:numId w:val="1"/>
        </w:numPr>
        <w:tabs>
          <w:tab w:val="left" w:pos="312"/>
          <w:tab w:val="left" w:pos="2177"/>
        </w:tabs>
        <w:ind w:left="0" w:leftChars="0" w:firstLine="0" w:firstLineChars="0"/>
        <w:rPr>
          <w:rFonts w:hint="eastAsia"/>
          <w:b w:val="0"/>
          <w:lang w:val="en-US" w:eastAsia="zh-CN"/>
        </w:rPr>
      </w:pPr>
      <w:r>
        <w:rPr>
          <w:rFonts w:hint="eastAsia"/>
          <w:b w:val="0"/>
          <w:lang w:val="en-US" w:eastAsia="zh-CN"/>
        </w:rPr>
        <w:t>设计覆盖全程的评价</w:t>
      </w:r>
    </w:p>
    <w:p w14:paraId="2FDF89E4">
      <w:pPr>
        <w:numPr>
          <w:ilvl w:val="0"/>
          <w:numId w:val="0"/>
        </w:numPr>
        <w:tabs>
          <w:tab w:val="left" w:pos="312"/>
          <w:tab w:val="left" w:pos="2177"/>
        </w:tabs>
        <w:ind w:leftChars="0" w:firstLine="420"/>
        <w:rPr>
          <w:rFonts w:hint="eastAsia"/>
          <w:b w:val="0"/>
          <w:lang w:val="en-US" w:eastAsia="zh-CN"/>
        </w:rPr>
      </w:pPr>
      <w:r>
        <w:rPr>
          <w:rFonts w:hint="eastAsia"/>
          <w:b w:val="0"/>
          <w:lang w:val="en-US" w:eastAsia="zh-CN"/>
        </w:rPr>
        <w:t xml:space="preserve">设计学习成果和学习实践的阶段，就已经涉及初步评价，项目化学习的评价体现出以终为始，逆向设计的特点。在项目化学习过程中，评价需要不断清晰和完善。  </w:t>
      </w:r>
    </w:p>
    <w:p w14:paraId="11877B0A">
      <w:pPr>
        <w:numPr>
          <w:ilvl w:val="0"/>
          <w:numId w:val="0"/>
        </w:numPr>
        <w:tabs>
          <w:tab w:val="left" w:pos="312"/>
          <w:tab w:val="left" w:pos="2177"/>
        </w:tabs>
        <w:ind w:leftChars="0" w:firstLine="420"/>
        <w:rPr>
          <w:rFonts w:hint="eastAsia"/>
        </w:rPr>
      </w:pPr>
      <w:r>
        <w:rPr>
          <w:rFonts w:hint="eastAsia"/>
          <w:b w:val="0"/>
          <w:lang w:val="en-US" w:eastAsia="zh-CN"/>
        </w:rPr>
        <w:t>在本次项目化学习入项阶段，学生理解驱动性问题后，师生就对“</w:t>
      </w:r>
      <w:r>
        <w:rPr>
          <w:rFonts w:hint="eastAsia"/>
        </w:rPr>
        <w:t>一场好的戏剧包含哪些内容和要求</w:t>
      </w:r>
      <w:r>
        <w:rPr>
          <w:rFonts w:hint="eastAsia"/>
          <w:b w:val="0"/>
          <w:lang w:val="en-US" w:eastAsia="zh-CN"/>
        </w:rPr>
        <w:t>”展开讨论，并</w:t>
      </w:r>
      <w:r>
        <w:rPr>
          <w:rFonts w:hint="eastAsia"/>
        </w:rPr>
        <w:t>形成初步的成果要点及评价量表第一稿。</w:t>
      </w:r>
      <w:r>
        <w:rPr>
          <w:rFonts w:hint="eastAsia"/>
          <w:lang w:val="en-US" w:eastAsia="zh-CN"/>
        </w:rPr>
        <w:t>在成果形成和完善阶段，</w:t>
      </w:r>
      <w:r>
        <w:rPr>
          <w:rFonts w:hint="eastAsia"/>
        </w:rPr>
        <w:t>学生通过创作微型剧本，形成对剧本的深度理解，并围绕本质问题，探究剧本创作的思考路径</w:t>
      </w:r>
      <w:r>
        <w:rPr>
          <w:rFonts w:hint="eastAsia"/>
          <w:lang w:eastAsia="zh-CN"/>
        </w:rPr>
        <w:t>，</w:t>
      </w:r>
      <w:r>
        <w:rPr>
          <w:rFonts w:hint="eastAsia"/>
        </w:rPr>
        <w:t>逐渐完善“好的作文”“好的学习任务单”“好的剧本”“好的戏剧”评价量表。</w:t>
      </w:r>
    </w:p>
    <w:p w14:paraId="72A7D651">
      <w:pPr>
        <w:numPr>
          <w:ilvl w:val="0"/>
          <w:numId w:val="0"/>
        </w:numPr>
        <w:tabs>
          <w:tab w:val="left" w:pos="312"/>
          <w:tab w:val="left" w:pos="2177"/>
        </w:tabs>
        <w:rPr>
          <w:rFonts w:hint="default" w:eastAsiaTheme="minorEastAsia"/>
          <w:lang w:val="en-US" w:eastAsia="zh-CN"/>
        </w:rPr>
      </w:pPr>
      <w:r>
        <w:rPr>
          <w:rFonts w:hint="eastAsia"/>
          <w:lang w:val="en-US" w:eastAsia="zh-CN"/>
        </w:rPr>
        <w:t>以下是完善后的剧本写作评价量表和戏剧表演评价量表：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126"/>
        <w:gridCol w:w="993"/>
        <w:gridCol w:w="992"/>
        <w:gridCol w:w="980"/>
        <w:gridCol w:w="980"/>
      </w:tblGrid>
      <w:tr w14:paraId="4DD06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jc w:val="center"/>
        </w:trPr>
        <w:tc>
          <w:tcPr>
            <w:tcW w:w="1271" w:type="dxa"/>
            <w:vMerge w:val="restart"/>
          </w:tcPr>
          <w:p w14:paraId="25F4247D">
            <w:pPr>
              <w:tabs>
                <w:tab w:val="left" w:pos="312"/>
              </w:tabs>
              <w:rPr>
                <w:b w:val="0"/>
              </w:rPr>
            </w:pPr>
            <w:r>
              <w:rPr>
                <w:rFonts w:hint="eastAsia"/>
                <w:b w:val="0"/>
              </w:rPr>
              <w:t>评价项</w:t>
            </w:r>
          </w:p>
        </w:tc>
        <w:tc>
          <w:tcPr>
            <w:tcW w:w="2126" w:type="dxa"/>
            <w:vMerge w:val="restart"/>
          </w:tcPr>
          <w:p w14:paraId="0579867C">
            <w:pPr>
              <w:tabs>
                <w:tab w:val="left" w:pos="312"/>
              </w:tabs>
              <w:rPr>
                <w:b w:val="0"/>
              </w:rPr>
            </w:pPr>
            <w:r>
              <w:rPr>
                <w:rFonts w:hint="eastAsia"/>
                <w:b w:val="0"/>
              </w:rPr>
              <w:t>评价内容</w:t>
            </w:r>
          </w:p>
        </w:tc>
        <w:tc>
          <w:tcPr>
            <w:tcW w:w="3945" w:type="dxa"/>
            <w:gridSpan w:val="4"/>
          </w:tcPr>
          <w:p w14:paraId="27DF1CB6">
            <w:pPr>
              <w:tabs>
                <w:tab w:val="left" w:pos="312"/>
              </w:tabs>
              <w:rPr>
                <w:b w:val="0"/>
              </w:rPr>
            </w:pPr>
            <w:r>
              <w:rPr>
                <w:rFonts w:hint="eastAsia"/>
                <w:b w:val="0"/>
              </w:rPr>
              <w:t>水平表现（满分100）</w:t>
            </w:r>
          </w:p>
        </w:tc>
      </w:tr>
      <w:tr w14:paraId="759E9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1271" w:type="dxa"/>
            <w:vMerge w:val="continue"/>
          </w:tcPr>
          <w:p w14:paraId="49AFAD9F">
            <w:pPr>
              <w:tabs>
                <w:tab w:val="left" w:pos="312"/>
              </w:tabs>
              <w:rPr>
                <w:b w:val="0"/>
              </w:rPr>
            </w:pPr>
          </w:p>
        </w:tc>
        <w:tc>
          <w:tcPr>
            <w:tcW w:w="2126" w:type="dxa"/>
            <w:vMerge w:val="continue"/>
          </w:tcPr>
          <w:p w14:paraId="3D913938">
            <w:pPr>
              <w:tabs>
                <w:tab w:val="left" w:pos="312"/>
              </w:tabs>
              <w:rPr>
                <w:b w:val="0"/>
              </w:rPr>
            </w:pPr>
          </w:p>
        </w:tc>
        <w:tc>
          <w:tcPr>
            <w:tcW w:w="993" w:type="dxa"/>
          </w:tcPr>
          <w:p w14:paraId="43F84F5A">
            <w:pPr>
              <w:tabs>
                <w:tab w:val="left" w:pos="312"/>
              </w:tabs>
              <w:rPr>
                <w:b w:val="0"/>
              </w:rPr>
            </w:pPr>
            <w:r>
              <w:rPr>
                <w:rFonts w:hint="eastAsia"/>
                <w:b w:val="0"/>
              </w:rPr>
              <w:t>好</w:t>
            </w:r>
          </w:p>
          <w:p w14:paraId="1934BAC6">
            <w:pPr>
              <w:tabs>
                <w:tab w:val="left" w:pos="312"/>
              </w:tabs>
              <w:rPr>
                <w:b w:val="0"/>
              </w:rPr>
            </w:pPr>
            <w:r>
              <w:rPr>
                <w:rFonts w:hint="eastAsia"/>
                <w:b w:val="0"/>
              </w:rPr>
              <w:t>18—25</w:t>
            </w:r>
          </w:p>
        </w:tc>
        <w:tc>
          <w:tcPr>
            <w:tcW w:w="992" w:type="dxa"/>
          </w:tcPr>
          <w:p w14:paraId="09EADC0F">
            <w:pPr>
              <w:tabs>
                <w:tab w:val="left" w:pos="312"/>
              </w:tabs>
              <w:rPr>
                <w:b w:val="0"/>
              </w:rPr>
            </w:pPr>
            <w:r>
              <w:rPr>
                <w:rFonts w:hint="eastAsia"/>
                <w:b w:val="0"/>
              </w:rPr>
              <w:t>较好</w:t>
            </w:r>
          </w:p>
          <w:p w14:paraId="40D0246B">
            <w:pPr>
              <w:tabs>
                <w:tab w:val="left" w:pos="312"/>
              </w:tabs>
              <w:rPr>
                <w:rFonts w:hint="eastAsia" w:eastAsiaTheme="minorEastAsia"/>
                <w:b w:val="0"/>
                <w:lang w:val="en-US" w:eastAsia="zh-CN"/>
              </w:rPr>
            </w:pPr>
            <w:r>
              <w:rPr>
                <w:rFonts w:hint="eastAsia"/>
                <w:b w:val="0"/>
              </w:rPr>
              <w:t>11—1</w:t>
            </w:r>
            <w:r>
              <w:rPr>
                <w:rFonts w:hint="eastAsia"/>
                <w:b w:val="0"/>
                <w:lang w:val="en-US" w:eastAsia="zh-CN"/>
              </w:rPr>
              <w:t>7</w:t>
            </w:r>
          </w:p>
        </w:tc>
        <w:tc>
          <w:tcPr>
            <w:tcW w:w="980" w:type="dxa"/>
          </w:tcPr>
          <w:p w14:paraId="6F9FB9BA">
            <w:pPr>
              <w:tabs>
                <w:tab w:val="left" w:pos="312"/>
              </w:tabs>
              <w:rPr>
                <w:b w:val="0"/>
              </w:rPr>
            </w:pPr>
            <w:r>
              <w:rPr>
                <w:rFonts w:hint="eastAsia"/>
                <w:b w:val="0"/>
              </w:rPr>
              <w:t>一般</w:t>
            </w:r>
          </w:p>
          <w:p w14:paraId="7F9F6FE6">
            <w:pPr>
              <w:tabs>
                <w:tab w:val="left" w:pos="312"/>
              </w:tabs>
              <w:rPr>
                <w:b w:val="0"/>
              </w:rPr>
            </w:pPr>
            <w:r>
              <w:rPr>
                <w:rFonts w:hint="eastAsia"/>
                <w:b w:val="0"/>
              </w:rPr>
              <w:t>1—10</w:t>
            </w:r>
          </w:p>
        </w:tc>
        <w:tc>
          <w:tcPr>
            <w:tcW w:w="980" w:type="dxa"/>
          </w:tcPr>
          <w:p w14:paraId="71D2AC09">
            <w:pPr>
              <w:tabs>
                <w:tab w:val="left" w:pos="312"/>
              </w:tabs>
              <w:rPr>
                <w:b w:val="0"/>
              </w:rPr>
            </w:pPr>
            <w:r>
              <w:rPr>
                <w:rFonts w:hint="eastAsia"/>
                <w:b w:val="0"/>
              </w:rPr>
              <w:t>得分</w:t>
            </w:r>
          </w:p>
        </w:tc>
      </w:tr>
      <w:tr w14:paraId="60A96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4735420E">
            <w:pPr>
              <w:tabs>
                <w:tab w:val="left" w:pos="312"/>
              </w:tabs>
              <w:rPr>
                <w:b w:val="0"/>
              </w:rPr>
            </w:pPr>
            <w:r>
              <w:rPr>
                <w:rFonts w:hint="eastAsia"/>
                <w:b w:val="0"/>
              </w:rPr>
              <w:t>剧本结构</w:t>
            </w:r>
          </w:p>
        </w:tc>
        <w:tc>
          <w:tcPr>
            <w:tcW w:w="2126" w:type="dxa"/>
          </w:tcPr>
          <w:p w14:paraId="53CFAE76">
            <w:pPr>
              <w:tabs>
                <w:tab w:val="left" w:pos="312"/>
              </w:tabs>
              <w:rPr>
                <w:b w:val="0"/>
              </w:rPr>
            </w:pPr>
            <w:r>
              <w:rPr>
                <w:rFonts w:hint="eastAsia"/>
                <w:b w:val="0"/>
              </w:rPr>
              <w:t>故事发展合理连贯；冲突描写紧凑；组织结构清晰；情节发展引人入胜</w:t>
            </w:r>
          </w:p>
        </w:tc>
        <w:tc>
          <w:tcPr>
            <w:tcW w:w="993" w:type="dxa"/>
          </w:tcPr>
          <w:p w14:paraId="705ABDE0">
            <w:pPr>
              <w:tabs>
                <w:tab w:val="left" w:pos="312"/>
              </w:tabs>
              <w:rPr>
                <w:b w:val="0"/>
              </w:rPr>
            </w:pPr>
          </w:p>
        </w:tc>
        <w:tc>
          <w:tcPr>
            <w:tcW w:w="992" w:type="dxa"/>
          </w:tcPr>
          <w:p w14:paraId="59A5D9C6">
            <w:pPr>
              <w:tabs>
                <w:tab w:val="left" w:pos="312"/>
              </w:tabs>
              <w:rPr>
                <w:b w:val="0"/>
              </w:rPr>
            </w:pPr>
          </w:p>
        </w:tc>
        <w:tc>
          <w:tcPr>
            <w:tcW w:w="980" w:type="dxa"/>
          </w:tcPr>
          <w:p w14:paraId="206D9954">
            <w:pPr>
              <w:tabs>
                <w:tab w:val="left" w:pos="312"/>
              </w:tabs>
              <w:rPr>
                <w:b w:val="0"/>
              </w:rPr>
            </w:pPr>
          </w:p>
        </w:tc>
        <w:tc>
          <w:tcPr>
            <w:tcW w:w="980" w:type="dxa"/>
          </w:tcPr>
          <w:p w14:paraId="71B99E3D">
            <w:pPr>
              <w:tabs>
                <w:tab w:val="left" w:pos="312"/>
              </w:tabs>
              <w:rPr>
                <w:b w:val="0"/>
              </w:rPr>
            </w:pPr>
          </w:p>
        </w:tc>
      </w:tr>
      <w:tr w14:paraId="3F590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18FCC288">
            <w:pPr>
              <w:tabs>
                <w:tab w:val="left" w:pos="312"/>
              </w:tabs>
              <w:rPr>
                <w:b w:val="0"/>
              </w:rPr>
            </w:pPr>
            <w:r>
              <w:rPr>
                <w:rFonts w:hint="eastAsia"/>
                <w:b w:val="0"/>
              </w:rPr>
              <w:t>角色塑造</w:t>
            </w:r>
          </w:p>
        </w:tc>
        <w:tc>
          <w:tcPr>
            <w:tcW w:w="2126" w:type="dxa"/>
          </w:tcPr>
          <w:p w14:paraId="643F70C2">
            <w:pPr>
              <w:tabs>
                <w:tab w:val="left" w:pos="312"/>
              </w:tabs>
              <w:rPr>
                <w:b w:val="0"/>
              </w:rPr>
            </w:pPr>
            <w:r>
              <w:rPr>
                <w:rFonts w:hint="eastAsia"/>
                <w:b w:val="0"/>
              </w:rPr>
              <w:t>角色言行合理；角色性格鲜明</w:t>
            </w:r>
          </w:p>
        </w:tc>
        <w:tc>
          <w:tcPr>
            <w:tcW w:w="993" w:type="dxa"/>
          </w:tcPr>
          <w:p w14:paraId="6EFC98E8">
            <w:pPr>
              <w:tabs>
                <w:tab w:val="left" w:pos="312"/>
              </w:tabs>
              <w:rPr>
                <w:b w:val="0"/>
              </w:rPr>
            </w:pPr>
          </w:p>
        </w:tc>
        <w:tc>
          <w:tcPr>
            <w:tcW w:w="992" w:type="dxa"/>
          </w:tcPr>
          <w:p w14:paraId="797E9D95">
            <w:pPr>
              <w:tabs>
                <w:tab w:val="left" w:pos="312"/>
              </w:tabs>
              <w:rPr>
                <w:b w:val="0"/>
              </w:rPr>
            </w:pPr>
          </w:p>
        </w:tc>
        <w:tc>
          <w:tcPr>
            <w:tcW w:w="980" w:type="dxa"/>
          </w:tcPr>
          <w:p w14:paraId="47F5AA5D">
            <w:pPr>
              <w:tabs>
                <w:tab w:val="left" w:pos="312"/>
              </w:tabs>
              <w:rPr>
                <w:b w:val="0"/>
              </w:rPr>
            </w:pPr>
          </w:p>
        </w:tc>
        <w:tc>
          <w:tcPr>
            <w:tcW w:w="980" w:type="dxa"/>
          </w:tcPr>
          <w:p w14:paraId="5AB31851">
            <w:pPr>
              <w:tabs>
                <w:tab w:val="left" w:pos="312"/>
              </w:tabs>
              <w:rPr>
                <w:b w:val="0"/>
              </w:rPr>
            </w:pPr>
          </w:p>
        </w:tc>
      </w:tr>
      <w:tr w14:paraId="0465F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59C0FA16">
            <w:pPr>
              <w:tabs>
                <w:tab w:val="left" w:pos="312"/>
              </w:tabs>
              <w:rPr>
                <w:b w:val="0"/>
              </w:rPr>
            </w:pPr>
            <w:r>
              <w:rPr>
                <w:rFonts w:hint="eastAsia"/>
                <w:b w:val="0"/>
              </w:rPr>
              <w:t>对白、旁白、独白</w:t>
            </w:r>
          </w:p>
        </w:tc>
        <w:tc>
          <w:tcPr>
            <w:tcW w:w="2126" w:type="dxa"/>
          </w:tcPr>
          <w:p w14:paraId="1722563B">
            <w:pPr>
              <w:tabs>
                <w:tab w:val="left" w:pos="312"/>
              </w:tabs>
              <w:rPr>
                <w:b w:val="0"/>
              </w:rPr>
            </w:pPr>
            <w:r>
              <w:rPr>
                <w:rFonts w:hint="eastAsia"/>
                <w:b w:val="0"/>
              </w:rPr>
              <w:t>真实、生动、准确、及时</w:t>
            </w:r>
          </w:p>
        </w:tc>
        <w:tc>
          <w:tcPr>
            <w:tcW w:w="993" w:type="dxa"/>
          </w:tcPr>
          <w:p w14:paraId="4374AD31">
            <w:pPr>
              <w:tabs>
                <w:tab w:val="left" w:pos="312"/>
              </w:tabs>
              <w:rPr>
                <w:b w:val="0"/>
              </w:rPr>
            </w:pPr>
          </w:p>
        </w:tc>
        <w:tc>
          <w:tcPr>
            <w:tcW w:w="992" w:type="dxa"/>
          </w:tcPr>
          <w:p w14:paraId="6EAAC4CE">
            <w:pPr>
              <w:tabs>
                <w:tab w:val="left" w:pos="312"/>
              </w:tabs>
              <w:rPr>
                <w:b w:val="0"/>
              </w:rPr>
            </w:pPr>
          </w:p>
        </w:tc>
        <w:tc>
          <w:tcPr>
            <w:tcW w:w="980" w:type="dxa"/>
          </w:tcPr>
          <w:p w14:paraId="0DB46435">
            <w:pPr>
              <w:tabs>
                <w:tab w:val="left" w:pos="312"/>
              </w:tabs>
              <w:rPr>
                <w:b w:val="0"/>
              </w:rPr>
            </w:pPr>
          </w:p>
        </w:tc>
        <w:tc>
          <w:tcPr>
            <w:tcW w:w="980" w:type="dxa"/>
          </w:tcPr>
          <w:p w14:paraId="39783911">
            <w:pPr>
              <w:tabs>
                <w:tab w:val="left" w:pos="312"/>
              </w:tabs>
              <w:rPr>
                <w:b w:val="0"/>
              </w:rPr>
            </w:pPr>
          </w:p>
        </w:tc>
      </w:tr>
      <w:tr w14:paraId="551D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42C6C03A">
            <w:pPr>
              <w:tabs>
                <w:tab w:val="left" w:pos="312"/>
              </w:tabs>
              <w:rPr>
                <w:b w:val="0"/>
              </w:rPr>
            </w:pPr>
            <w:r>
              <w:rPr>
                <w:rFonts w:hint="eastAsia"/>
                <w:b w:val="0"/>
              </w:rPr>
              <w:t>遵循与思维</w:t>
            </w:r>
          </w:p>
        </w:tc>
        <w:tc>
          <w:tcPr>
            <w:tcW w:w="2126" w:type="dxa"/>
          </w:tcPr>
          <w:p w14:paraId="78FEFB59">
            <w:pPr>
              <w:tabs>
                <w:tab w:val="left" w:pos="312"/>
              </w:tabs>
              <w:rPr>
                <w:b w:val="0"/>
              </w:rPr>
            </w:pPr>
            <w:r>
              <w:rPr>
                <w:rFonts w:hint="eastAsia"/>
                <w:b w:val="0"/>
              </w:rPr>
              <w:t>在尊重原著的基础上，有合理创新</w:t>
            </w:r>
          </w:p>
        </w:tc>
        <w:tc>
          <w:tcPr>
            <w:tcW w:w="993" w:type="dxa"/>
          </w:tcPr>
          <w:p w14:paraId="2F96B92E">
            <w:pPr>
              <w:tabs>
                <w:tab w:val="left" w:pos="312"/>
              </w:tabs>
              <w:rPr>
                <w:b w:val="0"/>
              </w:rPr>
            </w:pPr>
          </w:p>
        </w:tc>
        <w:tc>
          <w:tcPr>
            <w:tcW w:w="992" w:type="dxa"/>
          </w:tcPr>
          <w:p w14:paraId="3320DCD4">
            <w:pPr>
              <w:tabs>
                <w:tab w:val="left" w:pos="312"/>
              </w:tabs>
              <w:rPr>
                <w:b w:val="0"/>
              </w:rPr>
            </w:pPr>
          </w:p>
        </w:tc>
        <w:tc>
          <w:tcPr>
            <w:tcW w:w="980" w:type="dxa"/>
          </w:tcPr>
          <w:p w14:paraId="0EFEB403">
            <w:pPr>
              <w:tabs>
                <w:tab w:val="left" w:pos="312"/>
              </w:tabs>
              <w:rPr>
                <w:b w:val="0"/>
              </w:rPr>
            </w:pPr>
          </w:p>
        </w:tc>
        <w:tc>
          <w:tcPr>
            <w:tcW w:w="980" w:type="dxa"/>
          </w:tcPr>
          <w:p w14:paraId="24E90350">
            <w:pPr>
              <w:tabs>
                <w:tab w:val="left" w:pos="312"/>
              </w:tabs>
              <w:rPr>
                <w:b w:val="0"/>
              </w:rPr>
            </w:pPr>
          </w:p>
        </w:tc>
      </w:tr>
    </w:tbl>
    <w:p w14:paraId="3238937A"/>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2268"/>
        <w:gridCol w:w="993"/>
        <w:gridCol w:w="992"/>
        <w:gridCol w:w="980"/>
        <w:gridCol w:w="980"/>
      </w:tblGrid>
      <w:tr w14:paraId="3033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jc w:val="center"/>
        </w:trPr>
        <w:tc>
          <w:tcPr>
            <w:tcW w:w="1129" w:type="dxa"/>
            <w:vMerge w:val="restart"/>
          </w:tcPr>
          <w:p w14:paraId="5AAAB564">
            <w:pPr>
              <w:tabs>
                <w:tab w:val="left" w:pos="312"/>
              </w:tabs>
              <w:rPr>
                <w:b w:val="0"/>
              </w:rPr>
            </w:pPr>
            <w:r>
              <w:rPr>
                <w:rFonts w:hint="eastAsia"/>
                <w:b w:val="0"/>
              </w:rPr>
              <w:t>评价项</w:t>
            </w:r>
          </w:p>
        </w:tc>
        <w:tc>
          <w:tcPr>
            <w:tcW w:w="2268" w:type="dxa"/>
            <w:vMerge w:val="restart"/>
          </w:tcPr>
          <w:p w14:paraId="76F1A3A6">
            <w:pPr>
              <w:tabs>
                <w:tab w:val="left" w:pos="312"/>
              </w:tabs>
              <w:rPr>
                <w:b w:val="0"/>
              </w:rPr>
            </w:pPr>
            <w:r>
              <w:rPr>
                <w:rFonts w:hint="eastAsia"/>
                <w:b w:val="0"/>
              </w:rPr>
              <w:t>评价内容</w:t>
            </w:r>
          </w:p>
        </w:tc>
        <w:tc>
          <w:tcPr>
            <w:tcW w:w="3945" w:type="dxa"/>
            <w:gridSpan w:val="4"/>
          </w:tcPr>
          <w:p w14:paraId="2ECAD0C0">
            <w:pPr>
              <w:tabs>
                <w:tab w:val="left" w:pos="312"/>
              </w:tabs>
              <w:rPr>
                <w:b w:val="0"/>
              </w:rPr>
            </w:pPr>
            <w:r>
              <w:rPr>
                <w:rFonts w:hint="eastAsia"/>
                <w:b w:val="0"/>
              </w:rPr>
              <w:t>水平表现（满分100）</w:t>
            </w:r>
          </w:p>
        </w:tc>
      </w:tr>
      <w:tr w14:paraId="5F3DA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1129" w:type="dxa"/>
            <w:vMerge w:val="continue"/>
          </w:tcPr>
          <w:p w14:paraId="0997DC4C">
            <w:pPr>
              <w:tabs>
                <w:tab w:val="left" w:pos="312"/>
              </w:tabs>
              <w:rPr>
                <w:b w:val="0"/>
              </w:rPr>
            </w:pPr>
          </w:p>
        </w:tc>
        <w:tc>
          <w:tcPr>
            <w:tcW w:w="2268" w:type="dxa"/>
            <w:vMerge w:val="continue"/>
          </w:tcPr>
          <w:p w14:paraId="708C8A99">
            <w:pPr>
              <w:tabs>
                <w:tab w:val="left" w:pos="312"/>
              </w:tabs>
              <w:rPr>
                <w:b w:val="0"/>
              </w:rPr>
            </w:pPr>
          </w:p>
        </w:tc>
        <w:tc>
          <w:tcPr>
            <w:tcW w:w="993" w:type="dxa"/>
          </w:tcPr>
          <w:p w14:paraId="43CB0348">
            <w:pPr>
              <w:tabs>
                <w:tab w:val="left" w:pos="312"/>
              </w:tabs>
              <w:rPr>
                <w:b w:val="0"/>
              </w:rPr>
            </w:pPr>
            <w:r>
              <w:rPr>
                <w:rFonts w:hint="eastAsia"/>
                <w:b w:val="0"/>
              </w:rPr>
              <w:t>好</w:t>
            </w:r>
          </w:p>
          <w:p w14:paraId="23A32AA7">
            <w:pPr>
              <w:tabs>
                <w:tab w:val="left" w:pos="312"/>
              </w:tabs>
              <w:rPr>
                <w:b w:val="0"/>
              </w:rPr>
            </w:pPr>
            <w:r>
              <w:rPr>
                <w:rFonts w:hint="eastAsia"/>
                <w:b w:val="0"/>
              </w:rPr>
              <w:t>14—20</w:t>
            </w:r>
          </w:p>
        </w:tc>
        <w:tc>
          <w:tcPr>
            <w:tcW w:w="992" w:type="dxa"/>
          </w:tcPr>
          <w:p w14:paraId="24CEC16E">
            <w:pPr>
              <w:tabs>
                <w:tab w:val="left" w:pos="312"/>
              </w:tabs>
              <w:rPr>
                <w:b w:val="0"/>
              </w:rPr>
            </w:pPr>
            <w:r>
              <w:rPr>
                <w:rFonts w:hint="eastAsia"/>
                <w:b w:val="0"/>
              </w:rPr>
              <w:t>较好</w:t>
            </w:r>
          </w:p>
          <w:p w14:paraId="12FC044F">
            <w:pPr>
              <w:tabs>
                <w:tab w:val="left" w:pos="312"/>
              </w:tabs>
              <w:rPr>
                <w:b w:val="0"/>
              </w:rPr>
            </w:pPr>
            <w:r>
              <w:rPr>
                <w:rFonts w:hint="eastAsia"/>
                <w:b w:val="0"/>
              </w:rPr>
              <w:t>7—13</w:t>
            </w:r>
          </w:p>
        </w:tc>
        <w:tc>
          <w:tcPr>
            <w:tcW w:w="980" w:type="dxa"/>
          </w:tcPr>
          <w:p w14:paraId="3B063CB2">
            <w:pPr>
              <w:tabs>
                <w:tab w:val="left" w:pos="312"/>
              </w:tabs>
              <w:rPr>
                <w:b w:val="0"/>
              </w:rPr>
            </w:pPr>
            <w:r>
              <w:rPr>
                <w:rFonts w:hint="eastAsia"/>
                <w:b w:val="0"/>
              </w:rPr>
              <w:t>一般</w:t>
            </w:r>
          </w:p>
          <w:p w14:paraId="5770ECDF">
            <w:pPr>
              <w:tabs>
                <w:tab w:val="left" w:pos="312"/>
              </w:tabs>
              <w:rPr>
                <w:b w:val="0"/>
              </w:rPr>
            </w:pPr>
            <w:r>
              <w:rPr>
                <w:rFonts w:hint="eastAsia"/>
                <w:b w:val="0"/>
              </w:rPr>
              <w:t>1—6</w:t>
            </w:r>
          </w:p>
        </w:tc>
        <w:tc>
          <w:tcPr>
            <w:tcW w:w="980" w:type="dxa"/>
          </w:tcPr>
          <w:p w14:paraId="15F2A72C">
            <w:pPr>
              <w:tabs>
                <w:tab w:val="left" w:pos="312"/>
              </w:tabs>
              <w:rPr>
                <w:b w:val="0"/>
              </w:rPr>
            </w:pPr>
            <w:r>
              <w:rPr>
                <w:rFonts w:hint="eastAsia"/>
                <w:b w:val="0"/>
              </w:rPr>
              <w:t>得分</w:t>
            </w:r>
          </w:p>
        </w:tc>
      </w:tr>
      <w:tr w14:paraId="4B085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tcPr>
          <w:p w14:paraId="7EA8E282">
            <w:pPr>
              <w:tabs>
                <w:tab w:val="left" w:pos="312"/>
              </w:tabs>
              <w:rPr>
                <w:b w:val="0"/>
              </w:rPr>
            </w:pPr>
            <w:r>
              <w:rPr>
                <w:rFonts w:hint="eastAsia"/>
                <w:b w:val="0"/>
              </w:rPr>
              <w:t>剧本创作</w:t>
            </w:r>
          </w:p>
        </w:tc>
        <w:tc>
          <w:tcPr>
            <w:tcW w:w="2268" w:type="dxa"/>
          </w:tcPr>
          <w:p w14:paraId="237116F6">
            <w:pPr>
              <w:tabs>
                <w:tab w:val="left" w:pos="312"/>
              </w:tabs>
              <w:rPr>
                <w:b w:val="0"/>
              </w:rPr>
            </w:pPr>
            <w:r>
              <w:rPr>
                <w:rFonts w:hint="eastAsia"/>
                <w:b w:val="0"/>
              </w:rPr>
              <w:t>在原著基础上有合理创新。</w:t>
            </w:r>
          </w:p>
        </w:tc>
        <w:tc>
          <w:tcPr>
            <w:tcW w:w="993" w:type="dxa"/>
          </w:tcPr>
          <w:p w14:paraId="0F88C5F8">
            <w:pPr>
              <w:tabs>
                <w:tab w:val="left" w:pos="312"/>
              </w:tabs>
              <w:rPr>
                <w:b w:val="0"/>
              </w:rPr>
            </w:pPr>
          </w:p>
        </w:tc>
        <w:tc>
          <w:tcPr>
            <w:tcW w:w="992" w:type="dxa"/>
          </w:tcPr>
          <w:p w14:paraId="5945DE7F">
            <w:pPr>
              <w:tabs>
                <w:tab w:val="left" w:pos="312"/>
              </w:tabs>
              <w:rPr>
                <w:b w:val="0"/>
              </w:rPr>
            </w:pPr>
          </w:p>
        </w:tc>
        <w:tc>
          <w:tcPr>
            <w:tcW w:w="980" w:type="dxa"/>
          </w:tcPr>
          <w:p w14:paraId="2CF2C55E">
            <w:pPr>
              <w:tabs>
                <w:tab w:val="left" w:pos="312"/>
              </w:tabs>
              <w:rPr>
                <w:b w:val="0"/>
              </w:rPr>
            </w:pPr>
          </w:p>
        </w:tc>
        <w:tc>
          <w:tcPr>
            <w:tcW w:w="980" w:type="dxa"/>
          </w:tcPr>
          <w:p w14:paraId="7D974512">
            <w:pPr>
              <w:tabs>
                <w:tab w:val="left" w:pos="312"/>
              </w:tabs>
              <w:rPr>
                <w:b w:val="0"/>
              </w:rPr>
            </w:pPr>
          </w:p>
        </w:tc>
      </w:tr>
      <w:tr w14:paraId="2DE7C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tcPr>
          <w:p w14:paraId="3E3B85D6">
            <w:pPr>
              <w:tabs>
                <w:tab w:val="left" w:pos="312"/>
              </w:tabs>
              <w:rPr>
                <w:b w:val="0"/>
              </w:rPr>
            </w:pPr>
            <w:r>
              <w:rPr>
                <w:rFonts w:hint="eastAsia"/>
                <w:b w:val="0"/>
              </w:rPr>
              <w:t>故事表达</w:t>
            </w:r>
          </w:p>
        </w:tc>
        <w:tc>
          <w:tcPr>
            <w:tcW w:w="2268" w:type="dxa"/>
          </w:tcPr>
          <w:p w14:paraId="5C31AE46">
            <w:pPr>
              <w:tabs>
                <w:tab w:val="left" w:pos="312"/>
              </w:tabs>
              <w:rPr>
                <w:b w:val="0"/>
              </w:rPr>
            </w:pPr>
            <w:r>
              <w:rPr>
                <w:rFonts w:hint="eastAsia"/>
                <w:b w:val="0"/>
              </w:rPr>
              <w:t>故事表演完整，语言流畅、清晰。</w:t>
            </w:r>
          </w:p>
        </w:tc>
        <w:tc>
          <w:tcPr>
            <w:tcW w:w="993" w:type="dxa"/>
          </w:tcPr>
          <w:p w14:paraId="045B75B8">
            <w:pPr>
              <w:tabs>
                <w:tab w:val="left" w:pos="312"/>
              </w:tabs>
              <w:rPr>
                <w:b w:val="0"/>
              </w:rPr>
            </w:pPr>
          </w:p>
        </w:tc>
        <w:tc>
          <w:tcPr>
            <w:tcW w:w="992" w:type="dxa"/>
          </w:tcPr>
          <w:p w14:paraId="28E65E8B">
            <w:pPr>
              <w:tabs>
                <w:tab w:val="left" w:pos="312"/>
              </w:tabs>
              <w:rPr>
                <w:b w:val="0"/>
              </w:rPr>
            </w:pPr>
          </w:p>
        </w:tc>
        <w:tc>
          <w:tcPr>
            <w:tcW w:w="980" w:type="dxa"/>
          </w:tcPr>
          <w:p w14:paraId="34E98973">
            <w:pPr>
              <w:tabs>
                <w:tab w:val="left" w:pos="312"/>
              </w:tabs>
              <w:rPr>
                <w:b w:val="0"/>
              </w:rPr>
            </w:pPr>
          </w:p>
        </w:tc>
        <w:tc>
          <w:tcPr>
            <w:tcW w:w="980" w:type="dxa"/>
          </w:tcPr>
          <w:p w14:paraId="536CE562">
            <w:pPr>
              <w:tabs>
                <w:tab w:val="left" w:pos="312"/>
              </w:tabs>
              <w:rPr>
                <w:b w:val="0"/>
              </w:rPr>
            </w:pPr>
          </w:p>
        </w:tc>
      </w:tr>
      <w:tr w14:paraId="1C1B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tcPr>
          <w:p w14:paraId="60EDE3DB">
            <w:pPr>
              <w:tabs>
                <w:tab w:val="left" w:pos="312"/>
              </w:tabs>
              <w:rPr>
                <w:b w:val="0"/>
              </w:rPr>
            </w:pPr>
            <w:r>
              <w:rPr>
                <w:rFonts w:hint="eastAsia"/>
                <w:b w:val="0"/>
              </w:rPr>
              <w:t>语言魅力</w:t>
            </w:r>
          </w:p>
        </w:tc>
        <w:tc>
          <w:tcPr>
            <w:tcW w:w="2268" w:type="dxa"/>
          </w:tcPr>
          <w:p w14:paraId="20766BC4">
            <w:pPr>
              <w:tabs>
                <w:tab w:val="left" w:pos="312"/>
              </w:tabs>
              <w:rPr>
                <w:b w:val="0"/>
              </w:rPr>
            </w:pPr>
            <w:r>
              <w:rPr>
                <w:rFonts w:hint="eastAsia"/>
                <w:b w:val="0"/>
              </w:rPr>
              <w:t>符合故事发展及人物性格。感情基调与故事内容相符。感情流露自然得体。</w:t>
            </w:r>
          </w:p>
        </w:tc>
        <w:tc>
          <w:tcPr>
            <w:tcW w:w="993" w:type="dxa"/>
          </w:tcPr>
          <w:p w14:paraId="40F3E6AD">
            <w:pPr>
              <w:tabs>
                <w:tab w:val="left" w:pos="312"/>
              </w:tabs>
              <w:rPr>
                <w:b w:val="0"/>
              </w:rPr>
            </w:pPr>
          </w:p>
        </w:tc>
        <w:tc>
          <w:tcPr>
            <w:tcW w:w="992" w:type="dxa"/>
          </w:tcPr>
          <w:p w14:paraId="516D8503">
            <w:pPr>
              <w:tabs>
                <w:tab w:val="left" w:pos="312"/>
              </w:tabs>
              <w:rPr>
                <w:b w:val="0"/>
              </w:rPr>
            </w:pPr>
          </w:p>
        </w:tc>
        <w:tc>
          <w:tcPr>
            <w:tcW w:w="980" w:type="dxa"/>
          </w:tcPr>
          <w:p w14:paraId="7D5984EA">
            <w:pPr>
              <w:tabs>
                <w:tab w:val="left" w:pos="312"/>
              </w:tabs>
              <w:rPr>
                <w:b w:val="0"/>
              </w:rPr>
            </w:pPr>
          </w:p>
        </w:tc>
        <w:tc>
          <w:tcPr>
            <w:tcW w:w="980" w:type="dxa"/>
          </w:tcPr>
          <w:p w14:paraId="4CD7168A">
            <w:pPr>
              <w:tabs>
                <w:tab w:val="left" w:pos="312"/>
              </w:tabs>
              <w:rPr>
                <w:b w:val="0"/>
              </w:rPr>
            </w:pPr>
          </w:p>
        </w:tc>
      </w:tr>
      <w:tr w14:paraId="2CDC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tcPr>
          <w:p w14:paraId="43127D87">
            <w:pPr>
              <w:tabs>
                <w:tab w:val="left" w:pos="312"/>
              </w:tabs>
              <w:rPr>
                <w:b w:val="0"/>
              </w:rPr>
            </w:pPr>
            <w:r>
              <w:rPr>
                <w:rFonts w:hint="eastAsia"/>
                <w:b w:val="0"/>
              </w:rPr>
              <w:t>仪态动作</w:t>
            </w:r>
          </w:p>
        </w:tc>
        <w:tc>
          <w:tcPr>
            <w:tcW w:w="2268" w:type="dxa"/>
          </w:tcPr>
          <w:p w14:paraId="48914432">
            <w:pPr>
              <w:tabs>
                <w:tab w:val="left" w:pos="312"/>
              </w:tabs>
              <w:rPr>
                <w:b w:val="0"/>
              </w:rPr>
            </w:pPr>
            <w:r>
              <w:rPr>
                <w:rFonts w:hint="eastAsia"/>
                <w:b w:val="0"/>
              </w:rPr>
              <w:t>仪态大方、自然。人物动作与人物特点相符。</w:t>
            </w:r>
          </w:p>
        </w:tc>
        <w:tc>
          <w:tcPr>
            <w:tcW w:w="993" w:type="dxa"/>
          </w:tcPr>
          <w:p w14:paraId="0BB5A82B">
            <w:pPr>
              <w:tabs>
                <w:tab w:val="left" w:pos="312"/>
              </w:tabs>
              <w:rPr>
                <w:b w:val="0"/>
              </w:rPr>
            </w:pPr>
          </w:p>
        </w:tc>
        <w:tc>
          <w:tcPr>
            <w:tcW w:w="992" w:type="dxa"/>
          </w:tcPr>
          <w:p w14:paraId="3BC408D7">
            <w:pPr>
              <w:tabs>
                <w:tab w:val="left" w:pos="312"/>
              </w:tabs>
              <w:rPr>
                <w:b w:val="0"/>
              </w:rPr>
            </w:pPr>
          </w:p>
        </w:tc>
        <w:tc>
          <w:tcPr>
            <w:tcW w:w="980" w:type="dxa"/>
          </w:tcPr>
          <w:p w14:paraId="5D6E8EF8">
            <w:pPr>
              <w:tabs>
                <w:tab w:val="left" w:pos="312"/>
              </w:tabs>
              <w:rPr>
                <w:b w:val="0"/>
              </w:rPr>
            </w:pPr>
          </w:p>
        </w:tc>
        <w:tc>
          <w:tcPr>
            <w:tcW w:w="980" w:type="dxa"/>
          </w:tcPr>
          <w:p w14:paraId="0FEC6FF2">
            <w:pPr>
              <w:tabs>
                <w:tab w:val="left" w:pos="312"/>
              </w:tabs>
              <w:rPr>
                <w:b w:val="0"/>
              </w:rPr>
            </w:pPr>
          </w:p>
        </w:tc>
      </w:tr>
      <w:tr w14:paraId="5DEFA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1129" w:type="dxa"/>
          </w:tcPr>
          <w:p w14:paraId="0AB38399">
            <w:pPr>
              <w:tabs>
                <w:tab w:val="left" w:pos="312"/>
              </w:tabs>
              <w:rPr>
                <w:b w:val="0"/>
              </w:rPr>
            </w:pPr>
            <w:r>
              <w:rPr>
                <w:rFonts w:hint="eastAsia"/>
                <w:b w:val="0"/>
              </w:rPr>
              <w:t>服装道具</w:t>
            </w:r>
          </w:p>
          <w:p w14:paraId="7FB3D577">
            <w:pPr>
              <w:tabs>
                <w:tab w:val="left" w:pos="312"/>
              </w:tabs>
              <w:rPr>
                <w:b w:val="0"/>
              </w:rPr>
            </w:pPr>
            <w:r>
              <w:rPr>
                <w:rFonts w:hint="eastAsia"/>
                <w:b w:val="0"/>
              </w:rPr>
              <w:t>表演效果</w:t>
            </w:r>
          </w:p>
        </w:tc>
        <w:tc>
          <w:tcPr>
            <w:tcW w:w="2268" w:type="dxa"/>
          </w:tcPr>
          <w:p w14:paraId="4A066DF7">
            <w:pPr>
              <w:tabs>
                <w:tab w:val="left" w:pos="312"/>
              </w:tabs>
              <w:rPr>
                <w:b w:val="0"/>
              </w:rPr>
            </w:pPr>
            <w:r>
              <w:rPr>
                <w:rFonts w:hint="eastAsia"/>
                <w:b w:val="0"/>
              </w:rPr>
              <w:t>服装道具符合剧情或者有创意。</w:t>
            </w:r>
          </w:p>
          <w:p w14:paraId="1E5A5611">
            <w:pPr>
              <w:tabs>
                <w:tab w:val="left" w:pos="312"/>
              </w:tabs>
              <w:rPr>
                <w:b w:val="0"/>
              </w:rPr>
            </w:pPr>
            <w:r>
              <w:rPr>
                <w:rFonts w:hint="eastAsia"/>
                <w:b w:val="0"/>
              </w:rPr>
              <w:t>舞台表演效果好，能吸引观众，获得好评。</w:t>
            </w:r>
          </w:p>
        </w:tc>
        <w:tc>
          <w:tcPr>
            <w:tcW w:w="993" w:type="dxa"/>
          </w:tcPr>
          <w:p w14:paraId="70546528">
            <w:pPr>
              <w:tabs>
                <w:tab w:val="left" w:pos="312"/>
              </w:tabs>
              <w:rPr>
                <w:b w:val="0"/>
              </w:rPr>
            </w:pPr>
          </w:p>
        </w:tc>
        <w:tc>
          <w:tcPr>
            <w:tcW w:w="992" w:type="dxa"/>
          </w:tcPr>
          <w:p w14:paraId="51BBD357">
            <w:pPr>
              <w:tabs>
                <w:tab w:val="left" w:pos="312"/>
              </w:tabs>
              <w:rPr>
                <w:b w:val="0"/>
              </w:rPr>
            </w:pPr>
          </w:p>
        </w:tc>
        <w:tc>
          <w:tcPr>
            <w:tcW w:w="980" w:type="dxa"/>
          </w:tcPr>
          <w:p w14:paraId="13EF97E5">
            <w:pPr>
              <w:tabs>
                <w:tab w:val="left" w:pos="312"/>
              </w:tabs>
              <w:rPr>
                <w:b w:val="0"/>
              </w:rPr>
            </w:pPr>
          </w:p>
        </w:tc>
        <w:tc>
          <w:tcPr>
            <w:tcW w:w="980" w:type="dxa"/>
          </w:tcPr>
          <w:p w14:paraId="53730BB0">
            <w:pPr>
              <w:tabs>
                <w:tab w:val="left" w:pos="312"/>
              </w:tabs>
              <w:rPr>
                <w:b w:val="0"/>
              </w:rPr>
            </w:pPr>
          </w:p>
        </w:tc>
      </w:tr>
    </w:tbl>
    <w:p w14:paraId="7A694322">
      <w:pPr>
        <w:tabs>
          <w:tab w:val="left" w:pos="312"/>
        </w:tabs>
        <w:ind w:firstLine="420" w:firstLineChars="200"/>
        <w:rPr>
          <w:rFonts w:hint="default" w:eastAsiaTheme="minorEastAsia"/>
          <w:b w:val="0"/>
          <w:lang w:val="en-US" w:eastAsia="zh-CN"/>
        </w:rPr>
      </w:pPr>
      <w:r>
        <w:rPr>
          <w:rFonts w:hint="eastAsia"/>
          <w:b w:val="0"/>
          <w:lang w:val="en-US" w:eastAsia="zh-CN"/>
        </w:rPr>
        <w:t>项目化学习要求设计者同时运用过程性评价和总结性评价及多元主体参与的评价方法来促进学生真正投入学习。</w:t>
      </w:r>
      <w:r>
        <w:rPr>
          <w:rFonts w:hint="eastAsia"/>
        </w:rPr>
        <w:t>“好的作文”“好的学习任务单”“好的剧本”</w:t>
      </w:r>
      <w:r>
        <w:rPr>
          <w:rFonts w:hint="eastAsia"/>
          <w:lang w:val="en-US" w:eastAsia="zh-CN"/>
        </w:rPr>
        <w:t>评价量表是过程性评价，“好的戏剧”评价量表则是总结性评价。</w:t>
      </w:r>
      <w:r>
        <w:rPr>
          <w:rFonts w:hint="eastAsia"/>
          <w:b w:val="0"/>
          <w:lang w:val="en-US" w:eastAsia="zh-CN"/>
        </w:rPr>
        <w:t>本次项目化学习中的</w:t>
      </w:r>
      <w:r>
        <w:rPr>
          <w:rFonts w:hint="eastAsia"/>
        </w:rPr>
        <w:t>过程性评价</w:t>
      </w:r>
      <w:r>
        <w:rPr>
          <w:rFonts w:hint="eastAsia"/>
          <w:lang w:val="en-US" w:eastAsia="zh-CN"/>
        </w:rPr>
        <w:t>除了量表评价，还包括</w:t>
      </w:r>
      <w:r>
        <w:rPr>
          <w:rFonts w:hint="eastAsia"/>
        </w:rPr>
        <w:t>自我评估</w:t>
      </w:r>
      <w:r>
        <w:rPr>
          <w:rFonts w:hint="eastAsia"/>
          <w:lang w:val="en-US" w:eastAsia="zh-CN"/>
        </w:rPr>
        <w:t>和</w:t>
      </w:r>
      <w:r>
        <w:rPr>
          <w:rFonts w:hint="eastAsia"/>
        </w:rPr>
        <w:t>同伴评价</w:t>
      </w:r>
      <w:r>
        <w:rPr>
          <w:rFonts w:hint="eastAsia"/>
          <w:lang w:eastAsia="zh-CN"/>
        </w:rPr>
        <w:t>。</w:t>
      </w:r>
    </w:p>
    <w:p w14:paraId="7D0C48B2">
      <w:pPr>
        <w:pStyle w:val="10"/>
        <w:ind w:left="0" w:leftChars="0" w:firstLine="0" w:firstLineChars="0"/>
        <w:rPr>
          <w:rFonts w:hint="default" w:ascii="宋体" w:hAnsi="宋体" w:eastAsia="宋体"/>
          <w:lang w:val="en-US" w:eastAsia="zh-CN"/>
        </w:rPr>
      </w:pPr>
      <w:r>
        <w:rPr>
          <w:rFonts w:hint="eastAsia" w:ascii="宋体" w:hAnsi="宋体" w:eastAsia="宋体"/>
          <w:lang w:val="en-US" w:eastAsia="zh-CN"/>
        </w:rPr>
        <w:t>三．项目化学习实践的成效和反思</w:t>
      </w:r>
    </w:p>
    <w:p w14:paraId="4E63779A">
      <w:pPr>
        <w:pStyle w:val="10"/>
        <w:rPr>
          <w:rFonts w:hint="eastAsia" w:ascii="宋体" w:hAnsi="宋体" w:eastAsia="宋体"/>
        </w:rPr>
      </w:pPr>
      <w:r>
        <w:rPr>
          <w:rFonts w:hint="eastAsia" w:ascii="Calibri" w:hAnsi="Calibri" w:eastAsia="宋体" w:cs="Calibri"/>
          <w:szCs w:val="21"/>
          <w:lang w:val="en-US" w:eastAsia="zh-CN"/>
        </w:rPr>
        <w:t>历经</w:t>
      </w:r>
      <w:r>
        <w:rPr>
          <w:rFonts w:hint="default" w:ascii="Calibri" w:hAnsi="Calibri" w:eastAsia="宋体" w:cs="Calibri"/>
          <w:szCs w:val="21"/>
          <w:lang w:val="en-US" w:eastAsia="zh-CN"/>
        </w:rPr>
        <w:t>三个月，</w:t>
      </w:r>
      <w:r>
        <w:rPr>
          <w:rFonts w:hint="eastAsia" w:ascii="Calibri" w:hAnsi="Calibri" w:eastAsia="宋体" w:cs="Calibri"/>
          <w:szCs w:val="21"/>
          <w:lang w:val="en-US" w:eastAsia="zh-CN"/>
        </w:rPr>
        <w:t>《骆驼祥子》从“整本书阅读”到“年级大戏”，</w:t>
      </w:r>
      <w:r>
        <w:rPr>
          <w:rFonts w:hint="default" w:ascii="Calibri" w:hAnsi="Calibri" w:eastAsia="宋体" w:cs="Calibri"/>
          <w:szCs w:val="21"/>
          <w:lang w:val="en-US" w:eastAsia="zh-CN"/>
        </w:rPr>
        <w:t>师生收获</w:t>
      </w:r>
      <w:r>
        <w:rPr>
          <w:rFonts w:hint="eastAsia" w:ascii="Calibri" w:hAnsi="Calibri" w:eastAsia="宋体" w:cs="Calibri"/>
          <w:szCs w:val="21"/>
          <w:lang w:val="en-US" w:eastAsia="zh-CN"/>
        </w:rPr>
        <w:t>很大。“整本书阅读”</w:t>
      </w:r>
      <w:r>
        <w:rPr>
          <w:rFonts w:hint="default" w:ascii="Calibri" w:hAnsi="Calibri" w:eastAsia="宋体" w:cs="Calibri"/>
          <w:szCs w:val="21"/>
          <w:lang w:val="en-US" w:eastAsia="zh-CN"/>
        </w:rPr>
        <w:t>深入学生的内心，戏剧表演立体地刻画人物形象，达到了我们预期的目标。</w:t>
      </w:r>
      <w:r>
        <w:rPr>
          <w:rFonts w:hint="eastAsia" w:ascii="宋体" w:hAnsi="宋体" w:eastAsia="宋体"/>
        </w:rPr>
        <w:t>这是对语文教学中“</w:t>
      </w:r>
      <w:r>
        <w:rPr>
          <w:rFonts w:hint="eastAsia" w:ascii="宋体" w:hAnsi="宋体" w:eastAsia="宋体"/>
          <w:lang w:val="en-US" w:eastAsia="zh-CN"/>
        </w:rPr>
        <w:t>整本书</w:t>
      </w:r>
      <w:r>
        <w:rPr>
          <w:rFonts w:hint="eastAsia" w:ascii="宋体" w:hAnsi="宋体" w:eastAsia="宋体"/>
        </w:rPr>
        <w:t>”阅读路径的深入实践，也是对学校“戏剧课程”向纵深发展的有益尝试。</w:t>
      </w:r>
    </w:p>
    <w:p w14:paraId="4E639073">
      <w:pPr>
        <w:pStyle w:val="10"/>
        <w:rPr>
          <w:rFonts w:hint="eastAsia" w:ascii="宋体" w:hAnsi="宋体" w:eastAsia="宋体" w:cs="Times New Roman"/>
          <w:szCs w:val="24"/>
        </w:rPr>
      </w:pPr>
      <w:r>
        <w:rPr>
          <w:rFonts w:hint="eastAsia" w:ascii="宋体" w:hAnsi="宋体" w:eastAsia="宋体" w:cs="Times New Roman"/>
          <w:szCs w:val="24"/>
        </w:rPr>
        <w:t>夏雪梅博士曾提到课堂实践的三级路径：安全感课堂</w:t>
      </w:r>
      <w:r>
        <w:rPr>
          <w:rFonts w:hint="eastAsia" w:ascii="宋体" w:hAnsi="宋体" w:eastAsia="宋体" w:cs="Times New Roman"/>
          <w:szCs w:val="24"/>
          <w:lang w:eastAsia="zh-CN"/>
        </w:rPr>
        <w:t>、</w:t>
      </w:r>
      <w:r>
        <w:rPr>
          <w:rFonts w:hint="eastAsia" w:ascii="宋体" w:hAnsi="宋体" w:eastAsia="宋体" w:cs="Times New Roman"/>
          <w:szCs w:val="24"/>
        </w:rPr>
        <w:t>横向联系的课堂</w:t>
      </w:r>
      <w:r>
        <w:rPr>
          <w:rFonts w:hint="eastAsia" w:ascii="宋体" w:hAnsi="宋体" w:eastAsia="宋体" w:cs="Times New Roman"/>
          <w:szCs w:val="24"/>
          <w:lang w:eastAsia="zh-CN"/>
        </w:rPr>
        <w:t>、</w:t>
      </w:r>
      <w:r>
        <w:rPr>
          <w:rFonts w:hint="eastAsia" w:ascii="宋体" w:hAnsi="宋体" w:eastAsia="宋体" w:cs="Times New Roman"/>
          <w:szCs w:val="24"/>
        </w:rPr>
        <w:t>合作解决大问题的课堂。第三级课堂表现出单元整体重构式的、学科或跨学科项目化学习的样态。</w:t>
      </w:r>
    </w:p>
    <w:p w14:paraId="0EBBD37C">
      <w:pPr>
        <w:pStyle w:val="10"/>
        <w:rPr>
          <w:rFonts w:hint="eastAsia" w:ascii="宋体" w:hAnsi="宋体" w:eastAsia="宋体"/>
          <w:lang w:val="en-US" w:eastAsia="zh-CN"/>
        </w:rPr>
      </w:pPr>
      <w:r>
        <w:rPr>
          <w:rFonts w:hint="eastAsia" w:ascii="宋体" w:hAnsi="宋体" w:eastAsia="宋体"/>
          <w:lang w:val="en-US" w:eastAsia="zh-CN"/>
        </w:rPr>
        <w:t>本次跨学科项目化学习是在实现“有安全感的课堂”和“横向联系的课堂”基础上，追求“合作解决大问题的课堂”，它以统摄性的关键概念为核心知识，引导学生在合作性的问题探究中产生对关键概念的深入理解。</w:t>
      </w:r>
    </w:p>
    <w:p w14:paraId="611E167A">
      <w:pPr>
        <w:pStyle w:val="10"/>
        <w:rPr>
          <w:rFonts w:hint="eastAsia" w:ascii="宋体" w:hAnsi="宋体" w:eastAsia="宋体"/>
          <w:lang w:val="en-US" w:eastAsia="zh-CN"/>
        </w:rPr>
      </w:pPr>
      <w:r>
        <w:rPr>
          <w:rFonts w:hint="eastAsia" w:ascii="宋体" w:hAnsi="宋体" w:eastAsia="宋体"/>
          <w:lang w:val="en-US" w:eastAsia="zh-CN"/>
        </w:rPr>
        <w:t>学生在本次项目化学习中表现出的主动性与创造性也延伸至后期的各项班级活动和学习中。项目化学习的理念和方法在逐渐融入师生日常的“教”“学”。</w:t>
      </w:r>
    </w:p>
    <w:p w14:paraId="2511BCD2">
      <w:pPr>
        <w:tabs>
          <w:tab w:val="left" w:pos="312"/>
        </w:tabs>
        <w:ind w:firstLine="420" w:firstLineChars="200"/>
        <w:rPr>
          <w:rFonts w:hint="default"/>
          <w:b w:val="0"/>
          <w:lang w:val="en-US" w:eastAsia="zh-CN"/>
        </w:rPr>
      </w:pPr>
      <w:r>
        <w:rPr>
          <w:rFonts w:hint="eastAsia" w:ascii="宋体" w:hAnsi="宋体" w:eastAsia="宋体"/>
          <w:lang w:val="en-US" w:eastAsia="zh-CN"/>
        </w:rPr>
        <w:t>然而，</w:t>
      </w:r>
      <w:r>
        <w:rPr>
          <w:rFonts w:hint="eastAsia"/>
          <w:lang w:val="en-US" w:eastAsia="zh-CN"/>
        </w:rPr>
        <w:t>校本化视域下语文与戏剧相结合的跨学科项目化学习</w:t>
      </w:r>
      <w:r>
        <w:rPr>
          <w:rFonts w:hint="eastAsia" w:ascii="宋体" w:hAnsi="宋体" w:eastAsia="宋体"/>
          <w:lang w:val="en-US" w:eastAsia="zh-CN"/>
        </w:rPr>
        <w:t>也留有疑惑，</w:t>
      </w:r>
      <w:r>
        <w:rPr>
          <w:rFonts w:hint="eastAsia"/>
          <w:b w:val="0"/>
        </w:rPr>
        <w:t>还需进一步探究</w:t>
      </w:r>
      <w:r>
        <w:rPr>
          <w:rFonts w:hint="eastAsia"/>
          <w:b w:val="0"/>
          <w:lang w:eastAsia="zh-CN"/>
        </w:rPr>
        <w:t>。</w:t>
      </w:r>
      <w:r>
        <w:rPr>
          <w:rFonts w:hint="eastAsia"/>
          <w:b w:val="0"/>
          <w:lang w:val="en-US" w:eastAsia="zh-CN"/>
        </w:rPr>
        <w:t>比如：如何保证连贯的任务设计</w:t>
      </w:r>
      <w:bookmarkStart w:id="0" w:name="_GoBack"/>
      <w:bookmarkEnd w:id="0"/>
      <w:r>
        <w:rPr>
          <w:rFonts w:hint="eastAsia"/>
          <w:b w:val="0"/>
          <w:lang w:val="en-US" w:eastAsia="zh-CN"/>
        </w:rPr>
        <w:t>都是围绕本质问题开展？</w:t>
      </w:r>
      <w:r>
        <w:rPr>
          <w:rFonts w:hint="eastAsia"/>
          <w:b w:val="0"/>
        </w:rPr>
        <w:t>如何通过本质问题构建语文大单元学习、整本书阅读与戏剧学科相融合的更有效的学习路径？</w:t>
      </w:r>
      <w:r>
        <w:rPr>
          <w:rFonts w:hint="eastAsia"/>
          <w:b w:val="0"/>
          <w:lang w:val="en-US" w:eastAsia="zh-CN"/>
        </w:rPr>
        <w:t>如何实现校本化资源与学生个性化需求的精准适配？</w:t>
      </w:r>
    </w:p>
    <w:p w14:paraId="3E3C4391">
      <w:pPr>
        <w:tabs>
          <w:tab w:val="left" w:pos="312"/>
        </w:tabs>
        <w:ind w:firstLine="420" w:firstLineChars="200"/>
        <w:rPr>
          <w:rFonts w:hint="default"/>
          <w:b w:val="0"/>
          <w:lang w:val="en-US" w:eastAsia="zh-CN"/>
        </w:rPr>
      </w:pPr>
      <w:r>
        <w:rPr>
          <w:rFonts w:hint="eastAsia"/>
          <w:b w:val="0"/>
          <w:lang w:val="en-US" w:eastAsia="zh-CN"/>
        </w:rPr>
        <w:t>要解决这些问题，教师要不断学习，思考语文学科的本质，思考校本课程的本质。在国家课程校本化实施的路上，用好跨学科项目化学习的方式，我们还需要更多的探索。</w:t>
      </w:r>
    </w:p>
    <w:p w14:paraId="0452DE94">
      <w:pPr>
        <w:ind w:firstLine="420"/>
        <w:rPr>
          <w:rFonts w:hint="default" w:ascii="Calibri" w:hAnsi="Calibri" w:eastAsia="宋体" w:cs="Calibri"/>
          <w:szCs w:val="21"/>
          <w:lang w:val="en-US" w:eastAsia="zh-CN"/>
        </w:rPr>
      </w:pPr>
    </w:p>
    <w:p w14:paraId="7507D0C2">
      <w:pPr>
        <w:rPr>
          <w:rFonts w:hint="eastAsia" w:ascii="Calibri" w:hAnsi="Calibri" w:eastAsia="宋体" w:cs="Calibri"/>
          <w:szCs w:val="21"/>
          <w:lang w:val="en-US" w:eastAsia="zh-CN"/>
        </w:rPr>
      </w:pPr>
      <w:r>
        <w:rPr>
          <w:rFonts w:hint="eastAsia" w:ascii="Calibri" w:hAnsi="Calibri" w:eastAsia="宋体" w:cs="Calibri"/>
          <w:szCs w:val="21"/>
          <w:lang w:val="en-US" w:eastAsia="zh-CN"/>
        </w:rPr>
        <w:t>参考资料：</w:t>
      </w:r>
    </w:p>
    <w:p w14:paraId="24978A5E">
      <w:pPr>
        <w:rPr>
          <w:rFonts w:hint="eastAsia" w:ascii="Calibri" w:hAnsi="Calibri" w:eastAsia="宋体" w:cs="Calibri"/>
          <w:szCs w:val="21"/>
          <w:lang w:val="en-US" w:eastAsia="zh-CN"/>
        </w:rPr>
      </w:pPr>
      <w:r>
        <w:rPr>
          <w:rFonts w:hint="eastAsia" w:ascii="Calibri" w:hAnsi="Calibri" w:eastAsia="宋体" w:cs="Calibri"/>
          <w:szCs w:val="21"/>
          <w:lang w:val="en-US" w:eastAsia="zh-CN"/>
        </w:rPr>
        <w:t>①《骆驼祥子》阅读任务单设计来自于“上海微校——空中课堂”上海市西南位育中学方洪老师主讲的教学视频。</w:t>
      </w:r>
    </w:p>
    <w:p w14:paraId="27ACA787">
      <w:pPr>
        <w:rPr>
          <w:rFonts w:hint="default" w:ascii="Calibri" w:hAnsi="Calibri" w:eastAsia="宋体" w:cs="Calibri"/>
          <w:szCs w:val="21"/>
          <w:lang w:val="en-US" w:eastAsia="zh-CN"/>
        </w:rPr>
      </w:pPr>
      <w:r>
        <w:rPr>
          <w:rFonts w:hint="eastAsia" w:ascii="Calibri" w:hAnsi="Calibri" w:eastAsia="宋体" w:cs="Calibri"/>
          <w:szCs w:val="21"/>
          <w:lang w:val="en-US" w:eastAsia="zh-CN"/>
        </w:rPr>
        <w:t>参考文献：</w:t>
      </w:r>
    </w:p>
    <w:p w14:paraId="3C3831F5">
      <w:pPr>
        <w:rPr>
          <w:rFonts w:ascii="Calibri" w:hAnsi="Calibri" w:eastAsia="宋体" w:cs="Calibri"/>
          <w:szCs w:val="21"/>
        </w:rPr>
      </w:pPr>
      <w:r>
        <w:rPr>
          <w:rFonts w:hint="eastAsia" w:ascii="Calibri" w:hAnsi="Calibri" w:eastAsia="宋体" w:cs="Calibri"/>
          <w:szCs w:val="21"/>
        </w:rPr>
        <w:t>伍红林 田莉莉.</w:t>
      </w:r>
      <w:r>
        <w:rPr>
          <w:rFonts w:ascii="Calibri" w:hAnsi="Calibri" w:eastAsia="宋体" w:cs="Calibri"/>
          <w:szCs w:val="21"/>
        </w:rPr>
        <w:t xml:space="preserve"> </w:t>
      </w:r>
      <w:r>
        <w:rPr>
          <w:rFonts w:hint="eastAsia" w:ascii="Calibri" w:hAnsi="Calibri" w:eastAsia="宋体" w:cs="Calibri"/>
          <w:szCs w:val="21"/>
        </w:rPr>
        <w:t>跨学科主题学习：溯源、内涵与实施建议.</w:t>
      </w:r>
      <w:r>
        <w:rPr>
          <w:rFonts w:ascii="Calibri" w:hAnsi="Calibri" w:eastAsia="宋体" w:cs="Calibri"/>
          <w:szCs w:val="21"/>
        </w:rPr>
        <w:t xml:space="preserve"> </w:t>
      </w:r>
      <w:r>
        <w:rPr>
          <w:rFonts w:hint="eastAsia" w:ascii="Calibri" w:hAnsi="Calibri" w:eastAsia="宋体" w:cs="Calibri"/>
          <w:szCs w:val="21"/>
        </w:rPr>
        <w:t>全球教育展望.</w:t>
      </w:r>
      <w:r>
        <w:rPr>
          <w:rFonts w:ascii="Calibri" w:hAnsi="Calibri" w:eastAsia="宋体" w:cs="Calibri"/>
          <w:szCs w:val="21"/>
        </w:rPr>
        <w:t xml:space="preserve"> 2023</w:t>
      </w:r>
      <w:r>
        <w:rPr>
          <w:rFonts w:hint="eastAsia" w:ascii="Calibri" w:hAnsi="Calibri" w:eastAsia="宋体" w:cs="Calibri"/>
          <w:szCs w:val="21"/>
        </w:rPr>
        <w:t xml:space="preserve">年第3期 </w:t>
      </w:r>
    </w:p>
    <w:p w14:paraId="3E76F9EC">
      <w:pPr>
        <w:rPr>
          <w:rFonts w:ascii="Calibri" w:hAnsi="Calibri" w:eastAsia="宋体" w:cs="Calibri"/>
          <w:szCs w:val="21"/>
        </w:rPr>
      </w:pPr>
      <w:r>
        <w:rPr>
          <w:rFonts w:hint="eastAsia" w:ascii="Calibri" w:hAnsi="Calibri" w:eastAsia="宋体" w:cs="Calibri"/>
          <w:szCs w:val="21"/>
        </w:rPr>
        <w:t>夏雪梅.</w:t>
      </w:r>
      <w:r>
        <w:rPr>
          <w:rFonts w:ascii="Calibri" w:hAnsi="Calibri" w:eastAsia="宋体" w:cs="Calibri"/>
          <w:szCs w:val="21"/>
        </w:rPr>
        <w:t xml:space="preserve"> </w:t>
      </w:r>
      <w:r>
        <w:rPr>
          <w:rFonts w:hint="eastAsia" w:ascii="Calibri" w:hAnsi="Calibri" w:eastAsia="宋体" w:cs="Calibri"/>
          <w:szCs w:val="21"/>
        </w:rPr>
        <w:t>项目化学习设计：学习素养视角下的国际与本土实践.</w:t>
      </w:r>
      <w:r>
        <w:rPr>
          <w:rFonts w:ascii="Calibri" w:hAnsi="Calibri" w:eastAsia="宋体" w:cs="Calibri"/>
          <w:szCs w:val="21"/>
        </w:rPr>
        <w:t xml:space="preserve"> </w:t>
      </w:r>
      <w:r>
        <w:rPr>
          <w:rFonts w:hint="eastAsia" w:ascii="Calibri" w:hAnsi="Calibri" w:eastAsia="宋体" w:cs="Calibri"/>
          <w:szCs w:val="21"/>
        </w:rPr>
        <w:t>教育科学出版社.</w:t>
      </w:r>
      <w:r>
        <w:rPr>
          <w:rFonts w:ascii="Calibri" w:hAnsi="Calibri" w:eastAsia="宋体" w:cs="Calibri"/>
          <w:szCs w:val="21"/>
        </w:rPr>
        <w:t xml:space="preserve"> 2022</w:t>
      </w:r>
    </w:p>
    <w:p w14:paraId="2B75F6A3">
      <w:pPr>
        <w:jc w:val="left"/>
        <w:rPr>
          <w:rFonts w:hint="default"/>
          <w:lang w:val="en-US" w:eastAsia="zh-CN"/>
        </w:rPr>
      </w:pPr>
    </w:p>
    <w:sectPr>
      <w:footerReference r:id="rId3" w:type="default"/>
      <w:footnotePr>
        <w:numFmt w:val="decimalEnclosedCircleChinese"/>
      </w:footnote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0059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4CE18F">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04CE18F">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FB010E"/>
    <w:multiLevelType w:val="singleLevel"/>
    <w:tmpl w:val="73FB010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54C8E"/>
    <w:rsid w:val="00C30909"/>
    <w:rsid w:val="00E71392"/>
    <w:rsid w:val="015B3238"/>
    <w:rsid w:val="019B1886"/>
    <w:rsid w:val="01D17056"/>
    <w:rsid w:val="02AE55E9"/>
    <w:rsid w:val="02E07637"/>
    <w:rsid w:val="03D23A10"/>
    <w:rsid w:val="049643D8"/>
    <w:rsid w:val="049A7BD3"/>
    <w:rsid w:val="04D015F9"/>
    <w:rsid w:val="06D53145"/>
    <w:rsid w:val="06E65352"/>
    <w:rsid w:val="06E7086E"/>
    <w:rsid w:val="07003F94"/>
    <w:rsid w:val="07752A57"/>
    <w:rsid w:val="079E79DA"/>
    <w:rsid w:val="07B02691"/>
    <w:rsid w:val="07E26D43"/>
    <w:rsid w:val="08B1198F"/>
    <w:rsid w:val="098A290C"/>
    <w:rsid w:val="0A0A1357"/>
    <w:rsid w:val="0A2A48FD"/>
    <w:rsid w:val="0A2C5771"/>
    <w:rsid w:val="0A3D797F"/>
    <w:rsid w:val="0A6B10DC"/>
    <w:rsid w:val="0AA25A34"/>
    <w:rsid w:val="0AE55920"/>
    <w:rsid w:val="0C7156BE"/>
    <w:rsid w:val="0CC32CB5"/>
    <w:rsid w:val="0CEC43EA"/>
    <w:rsid w:val="0D200E92"/>
    <w:rsid w:val="0D2564A8"/>
    <w:rsid w:val="0D277EA7"/>
    <w:rsid w:val="0E111899"/>
    <w:rsid w:val="0E4137B5"/>
    <w:rsid w:val="0EF3685E"/>
    <w:rsid w:val="1020320A"/>
    <w:rsid w:val="10CF2F14"/>
    <w:rsid w:val="119105B0"/>
    <w:rsid w:val="12827B00"/>
    <w:rsid w:val="131C7C0B"/>
    <w:rsid w:val="13547AE7"/>
    <w:rsid w:val="139F49B9"/>
    <w:rsid w:val="14501579"/>
    <w:rsid w:val="166B6DBA"/>
    <w:rsid w:val="17183CE4"/>
    <w:rsid w:val="17243EC4"/>
    <w:rsid w:val="17824C23"/>
    <w:rsid w:val="17D11706"/>
    <w:rsid w:val="185D11EC"/>
    <w:rsid w:val="18952734"/>
    <w:rsid w:val="18F002B2"/>
    <w:rsid w:val="19594D43"/>
    <w:rsid w:val="19832975"/>
    <w:rsid w:val="1ACB4F39"/>
    <w:rsid w:val="1AD734D7"/>
    <w:rsid w:val="1B5763C6"/>
    <w:rsid w:val="1BF63E31"/>
    <w:rsid w:val="1C03166F"/>
    <w:rsid w:val="1C060461"/>
    <w:rsid w:val="1D320E8A"/>
    <w:rsid w:val="1D3F5364"/>
    <w:rsid w:val="1DD41F50"/>
    <w:rsid w:val="1E4B0A5F"/>
    <w:rsid w:val="1FD80117"/>
    <w:rsid w:val="205D447F"/>
    <w:rsid w:val="205D622D"/>
    <w:rsid w:val="21295FEF"/>
    <w:rsid w:val="21AC7095"/>
    <w:rsid w:val="23364977"/>
    <w:rsid w:val="237D0BB0"/>
    <w:rsid w:val="246833F2"/>
    <w:rsid w:val="246D27B7"/>
    <w:rsid w:val="246F1264"/>
    <w:rsid w:val="25BC1C48"/>
    <w:rsid w:val="269B7AAF"/>
    <w:rsid w:val="26C4386A"/>
    <w:rsid w:val="276E2ACE"/>
    <w:rsid w:val="282835C4"/>
    <w:rsid w:val="283A50A6"/>
    <w:rsid w:val="2A5C1303"/>
    <w:rsid w:val="2B053749"/>
    <w:rsid w:val="2B253DEB"/>
    <w:rsid w:val="2BBD4AD0"/>
    <w:rsid w:val="2C9C00DD"/>
    <w:rsid w:val="2D6230D5"/>
    <w:rsid w:val="2E5F13C2"/>
    <w:rsid w:val="2E68079B"/>
    <w:rsid w:val="2E8F26CE"/>
    <w:rsid w:val="2E975000"/>
    <w:rsid w:val="2F000DF7"/>
    <w:rsid w:val="2F943152"/>
    <w:rsid w:val="2FC35981"/>
    <w:rsid w:val="307D6477"/>
    <w:rsid w:val="30872E52"/>
    <w:rsid w:val="308F0E70"/>
    <w:rsid w:val="313472EF"/>
    <w:rsid w:val="3184380E"/>
    <w:rsid w:val="31935E99"/>
    <w:rsid w:val="32002EBC"/>
    <w:rsid w:val="322F3459"/>
    <w:rsid w:val="325D6CB4"/>
    <w:rsid w:val="328F5FEE"/>
    <w:rsid w:val="33111F38"/>
    <w:rsid w:val="33F0294E"/>
    <w:rsid w:val="34EB39C3"/>
    <w:rsid w:val="38CF6444"/>
    <w:rsid w:val="392A081F"/>
    <w:rsid w:val="392E47B3"/>
    <w:rsid w:val="393D0552"/>
    <w:rsid w:val="3A683CF4"/>
    <w:rsid w:val="3B5A26E6"/>
    <w:rsid w:val="3C956E64"/>
    <w:rsid w:val="3C9C7C85"/>
    <w:rsid w:val="3D1215F7"/>
    <w:rsid w:val="401E041B"/>
    <w:rsid w:val="408D538C"/>
    <w:rsid w:val="40A22BF8"/>
    <w:rsid w:val="40EC2DF4"/>
    <w:rsid w:val="415C7451"/>
    <w:rsid w:val="41670862"/>
    <w:rsid w:val="4195505B"/>
    <w:rsid w:val="41D03C48"/>
    <w:rsid w:val="41DE664A"/>
    <w:rsid w:val="42010CB6"/>
    <w:rsid w:val="42B23D5F"/>
    <w:rsid w:val="43E91A02"/>
    <w:rsid w:val="443B36A2"/>
    <w:rsid w:val="446A2417"/>
    <w:rsid w:val="44727C49"/>
    <w:rsid w:val="447F2366"/>
    <w:rsid w:val="44911445"/>
    <w:rsid w:val="44E73A68"/>
    <w:rsid w:val="44EE3048"/>
    <w:rsid w:val="45ED5099"/>
    <w:rsid w:val="46357180"/>
    <w:rsid w:val="477A0BC3"/>
    <w:rsid w:val="47D05003"/>
    <w:rsid w:val="47DB5B06"/>
    <w:rsid w:val="490E0C8F"/>
    <w:rsid w:val="49D547D7"/>
    <w:rsid w:val="4A6D4A0F"/>
    <w:rsid w:val="4B1A6945"/>
    <w:rsid w:val="4B1B446B"/>
    <w:rsid w:val="4BCF051C"/>
    <w:rsid w:val="4C1C353E"/>
    <w:rsid w:val="4C5B0FC3"/>
    <w:rsid w:val="4C940979"/>
    <w:rsid w:val="4D185106"/>
    <w:rsid w:val="4D4B18E5"/>
    <w:rsid w:val="4DD94895"/>
    <w:rsid w:val="4DE84AD8"/>
    <w:rsid w:val="4DF416CF"/>
    <w:rsid w:val="4F7E02B1"/>
    <w:rsid w:val="51B55619"/>
    <w:rsid w:val="534A1D91"/>
    <w:rsid w:val="536E4AEE"/>
    <w:rsid w:val="538232D9"/>
    <w:rsid w:val="53E06849"/>
    <w:rsid w:val="545A73C5"/>
    <w:rsid w:val="54702FAA"/>
    <w:rsid w:val="547C241E"/>
    <w:rsid w:val="56486A5C"/>
    <w:rsid w:val="56757125"/>
    <w:rsid w:val="56CB31E9"/>
    <w:rsid w:val="56D95906"/>
    <w:rsid w:val="57A04676"/>
    <w:rsid w:val="592E180D"/>
    <w:rsid w:val="5943175D"/>
    <w:rsid w:val="598559EF"/>
    <w:rsid w:val="5BC528FD"/>
    <w:rsid w:val="5BFE7BBD"/>
    <w:rsid w:val="5CCB3F43"/>
    <w:rsid w:val="5E646F8A"/>
    <w:rsid w:val="5FF732A1"/>
    <w:rsid w:val="60104CA8"/>
    <w:rsid w:val="60A9021F"/>
    <w:rsid w:val="60E90EB0"/>
    <w:rsid w:val="60FD6695"/>
    <w:rsid w:val="61C61346"/>
    <w:rsid w:val="623954AB"/>
    <w:rsid w:val="623C31ED"/>
    <w:rsid w:val="635B2673"/>
    <w:rsid w:val="63CE4319"/>
    <w:rsid w:val="651641C9"/>
    <w:rsid w:val="6600024E"/>
    <w:rsid w:val="6635067F"/>
    <w:rsid w:val="665C5C0C"/>
    <w:rsid w:val="66630D48"/>
    <w:rsid w:val="66A674E6"/>
    <w:rsid w:val="670047E9"/>
    <w:rsid w:val="674C5C80"/>
    <w:rsid w:val="68B076A2"/>
    <w:rsid w:val="6A464C09"/>
    <w:rsid w:val="6A570BC4"/>
    <w:rsid w:val="6ABE0C43"/>
    <w:rsid w:val="6D296B25"/>
    <w:rsid w:val="6D8617C0"/>
    <w:rsid w:val="6DD54550"/>
    <w:rsid w:val="6E3A0F28"/>
    <w:rsid w:val="6F9B3D1A"/>
    <w:rsid w:val="704C7BAA"/>
    <w:rsid w:val="70BC1763"/>
    <w:rsid w:val="70CC398E"/>
    <w:rsid w:val="71662034"/>
    <w:rsid w:val="71E84D05"/>
    <w:rsid w:val="72457E9C"/>
    <w:rsid w:val="72AC3A77"/>
    <w:rsid w:val="72E66F89"/>
    <w:rsid w:val="73863E1C"/>
    <w:rsid w:val="73BE1CB4"/>
    <w:rsid w:val="744A3547"/>
    <w:rsid w:val="746F1200"/>
    <w:rsid w:val="74945B28"/>
    <w:rsid w:val="74A504FB"/>
    <w:rsid w:val="75882DD7"/>
    <w:rsid w:val="75AA6994"/>
    <w:rsid w:val="77614E48"/>
    <w:rsid w:val="77AB254F"/>
    <w:rsid w:val="77F14FE8"/>
    <w:rsid w:val="780D320A"/>
    <w:rsid w:val="787B63C5"/>
    <w:rsid w:val="793842B6"/>
    <w:rsid w:val="7A460C55"/>
    <w:rsid w:val="7A5549F4"/>
    <w:rsid w:val="7A645C5B"/>
    <w:rsid w:val="7AC8166A"/>
    <w:rsid w:val="7C4A51D1"/>
    <w:rsid w:val="7C956BEC"/>
    <w:rsid w:val="7CED53B8"/>
    <w:rsid w:val="7E2766A8"/>
    <w:rsid w:val="7E6C1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footnote text"/>
    <w:basedOn w:val="1"/>
    <w:qFormat/>
    <w:uiPriority w:val="0"/>
    <w:pPr>
      <w:snapToGrid w:val="0"/>
      <w:jc w:val="left"/>
    </w:pPr>
    <w:rPr>
      <w:sz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footnote reference"/>
    <w:basedOn w:val="8"/>
    <w:qFormat/>
    <w:uiPriority w:val="0"/>
    <w:rPr>
      <w:vertAlign w:val="superscript"/>
    </w:rPr>
  </w:style>
  <w:style w:type="paragraph" w:styleId="10">
    <w:name w:val="List Paragraph"/>
    <w:basedOn w:val="1"/>
    <w:qFormat/>
    <w:uiPriority w:val="34"/>
    <w:pPr>
      <w:tabs>
        <w:tab w:val="left" w:pos="312"/>
      </w:tabs>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em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5245</Words>
  <Characters>5304</Characters>
  <Lines>0</Lines>
  <Paragraphs>0</Paragraphs>
  <TotalTime>39</TotalTime>
  <ScaleCrop>false</ScaleCrop>
  <LinksUpToDate>false</LinksUpToDate>
  <CharactersWithSpaces>5327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2025-03-06T11:24:00Z</dcterms:created>
  <dc:creator>Administrator</dc:creator>
  <cp:lastModifiedBy>李娜</cp:lastModifiedBy>
  <dcterms:modified xsi:type="dcterms:W3CDTF">2025-04-19T09:24:52Z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eyJoZGlkIjoiZGY4YjY3Njk0NjlkNzNmNDQxNTdmNDQyMWM1Y2U0NmQiLCJ1c2VySWQiOiIzNjMwNDM2MzUifQ==</vt:lpwstr>
  </property>
  <property fmtid="{D5CDD505-2E9C-101B-9397-08002B2CF9AE}" pid="4" name="ICV">
    <vt:lpwstr>B49F7E44A3464A53B3F3626D814BC7CC_12</vt:lpwstr>
  </property>
</Properties>
</file>