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A206B">
      <w:pPr>
        <w:spacing w:line="240" w:lineRule="auto"/>
        <w:jc w:val="center"/>
        <w:rPr>
          <w:rFonts w:hint="default" w:ascii="黑体" w:hAnsi="黑体" w:eastAsia="黑体"/>
          <w:sz w:val="32"/>
          <w:szCs w:val="32"/>
          <w:lang w:val="en-US" w:eastAsia="zh-CN"/>
        </w:rPr>
      </w:pPr>
      <w:r>
        <w:rPr>
          <w:rFonts w:hint="eastAsia" w:ascii="黑体" w:hAnsi="黑体" w:eastAsia="黑体"/>
          <w:sz w:val="32"/>
          <w:szCs w:val="32"/>
        </w:rPr>
        <w:t>高中地理</w:t>
      </w:r>
      <w:r>
        <w:rPr>
          <w:rFonts w:hint="eastAsia" w:ascii="黑体" w:hAnsi="黑体" w:eastAsia="黑体"/>
          <w:sz w:val="32"/>
          <w:szCs w:val="32"/>
          <w:lang w:val="en-US" w:eastAsia="zh-CN"/>
        </w:rPr>
        <w:t>单元教学设计主题确立与实施路径初探</w:t>
      </w:r>
    </w:p>
    <w:p w14:paraId="21749757">
      <w:pPr>
        <w:spacing w:line="240" w:lineRule="auto"/>
        <w:jc w:val="center"/>
        <w:rPr>
          <w:rFonts w:hint="eastAsia" w:ascii="仿宋" w:hAnsi="仿宋" w:eastAsia="仿宋" w:cs="仿宋"/>
          <w:sz w:val="28"/>
          <w:szCs w:val="28"/>
          <w:lang w:eastAsia="zh-CN"/>
        </w:rPr>
      </w:pPr>
      <w:r>
        <w:rPr>
          <w:rFonts w:hint="eastAsia" w:ascii="黑体" w:hAnsi="黑体" w:eastAsia="黑体"/>
          <w:sz w:val="32"/>
          <w:szCs w:val="32"/>
          <w:lang w:val="en-US" w:eastAsia="zh-CN"/>
        </w:rPr>
        <w:t>——</w:t>
      </w:r>
      <w:r>
        <w:rPr>
          <w:rFonts w:hint="eastAsia" w:ascii="仿宋" w:hAnsi="仿宋" w:eastAsia="仿宋" w:cs="仿宋"/>
          <w:sz w:val="28"/>
          <w:szCs w:val="28"/>
          <w:lang w:val="en-US" w:eastAsia="zh-CN"/>
        </w:rPr>
        <w:t>以中华地图版必修二“城镇与乡村”</w:t>
      </w:r>
      <w:r>
        <w:rPr>
          <w:rFonts w:hint="eastAsia" w:ascii="仿宋" w:hAnsi="仿宋" w:eastAsia="仿宋" w:cs="仿宋"/>
          <w:sz w:val="28"/>
          <w:szCs w:val="28"/>
        </w:rPr>
        <w:t>单元教学设计</w:t>
      </w:r>
      <w:r>
        <w:rPr>
          <w:rFonts w:hint="eastAsia" w:ascii="仿宋" w:hAnsi="仿宋" w:eastAsia="仿宋" w:cs="仿宋"/>
          <w:sz w:val="28"/>
          <w:szCs w:val="28"/>
          <w:lang w:val="en-US" w:eastAsia="zh-CN"/>
        </w:rPr>
        <w:t>为例</w:t>
      </w:r>
    </w:p>
    <w:p w14:paraId="0C41AE2F">
      <w:pPr>
        <w:spacing w:line="240" w:lineRule="auto"/>
        <w:jc w:val="center"/>
        <w:rPr>
          <w:rFonts w:hint="eastAsia" w:ascii="宋体" w:hAnsi="宋体" w:eastAsia="宋体"/>
          <w:sz w:val="24"/>
          <w:szCs w:val="24"/>
          <w:lang w:val="en-US" w:eastAsia="zh-CN"/>
        </w:rPr>
      </w:pPr>
      <w:r>
        <w:rPr>
          <w:rFonts w:hint="eastAsia" w:ascii="宋体" w:hAnsi="宋体" w:eastAsia="宋体"/>
          <w:sz w:val="24"/>
          <w:szCs w:val="24"/>
          <w:lang w:val="en-US" w:eastAsia="zh-CN"/>
        </w:rPr>
        <w:t>上海市位育中学  陆颖</w:t>
      </w:r>
    </w:p>
    <w:p w14:paraId="1C9CF244">
      <w:pPr>
        <w:numPr>
          <w:ilvl w:val="0"/>
          <w:numId w:val="0"/>
        </w:numPr>
        <w:spacing w:line="240" w:lineRule="auto"/>
        <w:ind w:firstLine="480" w:firstLineChars="200"/>
        <w:jc w:val="left"/>
        <w:rPr>
          <w:rFonts w:hint="eastAsia" w:ascii="Segoe UI" w:hAnsi="Segoe UI" w:eastAsia="宋体" w:cs="Segoe UI"/>
          <w:i w:val="0"/>
          <w:iCs w:val="0"/>
          <w:caps w:val="0"/>
          <w:spacing w:val="0"/>
          <w:sz w:val="24"/>
          <w:szCs w:val="24"/>
          <w:shd w:val="clear" w:fill="FFFFFF"/>
          <w:lang w:val="en-US" w:eastAsia="zh-CN"/>
        </w:rPr>
      </w:pPr>
    </w:p>
    <w:p w14:paraId="31BA2358">
      <w:pPr>
        <w:numPr>
          <w:ilvl w:val="0"/>
          <w:numId w:val="0"/>
        </w:numPr>
        <w:spacing w:line="240" w:lineRule="auto"/>
        <w:ind w:firstLine="480" w:firstLineChars="200"/>
        <w:jc w:val="left"/>
        <w:rPr>
          <w:rFonts w:hint="default" w:ascii="Segoe UI" w:hAnsi="Segoe UI" w:eastAsia="宋体" w:cs="Segoe UI"/>
          <w:i w:val="0"/>
          <w:iCs w:val="0"/>
          <w:caps w:val="0"/>
          <w:spacing w:val="0"/>
          <w:sz w:val="24"/>
          <w:szCs w:val="24"/>
          <w:shd w:val="clear" w:fill="FFFFFF"/>
          <w:lang w:val="en-US" w:eastAsia="zh-CN"/>
        </w:rPr>
      </w:pPr>
      <w:r>
        <w:rPr>
          <w:rFonts w:hint="eastAsia" w:ascii="Segoe UI" w:hAnsi="Segoe UI" w:eastAsia="宋体" w:cs="Segoe UI"/>
          <w:i w:val="0"/>
          <w:iCs w:val="0"/>
          <w:caps w:val="0"/>
          <w:spacing w:val="0"/>
          <w:sz w:val="24"/>
          <w:szCs w:val="24"/>
          <w:shd w:val="clear" w:fill="FFFFFF"/>
          <w:lang w:val="en-US" w:eastAsia="zh-CN"/>
        </w:rPr>
        <w:t>提升地理教学质量、落实地理核心素养培育的背景下，单元教学设计已逐步融入一线地理教学实践。但在实际应用中，单元主题的精准确立、单元教学的科学实施等核心问题，仍未形成明确共识与成熟路径，导致单元教学设计尚未成为广大地理教师教学设计的优先选择，其应用价值与实践效能未能充分释放。</w:t>
      </w:r>
      <w:r>
        <w:rPr>
          <w:rFonts w:hint="eastAsia" w:ascii="Segoe UI" w:hAnsi="Segoe UI" w:eastAsia="宋体" w:cs="Segoe UI"/>
          <w:i w:val="0"/>
          <w:iCs w:val="0"/>
          <w:caps w:val="0"/>
          <w:spacing w:val="0"/>
          <w:sz w:val="24"/>
          <w:szCs w:val="24"/>
          <w:shd w:val="clear" w:fill="FFFFFF"/>
          <w:lang w:val="en-US" w:eastAsia="zh-CN"/>
        </w:rPr>
        <w:t>本文以中华地图版必修二“城镇与乡村”单元教学设计为例，探讨单元教学主题确立和单元教学实施的路径。</w:t>
      </w:r>
    </w:p>
    <w:p w14:paraId="4CB02FF1">
      <w:pPr>
        <w:numPr>
          <w:ilvl w:val="0"/>
          <w:numId w:val="1"/>
        </w:numPr>
        <w:spacing w:line="240" w:lineRule="auto"/>
        <w:ind w:firstLine="480" w:firstLineChars="200"/>
        <w:jc w:val="left"/>
        <w:rPr>
          <w:rFonts w:hint="eastAsia" w:ascii="黑体" w:hAnsi="黑体" w:eastAsia="黑体" w:cs="黑体"/>
          <w:b w:val="0"/>
          <w:bCs w:val="0"/>
          <w:i w:val="0"/>
          <w:iCs w:val="0"/>
          <w:caps w:val="0"/>
          <w:spacing w:val="0"/>
          <w:sz w:val="24"/>
          <w:szCs w:val="24"/>
          <w:shd w:val="clear" w:fill="FFFFFF"/>
          <w:lang w:val="en-US" w:eastAsia="zh-CN"/>
        </w:rPr>
      </w:pPr>
      <w:r>
        <w:rPr>
          <w:rFonts w:hint="eastAsia" w:ascii="黑体" w:hAnsi="黑体" w:eastAsia="黑体" w:cs="黑体"/>
          <w:b w:val="0"/>
          <w:bCs w:val="0"/>
          <w:i w:val="0"/>
          <w:iCs w:val="0"/>
          <w:caps w:val="0"/>
          <w:spacing w:val="0"/>
          <w:sz w:val="24"/>
          <w:szCs w:val="24"/>
          <w:shd w:val="clear" w:fill="FFFFFF"/>
          <w:lang w:val="en-US" w:eastAsia="zh-CN"/>
        </w:rPr>
        <w:t>确立单元主题类型</w:t>
      </w:r>
    </w:p>
    <w:p w14:paraId="6359D7B6">
      <w:pPr>
        <w:numPr>
          <w:ilvl w:val="0"/>
          <w:numId w:val="0"/>
        </w:numPr>
        <w:spacing w:line="240" w:lineRule="auto"/>
        <w:ind w:firstLine="480" w:firstLineChars="200"/>
        <w:jc w:val="left"/>
        <w:rPr>
          <w:rFonts w:hint="eastAsia" w:ascii="Segoe UI" w:hAnsi="Segoe UI" w:eastAsia="宋体" w:cs="Segoe UI"/>
          <w:i w:val="0"/>
          <w:iCs w:val="0"/>
          <w:caps w:val="0"/>
          <w:spacing w:val="0"/>
          <w:sz w:val="24"/>
          <w:szCs w:val="24"/>
          <w:shd w:val="clear" w:fill="FFFFFF"/>
          <w:lang w:val="en-US" w:eastAsia="zh-CN"/>
        </w:rPr>
      </w:pPr>
      <w:r>
        <w:rPr>
          <w:rFonts w:hint="eastAsia" w:ascii="Segoe UI" w:hAnsi="Segoe UI" w:eastAsia="宋体" w:cs="Segoe UI"/>
          <w:i w:val="0"/>
          <w:iCs w:val="0"/>
          <w:caps w:val="0"/>
          <w:spacing w:val="0"/>
          <w:sz w:val="24"/>
          <w:szCs w:val="24"/>
          <w:shd w:val="clear" w:fill="FFFFFF"/>
          <w:lang w:val="en-US" w:eastAsia="zh-CN"/>
        </w:rPr>
        <w:t>单元</w:t>
      </w:r>
      <w:r>
        <w:rPr>
          <w:rFonts w:hint="eastAsia" w:ascii="宋体" w:hAnsi="宋体" w:eastAsia="宋体" w:cs="宋体"/>
          <w:i w:val="0"/>
          <w:iCs w:val="0"/>
          <w:caps w:val="0"/>
          <w:spacing w:val="0"/>
          <w:sz w:val="24"/>
          <w:szCs w:val="24"/>
          <w:shd w:val="clear" w:fill="FFFFFF"/>
          <w:lang w:val="en-US" w:eastAsia="zh-CN"/>
        </w:rPr>
        <w:t>主题的确立是单元教学设计与实施的核心逻辑起点，其确立与组织需立足地理学科特性、课程标准、学情及教学实践需求，目前在一线教学中形成的主要主题类型包括：（1）教材依托型。遵循地理课程标准的内容模块或教材篇章结构固有单元主题，实现教学内容与教材编排逻辑的一致性，凸显知识体系的连贯性与规范性。（2）学科思想引领型。以地理学科大观念为核心，聚焦学科思想方法的渗透与落地，强化知识内容的内在结构与关联性。例如《区域发展差异》单元可围绕“区域思想”、“尺度思想”、“因地制宜思想”及区域研究方法展开整体系统设计，将学科思想贯穿教学评全过程。（3）核心素养进阶型。以知识与技能为载体，将地理学科核心素养中的方法、态度、价值观目标显性化，构建以素养发展为导向的单元体系。如复习类单元可将核心素养的层级提升作为内容整合线索，设计由低阶到高阶的素养进阶路径，推动学生素养的循序渐进发展。（4）</w:t>
      </w:r>
      <w:bookmarkStart w:id="0" w:name="_GoBack"/>
      <w:bookmarkEnd w:id="0"/>
      <w:r>
        <w:rPr>
          <w:rFonts w:hint="eastAsia" w:ascii="宋体" w:hAnsi="宋体" w:eastAsia="宋体" w:cs="宋体"/>
          <w:i w:val="0"/>
          <w:iCs w:val="0"/>
          <w:caps w:val="0"/>
          <w:spacing w:val="0"/>
          <w:sz w:val="24"/>
          <w:szCs w:val="24"/>
          <w:shd w:val="clear" w:fill="FFFFFF"/>
          <w:lang w:val="en-US" w:eastAsia="zh-CN"/>
        </w:rPr>
        <w:t>真实情境任务驱动型。依托能够整合学科知识、承载素养培育的真实现实情境，以具体学习任务为纽带组织单元内容</w:t>
      </w:r>
      <w:r>
        <w:rPr>
          <w:rFonts w:hint="eastAsia" w:ascii="Segoe UI" w:hAnsi="Segoe UI" w:eastAsia="宋体" w:cs="Segoe UI"/>
          <w:i w:val="0"/>
          <w:iCs w:val="0"/>
          <w:caps w:val="0"/>
          <w:spacing w:val="0"/>
          <w:sz w:val="24"/>
          <w:szCs w:val="24"/>
          <w:shd w:val="clear" w:fill="FFFFFF"/>
          <w:lang w:val="en-US" w:eastAsia="zh-CN"/>
        </w:rPr>
        <w:t>。</w:t>
      </w:r>
    </w:p>
    <w:p w14:paraId="36341F2E">
      <w:pPr>
        <w:numPr>
          <w:ilvl w:val="0"/>
          <w:numId w:val="0"/>
        </w:numPr>
        <w:spacing w:line="240" w:lineRule="auto"/>
        <w:ind w:firstLine="480" w:firstLineChars="200"/>
        <w:jc w:val="left"/>
        <w:rPr>
          <w:rFonts w:hint="eastAsia" w:ascii="Segoe UI" w:hAnsi="Segoe UI" w:eastAsia="宋体" w:cs="Segoe UI"/>
          <w:i w:val="0"/>
          <w:iCs w:val="0"/>
          <w:caps w:val="0"/>
          <w:spacing w:val="0"/>
          <w:sz w:val="24"/>
          <w:szCs w:val="24"/>
          <w:shd w:val="clear" w:fill="FFFFFF"/>
          <w:lang w:val="en-US" w:eastAsia="zh-CN"/>
        </w:rPr>
      </w:pPr>
      <w:r>
        <w:rPr>
          <w:rFonts w:hint="eastAsia" w:ascii="Segoe UI" w:hAnsi="Segoe UI" w:eastAsia="宋体" w:cs="Segoe UI"/>
          <w:i w:val="0"/>
          <w:iCs w:val="0"/>
          <w:caps w:val="0"/>
          <w:spacing w:val="0"/>
          <w:sz w:val="24"/>
          <w:szCs w:val="24"/>
          <w:shd w:val="clear" w:fill="FFFFFF"/>
          <w:lang w:val="en-US" w:eastAsia="zh-CN"/>
        </w:rPr>
        <w:t>基于此，本文将以真实情境下的项目化学习任务为导向，选取中华地图版高中地理必修二“城镇与乡村”单元为研究对象，构建单元教学设计案例并展开具体呈现。</w:t>
      </w:r>
    </w:p>
    <w:p w14:paraId="5067022A">
      <w:pPr>
        <w:numPr>
          <w:ilvl w:val="0"/>
          <w:numId w:val="1"/>
        </w:numPr>
        <w:spacing w:line="240" w:lineRule="auto"/>
        <w:ind w:firstLine="480" w:firstLineChars="200"/>
        <w:jc w:val="left"/>
        <w:rPr>
          <w:rFonts w:hint="eastAsia" w:ascii="黑体" w:hAnsi="黑体" w:eastAsia="黑体" w:cs="黑体"/>
          <w:b w:val="0"/>
          <w:bCs w:val="0"/>
          <w:i w:val="0"/>
          <w:iCs w:val="0"/>
          <w:caps w:val="0"/>
          <w:spacing w:val="0"/>
          <w:sz w:val="24"/>
          <w:szCs w:val="24"/>
          <w:shd w:val="clear" w:fill="FFFFFF"/>
          <w:lang w:val="en-US" w:eastAsia="zh-CN"/>
        </w:rPr>
      </w:pPr>
      <w:r>
        <w:rPr>
          <w:rFonts w:hint="eastAsia" w:ascii="黑体" w:hAnsi="黑体" w:eastAsia="黑体" w:cs="黑体"/>
          <w:b w:val="0"/>
          <w:bCs w:val="0"/>
          <w:i w:val="0"/>
          <w:iCs w:val="0"/>
          <w:caps w:val="0"/>
          <w:spacing w:val="0"/>
          <w:sz w:val="24"/>
          <w:szCs w:val="24"/>
          <w:shd w:val="clear" w:fill="FFFFFF"/>
          <w:lang w:val="en-US" w:eastAsia="zh-CN"/>
        </w:rPr>
        <w:t>单元教学实施路径</w:t>
      </w:r>
    </w:p>
    <w:p w14:paraId="5399259C">
      <w:pPr>
        <w:numPr>
          <w:ilvl w:val="0"/>
          <w:numId w:val="0"/>
        </w:numPr>
        <w:spacing w:line="240" w:lineRule="auto"/>
        <w:ind w:firstLine="480" w:firstLineChars="200"/>
        <w:jc w:val="left"/>
        <w:rPr>
          <w:rFonts w:hint="default" w:ascii="Segoe UI" w:hAnsi="Segoe UI" w:eastAsia="宋体" w:cs="Segoe UI"/>
          <w:i w:val="0"/>
          <w:iCs w:val="0"/>
          <w:caps w:val="0"/>
          <w:spacing w:val="0"/>
          <w:sz w:val="24"/>
          <w:szCs w:val="24"/>
          <w:shd w:val="clear" w:fill="FFFFFF"/>
          <w:lang w:val="en-US" w:eastAsia="zh-CN"/>
        </w:rPr>
      </w:pPr>
      <w:r>
        <w:rPr>
          <w:rFonts w:hint="eastAsia" w:ascii="Segoe UI" w:hAnsi="Segoe UI" w:eastAsia="宋体" w:cs="Segoe UI"/>
          <w:i w:val="0"/>
          <w:iCs w:val="0"/>
          <w:caps w:val="0"/>
          <w:spacing w:val="0"/>
          <w:sz w:val="24"/>
          <w:szCs w:val="24"/>
          <w:shd w:val="clear" w:fill="FFFFFF"/>
          <w:lang w:val="en-US" w:eastAsia="zh-CN"/>
        </w:rPr>
        <w:t>通过梳理近年来优秀单元教学设计案例，不难发现单元教学实施路径基本都包含以下几个环节：首先基于课标、学情以及学生的认知发展规律确定单元的教学目标。进而创设单元的真实情境，可以是贯穿整个单元的情境，也可以是不同的情境统领整个单元教学。设计核心问题或任务驱动的单元学习过程，以几个有逻辑关系和逻辑关联的学习任务活动或问题链驱动整个单元的学习，任务活动充分体现了学生自主探究的能力培养，指向学生的核心素养培育，从而落实教学目标，形成结构化的单元教学过程设计。在最后设计指向核心素养目标的评价设计，重视多元化的评价方式，尤其是过程性评价，并且贯穿整个单元学习的整个过程，包括课前、课中和课后。充分体现教学评一致性。</w:t>
      </w:r>
    </w:p>
    <w:p w14:paraId="42398DC6">
      <w:pPr>
        <w:numPr>
          <w:ilvl w:val="0"/>
          <w:numId w:val="1"/>
        </w:numPr>
        <w:spacing w:line="240" w:lineRule="auto"/>
        <w:ind w:firstLine="480" w:firstLineChars="200"/>
        <w:jc w:val="left"/>
        <w:rPr>
          <w:rFonts w:hint="eastAsia" w:ascii="黑体" w:hAnsi="黑体" w:eastAsia="黑体" w:cs="黑体"/>
          <w:b w:val="0"/>
          <w:bCs w:val="0"/>
          <w:i w:val="0"/>
          <w:iCs w:val="0"/>
          <w:caps w:val="0"/>
          <w:spacing w:val="0"/>
          <w:sz w:val="24"/>
          <w:szCs w:val="24"/>
          <w:shd w:val="clear" w:fill="FFFFFF"/>
          <w:lang w:val="en-US" w:eastAsia="zh-CN"/>
        </w:rPr>
      </w:pPr>
      <w:r>
        <w:rPr>
          <w:rFonts w:hint="eastAsia" w:ascii="黑体" w:hAnsi="黑体" w:eastAsia="黑体" w:cs="黑体"/>
          <w:b w:val="0"/>
          <w:bCs w:val="0"/>
          <w:i w:val="0"/>
          <w:iCs w:val="0"/>
          <w:caps w:val="0"/>
          <w:spacing w:val="0"/>
          <w:sz w:val="24"/>
          <w:szCs w:val="24"/>
          <w:shd w:val="clear" w:fill="FFFFFF"/>
          <w:lang w:val="en-US" w:eastAsia="zh-CN"/>
        </w:rPr>
        <w:t>以真实情境任务驱动型单元教学设计——“城镇与乡村”为例</w:t>
      </w:r>
    </w:p>
    <w:p w14:paraId="7ECD805A">
      <w:pPr>
        <w:spacing w:line="240" w:lineRule="auto"/>
        <w:jc w:val="left"/>
        <w:rPr>
          <w:rFonts w:hint="eastAsia" w:ascii="黑体" w:hAnsi="黑体" w:eastAsia="黑体"/>
          <w:sz w:val="24"/>
          <w:szCs w:val="24"/>
        </w:rPr>
      </w:pPr>
      <w:r>
        <w:rPr>
          <w:rFonts w:hint="eastAsia" w:ascii="黑体" w:hAnsi="黑体" w:eastAsia="黑体"/>
          <w:sz w:val="24"/>
          <w:szCs w:val="24"/>
        </w:rPr>
        <w:t>（一）</w:t>
      </w:r>
      <w:r>
        <w:rPr>
          <w:rFonts w:hint="eastAsia" w:ascii="黑体" w:hAnsi="黑体" w:eastAsia="黑体"/>
          <w:sz w:val="24"/>
          <w:szCs w:val="24"/>
          <w:lang w:val="en-US" w:eastAsia="zh-CN"/>
        </w:rPr>
        <w:t>单元</w:t>
      </w:r>
      <w:r>
        <w:rPr>
          <w:rFonts w:hint="eastAsia" w:ascii="黑体" w:hAnsi="黑体" w:eastAsia="黑体"/>
          <w:sz w:val="24"/>
          <w:szCs w:val="24"/>
        </w:rPr>
        <w:t>课标分析</w:t>
      </w:r>
    </w:p>
    <w:p w14:paraId="35428A1E">
      <w:pPr>
        <w:spacing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课标，本单元可以从空间和时间的视角组织教学。结合具体实例，从空间上解释城乡内部的空间结构，从时间上说明不同地区的城镇化历程，从城乡景观角度来看地域高中地理单元教学设计主题确立与实施路径初探文化的体现。城镇与乡村作为人口集中、经济和文化活动频繁的聚落形态，学生学习本单元对未来参与城乡生活和建设具有现实意义。</w:t>
      </w:r>
    </w:p>
    <w:p w14:paraId="63CBA8E6">
      <w:pPr>
        <w:spacing w:line="240" w:lineRule="auto"/>
        <w:jc w:val="left"/>
        <w:rPr>
          <w:rFonts w:hint="eastAsia" w:ascii="黑体" w:hAnsi="黑体" w:eastAsia="黑体"/>
          <w:sz w:val="24"/>
          <w:szCs w:val="24"/>
        </w:rPr>
      </w:pPr>
      <w:r>
        <w:rPr>
          <w:rFonts w:hint="eastAsia" w:ascii="黑体" w:hAnsi="黑体" w:eastAsia="黑体"/>
          <w:sz w:val="24"/>
          <w:szCs w:val="24"/>
        </w:rPr>
        <w:t>（二）</w:t>
      </w:r>
      <w:r>
        <w:rPr>
          <w:rFonts w:hint="eastAsia" w:ascii="黑体" w:hAnsi="黑体" w:eastAsia="黑体"/>
          <w:sz w:val="24"/>
          <w:szCs w:val="24"/>
          <w:lang w:val="en-US" w:eastAsia="zh-CN"/>
        </w:rPr>
        <w:t>单元</w:t>
      </w:r>
      <w:r>
        <w:rPr>
          <w:rFonts w:hint="eastAsia" w:ascii="黑体" w:hAnsi="黑体" w:eastAsia="黑体"/>
          <w:sz w:val="24"/>
          <w:szCs w:val="24"/>
        </w:rPr>
        <w:t>教材</w:t>
      </w:r>
      <w:r>
        <w:rPr>
          <w:rFonts w:hint="eastAsia" w:ascii="黑体" w:hAnsi="黑体" w:eastAsia="黑体"/>
          <w:sz w:val="24"/>
          <w:szCs w:val="24"/>
          <w:lang w:val="en-US" w:eastAsia="zh-CN"/>
        </w:rPr>
        <w:t>教法</w:t>
      </w:r>
      <w:r>
        <w:rPr>
          <w:rFonts w:hint="eastAsia" w:ascii="黑体" w:hAnsi="黑体" w:eastAsia="黑体"/>
          <w:sz w:val="24"/>
          <w:szCs w:val="24"/>
        </w:rPr>
        <w:t>分析</w:t>
      </w:r>
    </w:p>
    <w:p w14:paraId="6B869362">
      <w:pPr>
        <w:spacing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城镇与乡村”是新版高中地理必修二第二单元，主要聚焦城镇与乡村，按照空间结构、景观与文化、城镇化的编排顺序，由小见大，由直观到抽象构成了对人类聚落环境的整体认识。由于区域特征与差异，区域过程与变化是比较抽象的内容，因此如何激发学生、在探究具体的案例中抽象出城乡空间的变化过程是本单元突破的重要问题。</w:t>
      </w:r>
    </w:p>
    <w:p w14:paraId="56094A17">
      <w:pPr>
        <w:spacing w:line="240" w:lineRule="auto"/>
        <w:ind w:firstLine="480" w:firstLineChars="200"/>
        <w:rPr>
          <w:rFonts w:hint="default" w:ascii="仿宋" w:hAnsi="仿宋" w:eastAsia="仿宋"/>
          <w:sz w:val="24"/>
          <w:szCs w:val="24"/>
          <w:lang w:val="en-US" w:eastAsia="zh-CN"/>
        </w:rPr>
      </w:pPr>
      <w:r>
        <w:rPr>
          <w:rFonts w:hint="eastAsia" w:ascii="宋体" w:hAnsi="宋体" w:eastAsia="宋体" w:cs="宋体"/>
          <w:sz w:val="24"/>
          <w:szCs w:val="24"/>
          <w:lang w:val="en-US" w:eastAsia="zh-CN"/>
        </w:rPr>
        <w:t>本篇章设置了三个主题，分别是“城乡空间”、“城乡景观与地域文化”和“城镇化”。教学中可引导学生用科学探究的视角开展项目化主题学习，激发学生兴趣，提升学生对我国城乡规划和发展的关注度。同时也可通过利用相应的城市地理信息系统获取和分析城乡空间信息，深入思考地理事物发展的过程，逐步构建起地理知识之间的关联。并利用所学知识做出决策和评价，培养高阶思维能力。</w:t>
      </w:r>
    </w:p>
    <w:p w14:paraId="3170EBEE">
      <w:pPr>
        <w:numPr>
          <w:ilvl w:val="0"/>
          <w:numId w:val="2"/>
        </w:numPr>
        <w:spacing w:line="240" w:lineRule="auto"/>
        <w:jc w:val="left"/>
        <w:rPr>
          <w:rFonts w:hint="eastAsia" w:ascii="黑体" w:hAnsi="黑体" w:eastAsia="黑体"/>
          <w:sz w:val="24"/>
          <w:szCs w:val="24"/>
        </w:rPr>
      </w:pPr>
      <w:r>
        <w:rPr>
          <w:rFonts w:hint="eastAsia" w:ascii="黑体" w:hAnsi="黑体" w:eastAsia="黑体"/>
          <w:sz w:val="24"/>
          <w:szCs w:val="24"/>
          <w:lang w:val="en-US" w:eastAsia="zh-CN"/>
        </w:rPr>
        <w:t>单元</w:t>
      </w:r>
      <w:r>
        <w:rPr>
          <w:rFonts w:hint="eastAsia" w:ascii="黑体" w:hAnsi="黑体" w:eastAsia="黑体"/>
          <w:sz w:val="24"/>
          <w:szCs w:val="24"/>
        </w:rPr>
        <w:t>学情分析</w:t>
      </w:r>
    </w:p>
    <w:p w14:paraId="4D980367">
      <w:pPr>
        <w:numPr>
          <w:ilvl w:val="0"/>
          <w:numId w:val="3"/>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学生具备一定思维能力和探究兴趣</w:t>
      </w:r>
    </w:p>
    <w:p w14:paraId="527E3D8D">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高一学生经过初中和高一上学期的地理学习，能够在一定程度上合理描述和解释特定区域的现象。在思维特征上，具有一定的抽象概括能力。同时，生活在城镇中的学生也具备有关城镇景观、功能等地理表象和感性认识的知识，所以对于城乡空间的发展过程的探究有较浓厚的兴趣。</w:t>
      </w:r>
    </w:p>
    <w:p w14:paraId="534C11FC">
      <w:pPr>
        <w:numPr>
          <w:ilvl w:val="0"/>
          <w:numId w:val="3"/>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学生地理实践能力不足</w:t>
      </w:r>
    </w:p>
    <w:p w14:paraId="1469D1E0">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由于前期的地理教育主要在课内问题探究，学生走进真实的自然和社会大课堂，观察、思考、处理，最终认识和理解真实世界的地理现象的实践较为不足，所以教学设计中要尝试以考察、实验和调查等方式培养学生的地理实践力。</w:t>
      </w:r>
    </w:p>
    <w:p w14:paraId="0A148A2F">
      <w:pPr>
        <w:numPr>
          <w:ilvl w:val="0"/>
          <w:numId w:val="2"/>
        </w:numPr>
        <w:spacing w:line="240" w:lineRule="auto"/>
        <w:jc w:val="left"/>
        <w:rPr>
          <w:rFonts w:hint="eastAsia" w:ascii="黑体" w:hAnsi="黑体" w:eastAsia="黑体"/>
          <w:sz w:val="24"/>
          <w:szCs w:val="24"/>
          <w:lang w:val="en-US" w:eastAsia="zh-CN"/>
        </w:rPr>
      </w:pPr>
      <w:r>
        <w:rPr>
          <w:rFonts w:hint="eastAsia" w:ascii="黑体" w:hAnsi="黑体" w:eastAsia="黑体"/>
          <w:sz w:val="24"/>
          <w:szCs w:val="24"/>
          <w:lang w:val="en-US" w:eastAsia="zh-CN"/>
        </w:rPr>
        <w:t>单元教学目标设计</w:t>
      </w:r>
    </w:p>
    <w:p w14:paraId="67759569">
      <w:pPr>
        <w:spacing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能够收集调查具体城乡实例，分析城乡空间结构及主要功能，并说明合理利用呈现空间的意义和途径。</w:t>
      </w:r>
    </w:p>
    <w:p w14:paraId="0AFEDCDB">
      <w:pPr>
        <w:spacing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能够利用信息技术或其他地理工具观察当地城乡景观，归纳其典型特征；结合当地传统民居建筑，简单描述其地域特色，分析其与自然环境、材料技术和文化观念的关系。</w:t>
      </w:r>
    </w:p>
    <w:p w14:paraId="2D80E559">
      <w:pPr>
        <w:spacing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结合区域实例，识别其所处的城镇化阶段，并根据资料说出城镇化带来的利与弊。</w:t>
      </w:r>
    </w:p>
    <w:p w14:paraId="5E14BB31">
      <w:pPr>
        <w:numPr>
          <w:ilvl w:val="0"/>
          <w:numId w:val="2"/>
        </w:numPr>
        <w:spacing w:line="240" w:lineRule="auto"/>
        <w:jc w:val="left"/>
        <w:rPr>
          <w:rFonts w:hint="eastAsia" w:ascii="黑体" w:hAnsi="黑体" w:eastAsia="黑体"/>
          <w:sz w:val="24"/>
          <w:szCs w:val="24"/>
          <w:lang w:val="en-US" w:eastAsia="zh-CN"/>
        </w:rPr>
      </w:pPr>
      <w:r>
        <w:rPr>
          <w:rFonts w:hint="eastAsia" w:ascii="黑体" w:hAnsi="黑体" w:eastAsia="黑体"/>
          <w:sz w:val="24"/>
          <w:szCs w:val="24"/>
          <w:lang w:val="en-US" w:eastAsia="zh-CN"/>
        </w:rPr>
        <w:t>单元教学整体规划</w:t>
      </w:r>
    </w:p>
    <w:p w14:paraId="2054BDAF">
      <w:pPr>
        <w:numPr>
          <w:ilvl w:val="0"/>
          <w:numId w:val="4"/>
        </w:numPr>
        <w:spacing w:line="240" w:lineRule="auto"/>
        <w:ind w:left="425" w:leftChars="0" w:hanging="425" w:firstLineChars="0"/>
        <w:rPr>
          <w:rFonts w:hint="eastAsia" w:ascii="黑体" w:hAnsi="黑体" w:eastAsia="黑体"/>
          <w:sz w:val="24"/>
          <w:szCs w:val="24"/>
        </w:rPr>
      </w:pPr>
      <w:r>
        <w:rPr>
          <w:rFonts w:hint="eastAsia" w:ascii="黑体" w:hAnsi="黑体" w:eastAsia="黑体"/>
          <w:sz w:val="24"/>
          <w:szCs w:val="24"/>
        </w:rPr>
        <w:t>情境与任务</w:t>
      </w:r>
    </w:p>
    <w:p w14:paraId="55C149E9">
      <w:pPr>
        <w:spacing w:line="240" w:lineRule="auto"/>
        <w:jc w:val="center"/>
      </w:pPr>
      <w:r>
        <w:drawing>
          <wp:inline distT="0" distB="0" distL="114300" distR="114300">
            <wp:extent cx="4959350" cy="2672715"/>
            <wp:effectExtent l="0" t="0" r="12700" b="1397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4959350" cy="2672715"/>
                    </a:xfrm>
                    <a:prstGeom prst="rect">
                      <a:avLst/>
                    </a:prstGeom>
                    <a:noFill/>
                    <a:ln>
                      <a:noFill/>
                    </a:ln>
                  </pic:spPr>
                </pic:pic>
              </a:graphicData>
            </a:graphic>
          </wp:inline>
        </w:drawing>
      </w:r>
    </w:p>
    <w:p w14:paraId="78DC2377">
      <w:pPr>
        <w:numPr>
          <w:ilvl w:val="0"/>
          <w:numId w:val="0"/>
        </w:numPr>
        <w:spacing w:line="240" w:lineRule="auto"/>
        <w:jc w:val="center"/>
        <w:rPr>
          <w:rFonts w:hint="default" w:ascii="黑体" w:hAnsi="黑体" w:eastAsia="黑体" w:cs="黑体"/>
          <w:spacing w:val="-7"/>
          <w:sz w:val="21"/>
          <w:szCs w:val="21"/>
          <w:lang w:val="en-US" w:eastAsia="zh-CN"/>
        </w:rPr>
      </w:pPr>
      <w:r>
        <w:rPr>
          <w:rFonts w:hint="eastAsia" w:ascii="黑体" w:hAnsi="黑体" w:eastAsia="黑体" w:cs="黑体"/>
          <w:spacing w:val="-7"/>
          <w:sz w:val="21"/>
          <w:szCs w:val="21"/>
          <w:lang w:val="en-US" w:eastAsia="zh-CN"/>
        </w:rPr>
        <w:t>图1 情境与任务</w:t>
      </w:r>
    </w:p>
    <w:p w14:paraId="5B44E33F">
      <w:pPr>
        <w:numPr>
          <w:ilvl w:val="0"/>
          <w:numId w:val="4"/>
        </w:numPr>
        <w:spacing w:line="240" w:lineRule="auto"/>
        <w:ind w:left="425" w:leftChars="0" w:hanging="425" w:firstLineChars="0"/>
        <w:rPr>
          <w:rFonts w:hint="eastAsia" w:ascii="黑体" w:hAnsi="黑体" w:eastAsia="黑体"/>
          <w:sz w:val="24"/>
          <w:szCs w:val="24"/>
        </w:rPr>
      </w:pPr>
      <w:r>
        <w:rPr>
          <w:rFonts w:hint="eastAsia" w:ascii="黑体" w:hAnsi="黑体" w:eastAsia="黑体"/>
          <w:sz w:val="24"/>
          <w:szCs w:val="24"/>
        </w:rPr>
        <w:t>课时与目标</w:t>
      </w:r>
    </w:p>
    <w:p w14:paraId="4A4862ED">
      <w:pPr>
        <w:numPr>
          <w:ilvl w:val="0"/>
          <w:numId w:val="0"/>
        </w:numPr>
        <w:spacing w:line="240" w:lineRule="auto"/>
        <w:jc w:val="center"/>
        <w:rPr>
          <w:rFonts w:hint="eastAsia" w:ascii="黑体" w:hAnsi="黑体" w:eastAsia="黑体" w:cs="黑体"/>
          <w:spacing w:val="-7"/>
          <w:sz w:val="21"/>
          <w:szCs w:val="21"/>
          <w:lang w:val="en-US" w:eastAsia="zh-CN"/>
        </w:rPr>
      </w:pPr>
      <w:r>
        <w:rPr>
          <w:rFonts w:hint="eastAsia" w:ascii="黑体" w:hAnsi="黑体" w:eastAsia="黑体" w:cs="黑体"/>
          <w:spacing w:val="-7"/>
          <w:sz w:val="21"/>
          <w:szCs w:val="21"/>
          <w:lang w:val="en-US" w:eastAsia="zh-CN"/>
        </w:rPr>
        <w:t>表1 课时与目标</w:t>
      </w:r>
    </w:p>
    <w:tbl>
      <w:tblPr>
        <w:tblStyle w:val="8"/>
        <w:tblW w:w="4954"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280"/>
        <w:gridCol w:w="887"/>
        <w:gridCol w:w="6277"/>
      </w:tblGrid>
      <w:tr w14:paraId="53EEAD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 w:hRule="atLeast"/>
        </w:trPr>
        <w:tc>
          <w:tcPr>
            <w:tcW w:w="758" w:type="pct"/>
            <w:shd w:val="clear" w:color="auto" w:fill="E8E8E8" w:themeFill="background2"/>
          </w:tcPr>
          <w:p w14:paraId="7CCED6DA">
            <w:pPr>
              <w:spacing w:line="240" w:lineRule="auto"/>
              <w:jc w:val="center"/>
              <w:rPr>
                <w:rFonts w:hint="eastAsia" w:ascii="黑体" w:hAnsi="黑体" w:eastAsia="黑体"/>
                <w:sz w:val="24"/>
                <w:szCs w:val="24"/>
              </w:rPr>
            </w:pPr>
            <w:r>
              <w:rPr>
                <w:rFonts w:hint="eastAsia" w:ascii="黑体" w:hAnsi="黑体" w:eastAsia="黑体"/>
                <w:sz w:val="24"/>
                <w:szCs w:val="24"/>
              </w:rPr>
              <w:t>内容</w:t>
            </w:r>
          </w:p>
        </w:tc>
        <w:tc>
          <w:tcPr>
            <w:tcW w:w="525" w:type="pct"/>
            <w:shd w:val="clear" w:color="auto" w:fill="E8E8E8" w:themeFill="background2"/>
          </w:tcPr>
          <w:p w14:paraId="261569C6">
            <w:pPr>
              <w:spacing w:line="240" w:lineRule="auto"/>
              <w:jc w:val="center"/>
              <w:rPr>
                <w:rFonts w:hint="eastAsia" w:ascii="黑体" w:hAnsi="黑体" w:eastAsia="黑体"/>
                <w:sz w:val="24"/>
                <w:szCs w:val="24"/>
              </w:rPr>
            </w:pPr>
            <w:r>
              <w:rPr>
                <w:rFonts w:hint="eastAsia" w:ascii="黑体" w:hAnsi="黑体" w:eastAsia="黑体"/>
                <w:sz w:val="24"/>
                <w:szCs w:val="24"/>
              </w:rPr>
              <w:t>课时</w:t>
            </w:r>
          </w:p>
        </w:tc>
        <w:tc>
          <w:tcPr>
            <w:tcW w:w="3716" w:type="pct"/>
            <w:shd w:val="clear" w:color="auto" w:fill="E8E8E8" w:themeFill="background2"/>
          </w:tcPr>
          <w:p w14:paraId="1E879F15">
            <w:pPr>
              <w:spacing w:line="240" w:lineRule="auto"/>
              <w:jc w:val="center"/>
              <w:rPr>
                <w:rFonts w:hint="eastAsia" w:ascii="黑体" w:hAnsi="黑体" w:eastAsia="黑体"/>
                <w:sz w:val="24"/>
                <w:szCs w:val="24"/>
              </w:rPr>
            </w:pPr>
            <w:r>
              <w:rPr>
                <w:rFonts w:hint="eastAsia" w:ascii="黑体" w:hAnsi="黑体" w:eastAsia="黑体"/>
                <w:sz w:val="24"/>
                <w:szCs w:val="24"/>
              </w:rPr>
              <w:t>课时教学目标</w:t>
            </w:r>
          </w:p>
        </w:tc>
      </w:tr>
      <w:tr w14:paraId="7A5459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66" w:hRule="atLeast"/>
        </w:trPr>
        <w:tc>
          <w:tcPr>
            <w:tcW w:w="758" w:type="pct"/>
            <w:vAlign w:val="center"/>
          </w:tcPr>
          <w:p w14:paraId="4D72BAA1">
            <w:pPr>
              <w:spacing w:line="240" w:lineRule="auto"/>
              <w:jc w:val="center"/>
              <w:rPr>
                <w:rFonts w:hint="eastAsia" w:ascii="黑体" w:hAnsi="黑体" w:eastAsia="黑体"/>
                <w:szCs w:val="21"/>
              </w:rPr>
            </w:pPr>
            <w:r>
              <w:rPr>
                <w:rFonts w:hint="eastAsia" w:ascii="黑体" w:hAnsi="黑体" w:eastAsia="黑体"/>
                <w:szCs w:val="21"/>
                <w:lang w:val="en-US" w:eastAsia="zh-CN"/>
              </w:rPr>
              <w:t>城镇化</w:t>
            </w:r>
            <w:r>
              <w:rPr>
                <w:rFonts w:hint="eastAsia" w:ascii="黑体" w:hAnsi="黑体" w:eastAsia="黑体"/>
                <w:szCs w:val="21"/>
              </w:rPr>
              <w:t>：</w:t>
            </w:r>
          </w:p>
          <w:p w14:paraId="463AA739">
            <w:pPr>
              <w:spacing w:line="240" w:lineRule="auto"/>
              <w:jc w:val="center"/>
              <w:rPr>
                <w:rFonts w:hint="eastAsia" w:ascii="楷体" w:hAnsi="楷体" w:eastAsia="楷体"/>
                <w:szCs w:val="21"/>
              </w:rPr>
            </w:pPr>
            <w:r>
              <w:rPr>
                <w:rFonts w:hint="eastAsia" w:ascii="楷体" w:hAnsi="楷体" w:eastAsia="楷体"/>
                <w:szCs w:val="21"/>
              </w:rPr>
              <w:t>任务一</w:t>
            </w:r>
          </w:p>
          <w:p w14:paraId="067F8B9C">
            <w:pPr>
              <w:spacing w:line="240" w:lineRule="auto"/>
              <w:jc w:val="center"/>
              <w:rPr>
                <w:rFonts w:hint="eastAsia" w:ascii="楷体" w:hAnsi="楷体" w:eastAsia="楷体"/>
                <w:szCs w:val="21"/>
                <w:lang w:val="en-US" w:eastAsia="zh-CN"/>
              </w:rPr>
            </w:pPr>
            <w:r>
              <w:rPr>
                <w:rFonts w:hint="eastAsia" w:ascii="楷体" w:hAnsi="楷体" w:eastAsia="楷体"/>
                <w:szCs w:val="21"/>
                <w:lang w:val="en-US" w:eastAsia="zh-CN"/>
              </w:rPr>
              <w:t>任务二</w:t>
            </w:r>
          </w:p>
        </w:tc>
        <w:tc>
          <w:tcPr>
            <w:tcW w:w="525" w:type="pct"/>
            <w:vAlign w:val="center"/>
          </w:tcPr>
          <w:p w14:paraId="661B99D0">
            <w:pPr>
              <w:spacing w:line="240" w:lineRule="auto"/>
              <w:jc w:val="center"/>
              <w:rPr>
                <w:rFonts w:hint="eastAsia" w:ascii="Times New Roman" w:hAnsi="Times New Roman" w:eastAsia="仿宋" w:cs="Times New Roman"/>
                <w:sz w:val="24"/>
                <w:szCs w:val="24"/>
                <w:lang w:eastAsia="zh-CN"/>
              </w:rPr>
            </w:pPr>
            <w:r>
              <w:rPr>
                <w:rFonts w:hint="eastAsia" w:ascii="Times New Roman" w:hAnsi="Times New Roman" w:eastAsia="仿宋" w:cs="Times New Roman"/>
                <w:sz w:val="24"/>
                <w:szCs w:val="24"/>
                <w:lang w:val="en-US" w:eastAsia="zh-CN"/>
              </w:rPr>
              <w:t>2</w:t>
            </w:r>
          </w:p>
        </w:tc>
        <w:tc>
          <w:tcPr>
            <w:tcW w:w="3716" w:type="pct"/>
          </w:tcPr>
          <w:p w14:paraId="6AB69A8F">
            <w:pPr>
              <w:snapToGrid w:val="0"/>
              <w:spacing w:line="240" w:lineRule="auto"/>
              <w:rPr>
                <w:rFonts w:hint="eastAsia" w:ascii="楷体" w:hAnsi="楷体" w:eastAsia="楷体"/>
                <w:szCs w:val="21"/>
              </w:rPr>
            </w:pPr>
            <w:r>
              <w:rPr>
                <w:rFonts w:hint="default" w:ascii="Calibri" w:hAnsi="Calibri" w:eastAsia="楷体" w:cs="Calibri"/>
                <w:szCs w:val="21"/>
                <w:lang w:val="en-US" w:eastAsia="zh-CN"/>
              </w:rPr>
              <w:t>①</w:t>
            </w:r>
            <w:r>
              <w:rPr>
                <w:rFonts w:hint="eastAsia" w:ascii="楷体" w:hAnsi="楷体" w:eastAsia="楷体"/>
                <w:szCs w:val="21"/>
                <w:lang w:val="en-US" w:eastAsia="zh-CN"/>
              </w:rPr>
              <w:t>通过图表资料，认识城镇化过程，归纳各发展阶段的主要特征，识别不同地区所处的城镇化阶段。</w:t>
            </w:r>
            <w:r>
              <w:rPr>
                <w:rFonts w:hint="default" w:ascii="Calibri" w:hAnsi="Calibri" w:eastAsia="楷体" w:cs="Calibri"/>
                <w:szCs w:val="21"/>
                <w:lang w:val="en-US" w:eastAsia="zh-CN"/>
              </w:rPr>
              <w:t>②</w:t>
            </w:r>
            <w:r>
              <w:rPr>
                <w:rFonts w:hint="eastAsia" w:ascii="楷体" w:hAnsi="楷体" w:eastAsia="楷体"/>
                <w:szCs w:val="21"/>
                <w:lang w:val="en-US" w:eastAsia="zh-CN"/>
              </w:rPr>
              <w:t>运用图表资料，概括当前世界城镇化的主要特点，比较世界城镇化的区域差异。</w:t>
            </w:r>
            <w:r>
              <w:rPr>
                <w:rFonts w:hint="default" w:ascii="Calibri" w:hAnsi="Calibri" w:eastAsia="微软雅黑" w:cs="Calibri"/>
                <w:szCs w:val="21"/>
                <w:lang w:val="en-US" w:eastAsia="zh-CN"/>
              </w:rPr>
              <w:t>③</w:t>
            </w:r>
            <w:r>
              <w:rPr>
                <w:rFonts w:hint="eastAsia" w:ascii="楷体" w:hAnsi="楷体" w:eastAsia="楷体"/>
                <w:szCs w:val="21"/>
                <w:lang w:val="en-US" w:eastAsia="zh-CN"/>
              </w:rPr>
              <w:t>结合数据资料与城乡问题实例，辨证分析城镇化的利弊，形成统筹规划的综合思维。</w:t>
            </w:r>
          </w:p>
        </w:tc>
      </w:tr>
      <w:tr w14:paraId="3B7291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58" w:type="pct"/>
            <w:vAlign w:val="center"/>
          </w:tcPr>
          <w:p w14:paraId="3B4FEBC8">
            <w:pPr>
              <w:spacing w:line="240" w:lineRule="auto"/>
              <w:jc w:val="center"/>
              <w:rPr>
                <w:rFonts w:hint="eastAsia" w:ascii="黑体" w:hAnsi="黑体" w:eastAsia="黑体"/>
                <w:szCs w:val="21"/>
              </w:rPr>
            </w:pPr>
            <w:r>
              <w:rPr>
                <w:rFonts w:hint="eastAsia" w:ascii="黑体" w:hAnsi="黑体" w:eastAsia="黑体"/>
                <w:szCs w:val="21"/>
                <w:lang w:val="en-US" w:eastAsia="zh-CN"/>
              </w:rPr>
              <w:t>城乡空间</w:t>
            </w:r>
            <w:r>
              <w:rPr>
                <w:rFonts w:hint="eastAsia" w:ascii="黑体" w:hAnsi="黑体" w:eastAsia="黑体"/>
                <w:szCs w:val="21"/>
              </w:rPr>
              <w:t>：</w:t>
            </w:r>
          </w:p>
          <w:p w14:paraId="110814B5">
            <w:pPr>
              <w:spacing w:line="240" w:lineRule="auto"/>
              <w:jc w:val="center"/>
              <w:rPr>
                <w:rFonts w:hint="eastAsia" w:ascii="楷体" w:hAnsi="楷体" w:eastAsia="楷体"/>
                <w:szCs w:val="21"/>
                <w:lang w:val="en-US" w:eastAsia="zh-CN"/>
              </w:rPr>
            </w:pPr>
            <w:r>
              <w:rPr>
                <w:rFonts w:hint="eastAsia" w:ascii="楷体" w:hAnsi="楷体" w:eastAsia="楷体"/>
                <w:szCs w:val="21"/>
              </w:rPr>
              <w:t>任务</w:t>
            </w:r>
            <w:r>
              <w:rPr>
                <w:rFonts w:hint="eastAsia" w:ascii="楷体" w:hAnsi="楷体" w:eastAsia="楷体"/>
                <w:szCs w:val="21"/>
                <w:lang w:val="en-US" w:eastAsia="zh-CN"/>
              </w:rPr>
              <w:t>三</w:t>
            </w:r>
          </w:p>
          <w:p w14:paraId="1A652703">
            <w:pPr>
              <w:spacing w:line="240" w:lineRule="auto"/>
              <w:jc w:val="center"/>
              <w:rPr>
                <w:rFonts w:hint="default" w:ascii="楷体" w:hAnsi="楷体" w:eastAsia="楷体"/>
                <w:szCs w:val="21"/>
                <w:lang w:val="en-US" w:eastAsia="zh-CN"/>
              </w:rPr>
            </w:pPr>
            <w:r>
              <w:rPr>
                <w:rFonts w:hint="eastAsia" w:ascii="楷体" w:hAnsi="楷体" w:eastAsia="楷体"/>
                <w:szCs w:val="21"/>
                <w:lang w:val="en-US" w:eastAsia="zh-CN"/>
              </w:rPr>
              <w:t>任务四</w:t>
            </w:r>
          </w:p>
        </w:tc>
        <w:tc>
          <w:tcPr>
            <w:tcW w:w="525" w:type="pct"/>
            <w:vAlign w:val="center"/>
          </w:tcPr>
          <w:p w14:paraId="7E0F17D3">
            <w:pPr>
              <w:spacing w:line="240" w:lineRule="auto"/>
              <w:jc w:val="center"/>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2</w:t>
            </w:r>
          </w:p>
        </w:tc>
        <w:tc>
          <w:tcPr>
            <w:tcW w:w="3716" w:type="pct"/>
          </w:tcPr>
          <w:p w14:paraId="1AA8091E">
            <w:pPr>
              <w:snapToGrid w:val="0"/>
              <w:spacing w:line="240" w:lineRule="auto"/>
              <w:rPr>
                <w:rFonts w:hint="default" w:ascii="楷体" w:hAnsi="楷体" w:eastAsia="楷体"/>
                <w:szCs w:val="21"/>
                <w:lang w:val="en-US" w:eastAsia="zh-CN"/>
              </w:rPr>
            </w:pPr>
            <w:r>
              <w:rPr>
                <w:rFonts w:hint="default" w:ascii="Calibri" w:hAnsi="Calibri" w:eastAsia="楷体" w:cs="Calibri"/>
                <w:szCs w:val="21"/>
                <w:lang w:val="en-US" w:eastAsia="zh-CN"/>
              </w:rPr>
              <w:t>①</w:t>
            </w:r>
            <w:r>
              <w:rPr>
                <w:rFonts w:hint="eastAsia" w:ascii="楷体" w:hAnsi="楷体" w:eastAsia="楷体"/>
                <w:szCs w:val="21"/>
                <w:lang w:val="en-US" w:eastAsia="zh-CN"/>
              </w:rPr>
              <w:t>通过调查和数据分析，分析城乡空间结构的特点和成因，归纳城乡土地利用的一般规律。</w:t>
            </w:r>
            <w:r>
              <w:rPr>
                <w:rFonts w:hint="default" w:ascii="Calibri" w:hAnsi="Calibri" w:eastAsia="楷体" w:cs="Calibri"/>
                <w:szCs w:val="21"/>
                <w:lang w:val="en-US" w:eastAsia="zh-CN"/>
              </w:rPr>
              <w:t>②</w:t>
            </w:r>
            <w:r>
              <w:rPr>
                <w:rFonts w:hint="eastAsia" w:ascii="楷体" w:hAnsi="楷体" w:eastAsia="楷体"/>
                <w:szCs w:val="21"/>
                <w:lang w:val="en-US" w:eastAsia="zh-CN"/>
              </w:rPr>
              <w:t>结合城镇与乡村实例，描述城镇典型功能分区的分布特点与乡村基本的空间单元构成，评价空间布局的合理性。</w:t>
            </w:r>
            <w:r>
              <w:rPr>
                <w:rFonts w:hint="eastAsia" w:ascii="微软雅黑" w:hAnsi="微软雅黑" w:eastAsia="微软雅黑" w:cs="微软雅黑"/>
                <w:szCs w:val="21"/>
                <w:lang w:val="en-US" w:eastAsia="zh-CN"/>
              </w:rPr>
              <w:t>③</w:t>
            </w:r>
            <w:r>
              <w:rPr>
                <w:rFonts w:hint="eastAsia" w:ascii="楷体" w:hAnsi="楷体" w:eastAsia="楷体"/>
                <w:szCs w:val="21"/>
                <w:lang w:val="en-US" w:eastAsia="zh-CN"/>
              </w:rPr>
              <w:t>通过案例分析，归纳合理利用城乡空间的意义和途径。</w:t>
            </w:r>
          </w:p>
        </w:tc>
      </w:tr>
      <w:tr w14:paraId="3C9903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758" w:type="pct"/>
            <w:vAlign w:val="center"/>
          </w:tcPr>
          <w:p w14:paraId="3296F1EF">
            <w:pPr>
              <w:spacing w:line="240" w:lineRule="auto"/>
              <w:jc w:val="center"/>
              <w:rPr>
                <w:rFonts w:hint="eastAsia" w:ascii="黑体" w:hAnsi="黑体" w:eastAsia="黑体"/>
                <w:szCs w:val="21"/>
              </w:rPr>
            </w:pPr>
            <w:r>
              <w:rPr>
                <w:rFonts w:hint="eastAsia" w:ascii="黑体" w:hAnsi="黑体" w:eastAsia="黑体"/>
                <w:szCs w:val="21"/>
                <w:lang w:val="en-US" w:eastAsia="zh-CN"/>
              </w:rPr>
              <w:t>城乡景观与地域文化</w:t>
            </w:r>
            <w:r>
              <w:rPr>
                <w:rFonts w:hint="eastAsia" w:ascii="黑体" w:hAnsi="黑体" w:eastAsia="黑体"/>
                <w:szCs w:val="21"/>
              </w:rPr>
              <w:t>：</w:t>
            </w:r>
          </w:p>
          <w:p w14:paraId="35488249">
            <w:pPr>
              <w:spacing w:line="240" w:lineRule="auto"/>
              <w:jc w:val="center"/>
              <w:rPr>
                <w:rFonts w:hint="eastAsia" w:ascii="楷体" w:hAnsi="楷体" w:eastAsia="楷体"/>
                <w:szCs w:val="21"/>
                <w:lang w:val="en-US" w:eastAsia="zh-CN"/>
              </w:rPr>
            </w:pPr>
            <w:r>
              <w:rPr>
                <w:rFonts w:hint="eastAsia" w:ascii="楷体" w:hAnsi="楷体" w:eastAsia="楷体"/>
                <w:szCs w:val="21"/>
              </w:rPr>
              <w:t>任务</w:t>
            </w:r>
            <w:r>
              <w:rPr>
                <w:rFonts w:hint="eastAsia" w:ascii="楷体" w:hAnsi="楷体" w:eastAsia="楷体"/>
                <w:szCs w:val="21"/>
                <w:lang w:val="en-US" w:eastAsia="zh-CN"/>
              </w:rPr>
              <w:t>五</w:t>
            </w:r>
          </w:p>
          <w:p w14:paraId="3E73096B">
            <w:pPr>
              <w:spacing w:line="240" w:lineRule="auto"/>
              <w:jc w:val="center"/>
              <w:rPr>
                <w:rFonts w:hint="default" w:ascii="楷体" w:hAnsi="楷体" w:eastAsia="楷体"/>
                <w:szCs w:val="21"/>
                <w:lang w:val="en-US" w:eastAsia="zh-CN"/>
              </w:rPr>
            </w:pPr>
            <w:r>
              <w:rPr>
                <w:rFonts w:hint="eastAsia" w:ascii="楷体" w:hAnsi="楷体" w:eastAsia="楷体"/>
                <w:szCs w:val="21"/>
                <w:lang w:val="en-US" w:eastAsia="zh-CN"/>
              </w:rPr>
              <w:t>任务六</w:t>
            </w:r>
          </w:p>
        </w:tc>
        <w:tc>
          <w:tcPr>
            <w:tcW w:w="525" w:type="pct"/>
            <w:vAlign w:val="center"/>
          </w:tcPr>
          <w:p w14:paraId="39BAECFB">
            <w:pPr>
              <w:spacing w:line="240" w:lineRule="auto"/>
              <w:jc w:val="center"/>
              <w:rPr>
                <w:rFonts w:hint="eastAsia" w:ascii="Times New Roman" w:hAnsi="Times New Roman" w:eastAsia="仿宋" w:cs="Times New Roman"/>
                <w:sz w:val="24"/>
                <w:szCs w:val="24"/>
                <w:lang w:eastAsia="zh-CN"/>
              </w:rPr>
            </w:pPr>
            <w:r>
              <w:rPr>
                <w:rFonts w:hint="eastAsia" w:ascii="Times New Roman" w:hAnsi="Times New Roman" w:eastAsia="仿宋" w:cs="Times New Roman"/>
                <w:sz w:val="24"/>
                <w:szCs w:val="24"/>
                <w:lang w:val="en-US" w:eastAsia="zh-CN"/>
              </w:rPr>
              <w:t>1</w:t>
            </w:r>
          </w:p>
        </w:tc>
        <w:tc>
          <w:tcPr>
            <w:tcW w:w="3716" w:type="pct"/>
          </w:tcPr>
          <w:p w14:paraId="463D66AE">
            <w:pPr>
              <w:snapToGrid w:val="0"/>
              <w:spacing w:line="240" w:lineRule="auto"/>
              <w:rPr>
                <w:rFonts w:hint="default" w:ascii="楷体" w:hAnsi="楷体" w:eastAsia="楷体"/>
                <w:szCs w:val="21"/>
                <w:lang w:val="en-US"/>
              </w:rPr>
            </w:pPr>
            <w:r>
              <w:rPr>
                <w:rFonts w:hint="default" w:ascii="Calibri" w:hAnsi="Calibri" w:eastAsia="楷体" w:cs="Calibri"/>
                <w:szCs w:val="21"/>
                <w:lang w:val="en-US" w:eastAsia="zh-CN"/>
              </w:rPr>
              <w:t>①</w:t>
            </w:r>
            <w:r>
              <w:rPr>
                <w:rFonts w:hint="eastAsia" w:ascii="楷体" w:hAnsi="楷体" w:eastAsia="楷体"/>
                <w:szCs w:val="21"/>
                <w:lang w:val="en-US" w:eastAsia="zh-CN"/>
              </w:rPr>
              <w:t>通过全景地图和实地调查，描述某一地区的城乡景观的特征。</w:t>
            </w:r>
            <w:r>
              <w:rPr>
                <w:rFonts w:hint="default" w:ascii="Calibri" w:hAnsi="Calibri" w:eastAsia="楷体" w:cs="Calibri"/>
                <w:szCs w:val="21"/>
                <w:lang w:val="en-US" w:eastAsia="zh-CN"/>
              </w:rPr>
              <w:t>②</w:t>
            </w:r>
            <w:r>
              <w:rPr>
                <w:rFonts w:hint="eastAsia" w:ascii="楷体" w:hAnsi="楷体" w:eastAsia="楷体"/>
                <w:szCs w:val="21"/>
                <w:lang w:val="en-US" w:eastAsia="zh-CN"/>
              </w:rPr>
              <w:t>通过典型的城乡景观实例，结合自然地理环境背景，分析传统民居所承载的地域文化特色与自然环境、材料技术和文化观念之间的联系。</w:t>
            </w:r>
            <w:r>
              <w:rPr>
                <w:rFonts w:hint="default" w:ascii="楷体" w:hAnsi="楷体" w:eastAsia="楷体"/>
                <w:szCs w:val="21"/>
                <w:lang w:val="en-US" w:eastAsia="zh-CN"/>
              </w:rPr>
              <w:t>③</w:t>
            </w:r>
            <w:r>
              <w:rPr>
                <w:rFonts w:hint="eastAsia" w:ascii="楷体" w:hAnsi="楷体" w:eastAsia="楷体"/>
                <w:szCs w:val="21"/>
                <w:lang w:val="en-US" w:eastAsia="zh-CN"/>
              </w:rPr>
              <w:t>通过合理规划的城乡案例，理解我国提出的城乡一体化的理念。</w:t>
            </w:r>
          </w:p>
        </w:tc>
      </w:tr>
    </w:tbl>
    <w:p w14:paraId="36EEBB87">
      <w:pPr>
        <w:numPr>
          <w:ilvl w:val="0"/>
          <w:numId w:val="4"/>
        </w:numPr>
        <w:spacing w:line="240" w:lineRule="auto"/>
        <w:ind w:left="425" w:leftChars="0" w:hanging="425" w:firstLineChars="0"/>
        <w:rPr>
          <w:rFonts w:hint="eastAsia" w:ascii="黑体" w:hAnsi="黑体" w:eastAsia="黑体"/>
          <w:sz w:val="24"/>
          <w:szCs w:val="24"/>
        </w:rPr>
      </w:pPr>
      <w:r>
        <w:rPr>
          <w:rFonts w:hint="eastAsia" w:ascii="黑体" w:hAnsi="黑体" w:eastAsia="黑体"/>
          <w:sz w:val="24"/>
          <w:szCs w:val="24"/>
        </w:rPr>
        <w:t>重点与创新</w:t>
      </w:r>
    </w:p>
    <w:p w14:paraId="7F9D0048">
      <w:pPr>
        <w:numPr>
          <w:ilvl w:val="0"/>
          <w:numId w:val="5"/>
        </w:numPr>
        <w:spacing w:line="240" w:lineRule="auto"/>
        <w:ind w:left="42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创设一体化教学情境</w:t>
      </w:r>
    </w:p>
    <w:p w14:paraId="4520CCFB">
      <w:pPr>
        <w:spacing w:line="24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单元以“调查奉贤区城乡发展”为主线贯穿整个单元，增强单元内各主题的连贯性。选择乡土案例，能够从学生生活出发，探究身边的地理现象，分析地理现象的成因，为城市发展建言献策，培养爱乡爱国的情感。</w:t>
      </w:r>
    </w:p>
    <w:p w14:paraId="166498B8">
      <w:pPr>
        <w:numPr>
          <w:ilvl w:val="0"/>
          <w:numId w:val="5"/>
        </w:numPr>
        <w:spacing w:line="240" w:lineRule="auto"/>
        <w:ind w:left="42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关注学生的实践活动</w:t>
      </w:r>
    </w:p>
    <w:p w14:paraId="15AFC125">
      <w:pPr>
        <w:spacing w:line="24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本单元注重学生地理实践力的培育，引导学生使用信息技术获取和分析地理信息，掌握社会调查活动开展的途径与方法，让学生在实践中促进素养习得，促进全面发展。</w:t>
      </w:r>
    </w:p>
    <w:p w14:paraId="72B18A98">
      <w:pPr>
        <w:numPr>
          <w:ilvl w:val="0"/>
          <w:numId w:val="5"/>
        </w:numPr>
        <w:spacing w:line="240" w:lineRule="auto"/>
        <w:ind w:left="425" w:leftChars="0" w:hanging="425"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以链式问题探究为导向</w:t>
      </w:r>
    </w:p>
    <w:p w14:paraId="1DBDB050">
      <w:pPr>
        <w:numPr>
          <w:ilvl w:val="0"/>
          <w:numId w:val="0"/>
        </w:num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本单元案例设计不仅整体具有连续性，并且在以链式问题探究为导向，前一问题的解决为后续问题的解答提供知识、经验与方法指引，引导学生深入学习。帮助学生地理知识的思维构建，促进地理问题解决能力的螺旋上升。</w:t>
      </w:r>
    </w:p>
    <w:p w14:paraId="686605CC">
      <w:pPr>
        <w:numPr>
          <w:ilvl w:val="0"/>
          <w:numId w:val="2"/>
        </w:numPr>
        <w:spacing w:line="240" w:lineRule="auto"/>
        <w:jc w:val="left"/>
        <w:rPr>
          <w:rFonts w:hint="eastAsia" w:ascii="黑体" w:hAnsi="黑体" w:eastAsia="黑体"/>
          <w:sz w:val="24"/>
          <w:szCs w:val="24"/>
          <w:lang w:val="en-US" w:eastAsia="zh-CN"/>
        </w:rPr>
      </w:pPr>
      <w:r>
        <w:rPr>
          <w:rFonts w:hint="eastAsia" w:ascii="黑体" w:hAnsi="黑体" w:eastAsia="黑体"/>
          <w:sz w:val="24"/>
          <w:szCs w:val="24"/>
          <w:lang w:val="en-US" w:eastAsia="zh-CN"/>
        </w:rPr>
        <w:t>单元学习活动设计</w:t>
      </w:r>
    </w:p>
    <w:p w14:paraId="689EAE0A">
      <w:pPr>
        <w:numPr>
          <w:ilvl w:val="0"/>
          <w:numId w:val="6"/>
        </w:numPr>
        <w:spacing w:line="240" w:lineRule="auto"/>
        <w:ind w:left="425" w:leftChars="0" w:hanging="425" w:firstLineChars="0"/>
        <w:rPr>
          <w:rFonts w:hint="eastAsia" w:ascii="黑体" w:hAnsi="黑体" w:eastAsia="黑体"/>
          <w:szCs w:val="21"/>
        </w:rPr>
      </w:pPr>
      <w:r>
        <w:rPr>
          <w:rFonts w:hint="eastAsia" w:ascii="黑体" w:hAnsi="黑体" w:eastAsia="黑体"/>
          <w:sz w:val="24"/>
          <w:szCs w:val="24"/>
        </w:rPr>
        <w:t>活动规划</w:t>
      </w:r>
    </w:p>
    <w:p w14:paraId="681A0F5C">
      <w:pPr>
        <w:spacing w:line="240" w:lineRule="auto"/>
        <w:jc w:val="left"/>
      </w:pPr>
      <w:r>
        <w:drawing>
          <wp:inline distT="0" distB="0" distL="114300" distR="114300">
            <wp:extent cx="4688205" cy="8458200"/>
            <wp:effectExtent l="0" t="0" r="17145"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a:stretch>
                      <a:fillRect/>
                    </a:stretch>
                  </pic:blipFill>
                  <pic:spPr>
                    <a:xfrm>
                      <a:off x="0" y="0"/>
                      <a:ext cx="4688205" cy="8458200"/>
                    </a:xfrm>
                    <a:prstGeom prst="rect">
                      <a:avLst/>
                    </a:prstGeom>
                    <a:noFill/>
                    <a:ln>
                      <a:noFill/>
                    </a:ln>
                  </pic:spPr>
                </pic:pic>
              </a:graphicData>
            </a:graphic>
          </wp:inline>
        </w:drawing>
      </w:r>
    </w:p>
    <w:p w14:paraId="642C349B">
      <w:pPr>
        <w:numPr>
          <w:ilvl w:val="0"/>
          <w:numId w:val="0"/>
        </w:numPr>
        <w:spacing w:line="240" w:lineRule="auto"/>
        <w:jc w:val="center"/>
        <w:rPr>
          <w:rFonts w:hint="default" w:ascii="黑体" w:hAnsi="黑体" w:eastAsia="黑体" w:cs="黑体"/>
          <w:spacing w:val="-7"/>
          <w:sz w:val="21"/>
          <w:szCs w:val="21"/>
          <w:lang w:val="en-US" w:eastAsia="zh-CN"/>
        </w:rPr>
      </w:pPr>
      <w:r>
        <w:rPr>
          <w:rFonts w:hint="eastAsia" w:ascii="黑体" w:hAnsi="黑体" w:eastAsia="黑体" w:cs="黑体"/>
          <w:spacing w:val="-7"/>
          <w:sz w:val="21"/>
          <w:szCs w:val="21"/>
          <w:lang w:val="en-US" w:eastAsia="zh-CN"/>
        </w:rPr>
        <w:t>图2 活动规划</w:t>
      </w:r>
    </w:p>
    <w:p w14:paraId="498461C1">
      <w:pPr>
        <w:spacing w:line="240" w:lineRule="auto"/>
        <w:ind w:firstLine="678" w:firstLineChars="300"/>
        <w:jc w:val="left"/>
        <w:rPr>
          <w:rFonts w:hint="eastAsia" w:ascii="宋体" w:hAnsi="宋体" w:eastAsia="宋体" w:cs="宋体"/>
          <w:spacing w:val="-7"/>
          <w:sz w:val="24"/>
          <w:szCs w:val="24"/>
          <w:lang w:val="en-US" w:eastAsia="zh-CN"/>
        </w:rPr>
      </w:pPr>
      <w:r>
        <w:rPr>
          <w:rFonts w:hint="eastAsia" w:ascii="宋体" w:hAnsi="宋体" w:eastAsia="宋体" w:cs="宋体"/>
          <w:b w:val="0"/>
          <w:bCs w:val="0"/>
          <w:spacing w:val="-7"/>
          <w:sz w:val="24"/>
          <w:szCs w:val="24"/>
          <w:lang w:val="en-US" w:eastAsia="zh-CN"/>
        </w:rPr>
        <w:t>以活动1“调查上海奉贤区城镇化现状”为例，具体活动过程如下：</w:t>
      </w:r>
    </w:p>
    <w:p w14:paraId="1694489B">
      <w:pPr>
        <w:numPr>
          <w:ilvl w:val="0"/>
          <w:numId w:val="7"/>
        </w:numPr>
        <w:spacing w:line="240" w:lineRule="auto"/>
        <w:ind w:left="0" w:leftChars="0" w:firstLine="0" w:firstLineChars="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活动目标：学习区域调查的基本方法，通过调查上海奉贤区城镇化的资料，了解和认识上海目前郊区城镇化发展情况。</w:t>
      </w:r>
    </w:p>
    <w:p w14:paraId="088A8963">
      <w:pPr>
        <w:numPr>
          <w:ilvl w:val="0"/>
          <w:numId w:val="7"/>
        </w:numPr>
        <w:spacing w:line="240" w:lineRule="auto"/>
        <w:ind w:left="0" w:leftChars="0" w:firstLine="0" w:firstLineChars="0"/>
        <w:jc w:val="left"/>
        <w:rPr>
          <w:rFonts w:hint="eastAsia" w:ascii="宋体" w:hAnsi="宋体" w:eastAsia="宋体" w:cs="宋体"/>
          <w:color w:val="171717" w:themeColor="background2" w:themeShade="1A"/>
          <w:sz w:val="24"/>
          <w:szCs w:val="24"/>
        </w:rPr>
      </w:pPr>
      <w:r>
        <w:rPr>
          <w:rFonts w:hint="eastAsia" w:ascii="宋体" w:hAnsi="宋体" w:eastAsia="宋体" w:cs="宋体"/>
          <w:color w:val="171717" w:themeColor="background2" w:themeShade="1A"/>
          <w:spacing w:val="-7"/>
          <w:sz w:val="24"/>
          <w:szCs w:val="24"/>
          <w:lang w:val="en-US" w:eastAsia="zh-CN"/>
        </w:rPr>
        <w:t>活动过程</w:t>
      </w:r>
    </w:p>
    <w:p w14:paraId="20A4DACE">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【准备】</w:t>
      </w:r>
    </w:p>
    <w:p w14:paraId="4606562C">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上海各区人口普查统计年鉴；“国家基础地理信息中心官网”等地理信息技术平台 。</w:t>
      </w:r>
    </w:p>
    <w:p w14:paraId="07DB8DE7">
      <w:pPr>
        <w:numPr>
          <w:ilvl w:val="0"/>
          <w:numId w:val="0"/>
        </w:numPr>
        <w:spacing w:line="240" w:lineRule="auto"/>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 xml:space="preserve">    </w:t>
      </w:r>
      <w:r>
        <w:rPr>
          <w:rFonts w:hint="eastAsia" w:ascii="宋体" w:hAnsi="宋体" w:eastAsia="宋体" w:cs="宋体"/>
          <w:b w:val="0"/>
          <w:bCs w:val="0"/>
          <w:spacing w:val="-7"/>
          <w:sz w:val="24"/>
          <w:szCs w:val="24"/>
          <w:lang w:val="en-US" w:eastAsia="zh-CN"/>
        </w:rPr>
        <w:t>调查活动</w:t>
      </w:r>
      <w:r>
        <w:rPr>
          <w:rFonts w:hint="eastAsia" w:ascii="宋体" w:hAnsi="宋体" w:eastAsia="宋体" w:cs="宋体"/>
          <w:spacing w:val="-7"/>
          <w:sz w:val="24"/>
          <w:szCs w:val="24"/>
          <w:lang w:val="en-US" w:eastAsia="zh-CN"/>
        </w:rPr>
        <w:t>背景：为了全面落实创新、协调、绿色、开放、共享的发展理念，把上海建设成为令人向往的创新之城、人文之城、生态之城。2018年1月上海政府正式发布《上海市城市总体规划（2017-2035年）》。明确了上海至2035年并远景展望至2050年的总体目标、发展模式、空间格局、发展任务和主要举措。规划提出要优化城市空间布局，具体落实主体功能区战略，扩大生态空间、保障农业空间、优化城镇空间。逐步形成“一主、两轴、四翼，多廊、多核、多圈”的空间结构和“主城区—新城—新市镇—乡村”的城乡体系。其中“多核、多圈”，即完善嘉定、松江、青浦、奉贤、南汇等5个新城综合性节点城市服务功能，培育功能集聚的重点新市镇，构建公共服务设施共享的城镇圈。从规划中我们可以看出推进“五个新城”建设是上海面向未来的重大战略选择。</w:t>
      </w:r>
    </w:p>
    <w:p w14:paraId="371118BD">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【实施】</w:t>
      </w:r>
    </w:p>
    <w:p w14:paraId="04263EB6">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调查活动内容：调查奉贤区人口数量变化和土地利用类型变化及特征，尝试判断目前所处的城镇化阶段，并从经济效益、社会效益和生态效益等不同角度评价这种变化带来的影响。</w:t>
      </w:r>
    </w:p>
    <w:p w14:paraId="24291B64">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调查活动方式：以小组形式，成立调查小组，推选组长，明确人员分工。</w:t>
      </w:r>
    </w:p>
    <w:p w14:paraId="3E068E59">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任务一：选定调查对象，通过查阅相关文献和资料，搜集奉贤区不同时期的人口数据等。</w:t>
      </w:r>
    </w:p>
    <w:p w14:paraId="3261CDF2">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要点提示：</w:t>
      </w:r>
    </w:p>
    <w:p w14:paraId="0D8445B0">
      <w:pPr>
        <w:numPr>
          <w:ilvl w:val="0"/>
          <w:numId w:val="8"/>
        </w:numPr>
        <w:spacing w:line="240" w:lineRule="auto"/>
        <w:ind w:left="420" w:leftChars="0" w:hanging="420" w:firstLineChars="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当前的城镇化阶段的判断依据是什么？</w:t>
      </w:r>
    </w:p>
    <w:p w14:paraId="0967273F">
      <w:pPr>
        <w:numPr>
          <w:ilvl w:val="0"/>
          <w:numId w:val="8"/>
        </w:numPr>
        <w:spacing w:line="240" w:lineRule="auto"/>
        <w:ind w:left="420" w:leftChars="0" w:hanging="420" w:firstLineChars="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农村人口的变化有什么特点？</w:t>
      </w:r>
    </w:p>
    <w:p w14:paraId="5153919D">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任务二：通过遥感分析奉贤区不同时期土地利用类型的变化。借助地理信息技术平台，登入国家基础地理信息中心官网，找到“全球地表覆盖”系统。查询定位到所在城市，找到奉贤区地域，并通过分屏功能观察不同年份的土地利用类型图。</w:t>
      </w:r>
    </w:p>
    <w:p w14:paraId="18D5BAF3">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要点提示：</w:t>
      </w:r>
    </w:p>
    <w:p w14:paraId="6D44C14D">
      <w:pPr>
        <w:numPr>
          <w:ilvl w:val="0"/>
          <w:numId w:val="8"/>
        </w:numPr>
        <w:spacing w:line="240" w:lineRule="auto"/>
        <w:ind w:left="420" w:leftChars="0" w:hanging="420" w:firstLineChars="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对比不同年份的土地类型变化，变化最明显的是哪些类型？</w:t>
      </w:r>
    </w:p>
    <w:p w14:paraId="01A09BE8">
      <w:pPr>
        <w:numPr>
          <w:ilvl w:val="0"/>
          <w:numId w:val="0"/>
        </w:numPr>
        <w:spacing w:line="240" w:lineRule="auto"/>
        <w:ind w:firstLine="452" w:firstLineChars="200"/>
        <w:jc w:val="left"/>
        <w:rPr>
          <w:rFonts w:hint="eastAsia" w:ascii="宋体" w:hAnsi="宋体" w:eastAsia="宋体" w:cs="宋体"/>
          <w:spacing w:val="-7"/>
          <w:sz w:val="24"/>
          <w:szCs w:val="24"/>
          <w:lang w:val="zh-CN" w:eastAsia="zh-CN"/>
        </w:rPr>
      </w:pPr>
      <w:r>
        <w:rPr>
          <w:rFonts w:hint="eastAsia" w:ascii="宋体" w:hAnsi="宋体" w:eastAsia="宋体" w:cs="宋体"/>
          <w:spacing w:val="-7"/>
          <w:sz w:val="24"/>
          <w:szCs w:val="24"/>
          <w:lang w:val="en-US" w:eastAsia="zh-CN"/>
        </w:rPr>
        <w:t>任务三：</w:t>
      </w:r>
      <w:r>
        <w:rPr>
          <w:rFonts w:hint="eastAsia" w:ascii="宋体" w:hAnsi="宋体" w:eastAsia="宋体" w:cs="宋体"/>
          <w:spacing w:val="-7"/>
          <w:sz w:val="24"/>
          <w:szCs w:val="24"/>
          <w:lang w:val="zh-CN" w:eastAsia="zh-CN"/>
        </w:rPr>
        <w:t>围绕“</w:t>
      </w:r>
      <w:r>
        <w:rPr>
          <w:rFonts w:hint="eastAsia" w:ascii="宋体" w:hAnsi="宋体" w:eastAsia="宋体" w:cs="宋体"/>
          <w:spacing w:val="-7"/>
          <w:sz w:val="24"/>
          <w:szCs w:val="24"/>
          <w:lang w:val="en-US" w:eastAsia="zh-CN"/>
        </w:rPr>
        <w:t>奉贤区</w:t>
      </w:r>
      <w:r>
        <w:rPr>
          <w:rFonts w:hint="eastAsia" w:ascii="宋体" w:hAnsi="宋体" w:eastAsia="宋体" w:cs="宋体"/>
          <w:spacing w:val="-7"/>
          <w:sz w:val="24"/>
          <w:szCs w:val="24"/>
          <w:lang w:val="zh-CN" w:eastAsia="zh-CN"/>
        </w:rPr>
        <w:t>城镇化</w:t>
      </w:r>
      <w:r>
        <w:rPr>
          <w:rFonts w:hint="eastAsia" w:ascii="宋体" w:hAnsi="宋体" w:eastAsia="宋体" w:cs="宋体"/>
          <w:spacing w:val="-7"/>
          <w:sz w:val="24"/>
          <w:szCs w:val="24"/>
          <w:lang w:val="en-US" w:eastAsia="zh-CN"/>
        </w:rPr>
        <w:t>现状</w:t>
      </w:r>
      <w:r>
        <w:rPr>
          <w:rFonts w:hint="eastAsia" w:ascii="宋体" w:hAnsi="宋体" w:eastAsia="宋体" w:cs="宋体"/>
          <w:spacing w:val="-7"/>
          <w:sz w:val="24"/>
          <w:szCs w:val="24"/>
          <w:lang w:val="zh-CN" w:eastAsia="zh-CN"/>
        </w:rPr>
        <w:t>”研讨调查结果，撰写调查报告（表</w:t>
      </w:r>
      <w:r>
        <w:rPr>
          <w:rFonts w:hint="eastAsia" w:ascii="宋体" w:hAnsi="宋体" w:eastAsia="宋体" w:cs="宋体"/>
          <w:spacing w:val="-7"/>
          <w:sz w:val="24"/>
          <w:szCs w:val="24"/>
          <w:lang w:val="en-US" w:eastAsia="zh-CN"/>
        </w:rPr>
        <w:t>1</w:t>
      </w:r>
      <w:r>
        <w:rPr>
          <w:rFonts w:hint="eastAsia" w:ascii="宋体" w:hAnsi="宋体" w:eastAsia="宋体" w:cs="宋体"/>
          <w:spacing w:val="-7"/>
          <w:sz w:val="24"/>
          <w:szCs w:val="24"/>
          <w:lang w:val="zh-CN" w:eastAsia="zh-CN"/>
        </w:rPr>
        <w:t>）并派代表进行交流展示。</w:t>
      </w:r>
    </w:p>
    <w:p w14:paraId="73DE7E5C">
      <w:pPr>
        <w:numPr>
          <w:ilvl w:val="0"/>
          <w:numId w:val="0"/>
        </w:num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要点提示：</w:t>
      </w:r>
    </w:p>
    <w:p w14:paraId="008C16D3">
      <w:pPr>
        <w:numPr>
          <w:ilvl w:val="0"/>
          <w:numId w:val="8"/>
        </w:numPr>
        <w:spacing w:line="240" w:lineRule="auto"/>
        <w:ind w:left="420" w:leftChars="0" w:hanging="420" w:firstLineChars="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报告要书写清晰，有科学依据，完整呈现调查结果。</w:t>
      </w:r>
    </w:p>
    <w:p w14:paraId="2EE0E7A8">
      <w:pPr>
        <w:numPr>
          <w:ilvl w:val="0"/>
          <w:numId w:val="8"/>
        </w:numPr>
        <w:spacing w:line="240" w:lineRule="auto"/>
        <w:ind w:left="420" w:leftChars="0" w:hanging="420" w:firstLineChars="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展示要图文并茂，形式多样。</w:t>
      </w:r>
    </w:p>
    <w:p w14:paraId="46998E54">
      <w:pPr>
        <w:numPr>
          <w:ilvl w:val="0"/>
          <w:numId w:val="8"/>
        </w:numPr>
        <w:spacing w:line="240" w:lineRule="auto"/>
        <w:ind w:left="420" w:leftChars="0" w:hanging="420" w:firstLineChars="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交流要论述清楚，有条理，语言流畅。</w:t>
      </w:r>
    </w:p>
    <w:p w14:paraId="14F52DE3">
      <w:pPr>
        <w:numPr>
          <w:ilvl w:val="0"/>
          <w:numId w:val="0"/>
        </w:numPr>
        <w:spacing w:line="240" w:lineRule="auto"/>
        <w:jc w:val="center"/>
        <w:rPr>
          <w:rFonts w:hint="default" w:ascii="黑体" w:hAnsi="黑体" w:eastAsia="黑体" w:cs="黑体"/>
          <w:spacing w:val="-7"/>
          <w:sz w:val="21"/>
          <w:szCs w:val="21"/>
          <w:lang w:val="en-US" w:eastAsia="zh-CN"/>
        </w:rPr>
      </w:pPr>
      <w:r>
        <w:rPr>
          <w:rFonts w:hint="eastAsia" w:ascii="黑体" w:hAnsi="黑体" w:eastAsia="黑体" w:cs="黑体"/>
          <w:spacing w:val="-7"/>
          <w:sz w:val="21"/>
          <w:szCs w:val="21"/>
          <w:lang w:val="en-US" w:eastAsia="zh-CN"/>
        </w:rPr>
        <w:t>表2 奉贤区城乡发展调查报告模板</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2"/>
        <w:gridCol w:w="4529"/>
      </w:tblGrid>
      <w:tr w14:paraId="2AB2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tcPr>
          <w:p w14:paraId="2248A889">
            <w:pPr>
              <w:numPr>
                <w:ilvl w:val="0"/>
                <w:numId w:val="0"/>
              </w:numPr>
              <w:spacing w:line="240" w:lineRule="auto"/>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调查对象</w:t>
            </w:r>
          </w:p>
        </w:tc>
        <w:tc>
          <w:tcPr>
            <w:tcW w:w="4529" w:type="dxa"/>
          </w:tcPr>
          <w:p w14:paraId="1461E0B8">
            <w:pPr>
              <w:numPr>
                <w:ilvl w:val="0"/>
                <w:numId w:val="0"/>
              </w:numPr>
              <w:spacing w:line="240" w:lineRule="auto"/>
              <w:jc w:val="left"/>
              <w:rPr>
                <w:rFonts w:hint="eastAsia" w:ascii="宋体" w:hAnsi="宋体" w:eastAsia="宋体" w:cs="宋体"/>
                <w:spacing w:val="-7"/>
                <w:sz w:val="24"/>
                <w:szCs w:val="24"/>
                <w:lang w:val="en-US" w:eastAsia="zh-CN"/>
              </w:rPr>
            </w:pPr>
          </w:p>
        </w:tc>
      </w:tr>
      <w:tr w14:paraId="1A47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tcPr>
          <w:p w14:paraId="389C50FC">
            <w:pPr>
              <w:numPr>
                <w:ilvl w:val="0"/>
                <w:numId w:val="0"/>
              </w:numPr>
              <w:spacing w:line="240" w:lineRule="auto"/>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调查小组成员及分工</w:t>
            </w:r>
          </w:p>
        </w:tc>
        <w:tc>
          <w:tcPr>
            <w:tcW w:w="4529" w:type="dxa"/>
          </w:tcPr>
          <w:p w14:paraId="751945BC">
            <w:pPr>
              <w:numPr>
                <w:ilvl w:val="0"/>
                <w:numId w:val="0"/>
              </w:numPr>
              <w:spacing w:line="240" w:lineRule="auto"/>
              <w:jc w:val="left"/>
              <w:rPr>
                <w:rFonts w:hint="eastAsia" w:ascii="宋体" w:hAnsi="宋体" w:eastAsia="宋体" w:cs="宋体"/>
                <w:spacing w:val="-7"/>
                <w:sz w:val="24"/>
                <w:szCs w:val="24"/>
                <w:lang w:val="en-US" w:eastAsia="zh-CN"/>
              </w:rPr>
            </w:pPr>
          </w:p>
        </w:tc>
      </w:tr>
      <w:tr w14:paraId="37495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tcPr>
          <w:p w14:paraId="724D7A52">
            <w:pPr>
              <w:numPr>
                <w:ilvl w:val="0"/>
                <w:numId w:val="0"/>
              </w:numPr>
              <w:spacing w:line="240" w:lineRule="auto"/>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调查目标</w:t>
            </w:r>
          </w:p>
        </w:tc>
        <w:tc>
          <w:tcPr>
            <w:tcW w:w="4529" w:type="dxa"/>
          </w:tcPr>
          <w:p w14:paraId="5AAF8977">
            <w:pPr>
              <w:numPr>
                <w:ilvl w:val="0"/>
                <w:numId w:val="0"/>
              </w:numPr>
              <w:spacing w:line="240" w:lineRule="auto"/>
              <w:jc w:val="left"/>
              <w:rPr>
                <w:rFonts w:hint="eastAsia" w:ascii="宋体" w:hAnsi="宋体" w:eastAsia="宋体" w:cs="宋体"/>
                <w:spacing w:val="-7"/>
                <w:sz w:val="24"/>
                <w:szCs w:val="24"/>
                <w:lang w:val="en-US" w:eastAsia="zh-CN"/>
              </w:rPr>
            </w:pPr>
          </w:p>
        </w:tc>
      </w:tr>
      <w:tr w14:paraId="75FE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tcPr>
          <w:p w14:paraId="45F68201">
            <w:pPr>
              <w:numPr>
                <w:ilvl w:val="0"/>
                <w:numId w:val="0"/>
              </w:numPr>
              <w:spacing w:line="240" w:lineRule="auto"/>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调查内容</w:t>
            </w:r>
          </w:p>
        </w:tc>
        <w:tc>
          <w:tcPr>
            <w:tcW w:w="4529" w:type="dxa"/>
          </w:tcPr>
          <w:p w14:paraId="166FF9AA">
            <w:pPr>
              <w:numPr>
                <w:ilvl w:val="0"/>
                <w:numId w:val="0"/>
              </w:numPr>
              <w:spacing w:line="240" w:lineRule="auto"/>
              <w:jc w:val="left"/>
              <w:rPr>
                <w:rFonts w:hint="eastAsia" w:ascii="宋体" w:hAnsi="宋体" w:eastAsia="宋体" w:cs="宋体"/>
                <w:spacing w:val="-7"/>
                <w:sz w:val="24"/>
                <w:szCs w:val="24"/>
                <w:lang w:val="en-US" w:eastAsia="zh-CN"/>
              </w:rPr>
            </w:pPr>
          </w:p>
        </w:tc>
      </w:tr>
      <w:tr w14:paraId="6CB2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tcPr>
          <w:p w14:paraId="682C731B">
            <w:pPr>
              <w:numPr>
                <w:ilvl w:val="0"/>
                <w:numId w:val="0"/>
              </w:numPr>
              <w:spacing w:line="240" w:lineRule="auto"/>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调查方式</w:t>
            </w:r>
          </w:p>
        </w:tc>
        <w:tc>
          <w:tcPr>
            <w:tcW w:w="4529" w:type="dxa"/>
          </w:tcPr>
          <w:p w14:paraId="62D3B021">
            <w:pPr>
              <w:numPr>
                <w:ilvl w:val="0"/>
                <w:numId w:val="0"/>
              </w:numPr>
              <w:spacing w:line="240" w:lineRule="auto"/>
              <w:jc w:val="left"/>
              <w:rPr>
                <w:rFonts w:hint="eastAsia" w:ascii="宋体" w:hAnsi="宋体" w:eastAsia="宋体" w:cs="宋体"/>
                <w:spacing w:val="-7"/>
                <w:sz w:val="24"/>
                <w:szCs w:val="24"/>
                <w:lang w:val="en-US" w:eastAsia="zh-CN"/>
              </w:rPr>
            </w:pPr>
          </w:p>
        </w:tc>
      </w:tr>
      <w:tr w14:paraId="635C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tcPr>
          <w:p w14:paraId="607D9FD1">
            <w:pPr>
              <w:numPr>
                <w:ilvl w:val="0"/>
                <w:numId w:val="0"/>
              </w:numPr>
              <w:spacing w:line="240" w:lineRule="auto"/>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调查过程</w:t>
            </w:r>
          </w:p>
        </w:tc>
        <w:tc>
          <w:tcPr>
            <w:tcW w:w="4529" w:type="dxa"/>
          </w:tcPr>
          <w:p w14:paraId="3396E568">
            <w:pPr>
              <w:numPr>
                <w:ilvl w:val="0"/>
                <w:numId w:val="0"/>
              </w:numPr>
              <w:spacing w:line="240" w:lineRule="auto"/>
              <w:jc w:val="left"/>
              <w:rPr>
                <w:rFonts w:hint="eastAsia" w:ascii="宋体" w:hAnsi="宋体" w:eastAsia="宋体" w:cs="宋体"/>
                <w:spacing w:val="-7"/>
                <w:sz w:val="24"/>
                <w:szCs w:val="24"/>
                <w:lang w:val="en-US" w:eastAsia="zh-CN"/>
              </w:rPr>
            </w:pPr>
          </w:p>
        </w:tc>
      </w:tr>
      <w:tr w14:paraId="414B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tcPr>
          <w:p w14:paraId="1FB9FDFF">
            <w:pPr>
              <w:numPr>
                <w:ilvl w:val="0"/>
                <w:numId w:val="0"/>
              </w:numPr>
              <w:spacing w:line="240" w:lineRule="auto"/>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调查结果</w:t>
            </w:r>
          </w:p>
        </w:tc>
        <w:tc>
          <w:tcPr>
            <w:tcW w:w="4529" w:type="dxa"/>
          </w:tcPr>
          <w:p w14:paraId="61A8861C">
            <w:pPr>
              <w:numPr>
                <w:ilvl w:val="0"/>
                <w:numId w:val="0"/>
              </w:numPr>
              <w:spacing w:line="240" w:lineRule="auto"/>
              <w:jc w:val="left"/>
              <w:rPr>
                <w:rFonts w:hint="eastAsia" w:ascii="宋体" w:hAnsi="宋体" w:eastAsia="宋体" w:cs="宋体"/>
                <w:spacing w:val="-7"/>
                <w:sz w:val="24"/>
                <w:szCs w:val="24"/>
                <w:lang w:val="en-US" w:eastAsia="zh-CN"/>
              </w:rPr>
            </w:pPr>
          </w:p>
        </w:tc>
      </w:tr>
      <w:tr w14:paraId="1ABA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tcPr>
          <w:p w14:paraId="50CC9A1A">
            <w:pPr>
              <w:numPr>
                <w:ilvl w:val="0"/>
                <w:numId w:val="0"/>
              </w:numPr>
              <w:spacing w:line="240" w:lineRule="auto"/>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活动感想</w:t>
            </w:r>
          </w:p>
        </w:tc>
        <w:tc>
          <w:tcPr>
            <w:tcW w:w="4529" w:type="dxa"/>
          </w:tcPr>
          <w:p w14:paraId="02C7996D">
            <w:pPr>
              <w:numPr>
                <w:ilvl w:val="0"/>
                <w:numId w:val="0"/>
              </w:numPr>
              <w:spacing w:line="240" w:lineRule="auto"/>
              <w:jc w:val="left"/>
              <w:rPr>
                <w:rFonts w:hint="eastAsia" w:ascii="宋体" w:hAnsi="宋体" w:eastAsia="宋体" w:cs="宋体"/>
                <w:spacing w:val="-7"/>
                <w:sz w:val="24"/>
                <w:szCs w:val="24"/>
                <w:lang w:val="en-US" w:eastAsia="zh-CN"/>
              </w:rPr>
            </w:pPr>
          </w:p>
        </w:tc>
      </w:tr>
    </w:tbl>
    <w:p w14:paraId="0051CA77">
      <w:pPr>
        <w:numPr>
          <w:ilvl w:val="0"/>
          <w:numId w:val="6"/>
        </w:numPr>
        <w:spacing w:line="240" w:lineRule="auto"/>
        <w:ind w:left="425" w:leftChars="0" w:hanging="425" w:firstLineChars="0"/>
        <w:rPr>
          <w:rFonts w:hint="eastAsia" w:ascii="黑体" w:hAnsi="黑体" w:eastAsia="黑体"/>
          <w:sz w:val="24"/>
          <w:szCs w:val="24"/>
        </w:rPr>
      </w:pPr>
      <w:r>
        <w:rPr>
          <w:rFonts w:hint="eastAsia" w:ascii="黑体" w:hAnsi="黑体" w:eastAsia="黑体"/>
          <w:sz w:val="24"/>
          <w:szCs w:val="24"/>
        </w:rPr>
        <w:t>设计说明</w:t>
      </w:r>
    </w:p>
    <w:p w14:paraId="6B793496">
      <w:pPr>
        <w:spacing w:line="240" w:lineRule="auto"/>
        <w:ind w:firstLine="452" w:firstLineChars="200"/>
        <w:jc w:val="left"/>
        <w:rPr>
          <w:rFonts w:hint="eastAsia"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地理调查法在教学中要关注四个方面：①学生是调查活动的主体。教师要充分调动学生参与的积极性，关注学生观察、发现、质疑、探究问题的表现，引导学生乐于行动，合作交流，独立思考、自主认知。②要理论联系实践。引导学生开展相应专题的地理调查，再回归到教材中相应的知识点，在理论与实践的联系中理解知识，掌握知识，并培养学生运用所学知识去分析和解决问题。③调查不宜多，调查内容不宜复杂。考虑到学生时间和精力的实际状况，调查的内容宜选择简单，可操作性强的主题。④注重多元化调查评价。包括情感态度、行为过程、合作精神和调查结果等，倡导成果多样化。</w:t>
      </w:r>
    </w:p>
    <w:p w14:paraId="27C5CA4E">
      <w:pPr>
        <w:numPr>
          <w:ilvl w:val="0"/>
          <w:numId w:val="2"/>
        </w:numPr>
        <w:spacing w:line="240" w:lineRule="auto"/>
        <w:jc w:val="left"/>
        <w:rPr>
          <w:rFonts w:hint="eastAsia" w:ascii="黑体" w:hAnsi="黑体" w:eastAsia="黑体"/>
          <w:sz w:val="24"/>
          <w:szCs w:val="24"/>
        </w:rPr>
      </w:pPr>
      <w:r>
        <w:rPr>
          <w:rFonts w:hint="eastAsia" w:ascii="黑体" w:hAnsi="黑体" w:eastAsia="黑体"/>
          <w:sz w:val="24"/>
          <w:szCs w:val="24"/>
          <w:lang w:val="en-US" w:eastAsia="zh-CN"/>
        </w:rPr>
        <w:t>单元评价设计</w:t>
      </w:r>
    </w:p>
    <w:p w14:paraId="409036D6">
      <w:pPr>
        <w:numPr>
          <w:ilvl w:val="0"/>
          <w:numId w:val="9"/>
        </w:numPr>
        <w:spacing w:line="240" w:lineRule="auto"/>
        <w:ind w:left="425" w:leftChars="0" w:hanging="425" w:firstLineChars="0"/>
        <w:rPr>
          <w:rFonts w:hint="eastAsia" w:ascii="黑体" w:hAnsi="黑体" w:eastAsia="黑体"/>
          <w:sz w:val="24"/>
          <w:szCs w:val="24"/>
        </w:rPr>
      </w:pPr>
      <w:r>
        <w:rPr>
          <w:rFonts w:hint="eastAsia" w:ascii="黑体" w:hAnsi="黑体" w:eastAsia="黑体"/>
          <w:sz w:val="24"/>
          <w:szCs w:val="24"/>
        </w:rPr>
        <w:t>单元评价设计</w:t>
      </w:r>
    </w:p>
    <w:p w14:paraId="39B67259">
      <w:pPr>
        <w:numPr>
          <w:ilvl w:val="0"/>
          <w:numId w:val="10"/>
        </w:numPr>
        <w:spacing w:line="240" w:lineRule="auto"/>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评价内容</w:t>
      </w:r>
    </w:p>
    <w:p w14:paraId="6B5D4AC7">
      <w:pPr>
        <w:numPr>
          <w:ilvl w:val="0"/>
          <w:numId w:val="0"/>
        </w:numPr>
        <w:spacing w:line="240" w:lineRule="auto"/>
        <w:ind w:leftChars="0"/>
        <w:jc w:val="center"/>
        <w:rPr>
          <w:rFonts w:hint="default" w:ascii="宋体" w:hAnsi="宋体" w:eastAsia="宋体" w:cs="宋体"/>
          <w:sz w:val="24"/>
          <w:szCs w:val="24"/>
          <w:lang w:val="en-US"/>
        </w:rPr>
      </w:pPr>
      <w:r>
        <w:rPr>
          <w:rFonts w:hint="eastAsia" w:ascii="黑体" w:hAnsi="黑体" w:eastAsia="黑体" w:cs="黑体"/>
          <w:spacing w:val="-7"/>
          <w:sz w:val="21"/>
          <w:szCs w:val="21"/>
          <w:lang w:val="en-US" w:eastAsia="zh-CN"/>
        </w:rPr>
        <w:t>表3 评价内容</w:t>
      </w:r>
    </w:p>
    <w:tbl>
      <w:tblPr>
        <w:tblStyle w:val="8"/>
        <w:tblW w:w="7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6237"/>
      </w:tblGrid>
      <w:tr w14:paraId="1B37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555" w:type="dxa"/>
            <w:shd w:val="clear" w:color="auto" w:fill="E8E8E8" w:themeFill="background2"/>
            <w:vAlign w:val="center"/>
          </w:tcPr>
          <w:p w14:paraId="25CD6D15">
            <w:pPr>
              <w:widowControl/>
              <w:kinsoku w:val="0"/>
              <w:autoSpaceDE w:val="0"/>
              <w:autoSpaceDN w:val="0"/>
              <w:adjustRightInd w:val="0"/>
              <w:snapToGrid w:val="0"/>
              <w:spacing w:line="240" w:lineRule="auto"/>
              <w:jc w:val="center"/>
              <w:textAlignment w:val="baseline"/>
              <w:rPr>
                <w:rFonts w:hint="eastAsia" w:ascii="黑体" w:hAnsi="黑体" w:eastAsia="黑体" w:cs="Times New Roman"/>
                <w:kern w:val="0"/>
                <w:szCs w:val="21"/>
                <w:lang w:bidi="ar"/>
              </w:rPr>
            </w:pPr>
            <w:r>
              <w:rPr>
                <w:rFonts w:hint="eastAsia" w:ascii="黑体" w:hAnsi="黑体" w:eastAsia="黑体" w:cs="Times New Roman"/>
                <w:kern w:val="0"/>
                <w:szCs w:val="21"/>
                <w:lang w:bidi="ar"/>
              </w:rPr>
              <w:t>评价内容</w:t>
            </w:r>
          </w:p>
        </w:tc>
        <w:tc>
          <w:tcPr>
            <w:tcW w:w="6237" w:type="dxa"/>
            <w:shd w:val="clear" w:color="auto" w:fill="E8E8E8" w:themeFill="background2"/>
            <w:vAlign w:val="center"/>
          </w:tcPr>
          <w:p w14:paraId="49B618D8">
            <w:pPr>
              <w:widowControl/>
              <w:kinsoku w:val="0"/>
              <w:autoSpaceDE w:val="0"/>
              <w:autoSpaceDN w:val="0"/>
              <w:adjustRightInd w:val="0"/>
              <w:snapToGrid w:val="0"/>
              <w:spacing w:line="240" w:lineRule="auto"/>
              <w:jc w:val="center"/>
              <w:textAlignment w:val="baseline"/>
              <w:rPr>
                <w:rFonts w:hint="eastAsia" w:ascii="黑体" w:hAnsi="黑体" w:eastAsia="黑体" w:cs="Times New Roman"/>
                <w:kern w:val="0"/>
                <w:szCs w:val="21"/>
                <w:lang w:bidi="ar"/>
              </w:rPr>
            </w:pPr>
            <w:r>
              <w:rPr>
                <w:rFonts w:hint="eastAsia" w:ascii="黑体" w:hAnsi="黑体" w:eastAsia="黑体" w:cs="Times New Roman"/>
                <w:kern w:val="0"/>
                <w:szCs w:val="21"/>
                <w:lang w:bidi="ar"/>
              </w:rPr>
              <w:t>评价条项</w:t>
            </w:r>
          </w:p>
        </w:tc>
      </w:tr>
      <w:tr w14:paraId="33344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555" w:type="dxa"/>
            <w:vAlign w:val="center"/>
          </w:tcPr>
          <w:p w14:paraId="14C37635">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城乡土地利用空间结构</w:t>
            </w:r>
          </w:p>
        </w:tc>
        <w:tc>
          <w:tcPr>
            <w:tcW w:w="6237" w:type="dxa"/>
            <w:vAlign w:val="center"/>
          </w:tcPr>
          <w:p w14:paraId="104977BD">
            <w:pPr>
              <w:widowControl/>
              <w:kinsoku w:val="0"/>
              <w:autoSpaceDE w:val="0"/>
              <w:autoSpaceDN w:val="0"/>
              <w:adjustRightInd w:val="0"/>
              <w:snapToGrid w:val="0"/>
              <w:spacing w:line="240" w:lineRule="auto"/>
              <w:textAlignment w:val="baseline"/>
              <w:rPr>
                <w:rFonts w:hint="default" w:ascii="楷体" w:hAnsi="楷体" w:eastAsia="楷体" w:cs="Times New Roman"/>
                <w:kern w:val="0"/>
                <w:szCs w:val="21"/>
                <w:lang w:val="en-US" w:eastAsia="zh-CN" w:bidi="ar"/>
              </w:rPr>
            </w:pPr>
            <w:r>
              <w:rPr>
                <w:rFonts w:hint="eastAsia" w:ascii="楷体" w:hAnsi="楷体" w:eastAsia="楷体" w:cs="Times New Roman"/>
                <w:kern w:val="0"/>
                <w:szCs w:val="21"/>
                <w:lang w:val="en-US" w:eastAsia="zh-CN" w:bidi="ar"/>
              </w:rPr>
              <w:t>能够结合具体实例，分析城乡土地利用空间结构的特点。</w:t>
            </w:r>
          </w:p>
        </w:tc>
      </w:tr>
      <w:tr w14:paraId="031E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55" w:type="dxa"/>
            <w:vAlign w:val="center"/>
          </w:tcPr>
          <w:p w14:paraId="3EB8280B">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城乡内部空间结构</w:t>
            </w:r>
          </w:p>
        </w:tc>
        <w:tc>
          <w:tcPr>
            <w:tcW w:w="6237" w:type="dxa"/>
            <w:vAlign w:val="center"/>
          </w:tcPr>
          <w:p w14:paraId="0008B3AA">
            <w:pPr>
              <w:widowControl/>
              <w:kinsoku w:val="0"/>
              <w:autoSpaceDE w:val="0"/>
              <w:autoSpaceDN w:val="0"/>
              <w:adjustRightInd w:val="0"/>
              <w:snapToGrid w:val="0"/>
              <w:spacing w:line="240" w:lineRule="auto"/>
              <w:textAlignment w:val="baseline"/>
              <w:rPr>
                <w:rFonts w:hint="default" w:ascii="楷体" w:hAnsi="楷体" w:eastAsia="楷体" w:cs="Times New Roman"/>
                <w:kern w:val="0"/>
                <w:szCs w:val="21"/>
                <w:lang w:val="en-US" w:eastAsia="zh-CN" w:bidi="ar"/>
              </w:rPr>
            </w:pPr>
            <w:r>
              <w:rPr>
                <w:rFonts w:hint="eastAsia" w:ascii="楷体" w:hAnsi="楷体" w:eastAsia="楷体" w:cs="Times New Roman"/>
                <w:kern w:val="0"/>
                <w:szCs w:val="21"/>
                <w:lang w:val="en-US" w:eastAsia="zh-CN" w:bidi="ar"/>
              </w:rPr>
              <w:t>能够分析某一城镇功能分区及其区位条件。</w:t>
            </w:r>
          </w:p>
        </w:tc>
      </w:tr>
      <w:tr w14:paraId="7802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55" w:type="dxa"/>
            <w:vAlign w:val="center"/>
          </w:tcPr>
          <w:p w14:paraId="0C1ED1EF">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合理利用城乡空间</w:t>
            </w:r>
          </w:p>
        </w:tc>
        <w:tc>
          <w:tcPr>
            <w:tcW w:w="6237" w:type="dxa"/>
            <w:vAlign w:val="center"/>
          </w:tcPr>
          <w:p w14:paraId="01B64877">
            <w:pPr>
              <w:widowControl/>
              <w:kinsoku w:val="0"/>
              <w:autoSpaceDE w:val="0"/>
              <w:autoSpaceDN w:val="0"/>
              <w:adjustRightInd w:val="0"/>
              <w:snapToGrid w:val="0"/>
              <w:spacing w:line="240" w:lineRule="auto"/>
              <w:textAlignment w:val="baseline"/>
              <w:rPr>
                <w:rFonts w:hint="default" w:ascii="楷体" w:hAnsi="楷体" w:eastAsia="楷体" w:cs="Times New Roman"/>
                <w:kern w:val="0"/>
                <w:szCs w:val="21"/>
                <w:lang w:val="en-US" w:eastAsia="zh-CN" w:bidi="ar"/>
              </w:rPr>
            </w:pPr>
            <w:r>
              <w:rPr>
                <w:rFonts w:hint="eastAsia" w:ascii="楷体" w:hAnsi="楷体" w:eastAsia="楷体" w:cs="Times New Roman"/>
                <w:kern w:val="0"/>
                <w:szCs w:val="21"/>
                <w:lang w:val="en-US" w:eastAsia="zh-CN" w:bidi="ar"/>
              </w:rPr>
              <w:t>能够说出合理利用城乡空间的意义和途径。</w:t>
            </w:r>
          </w:p>
        </w:tc>
      </w:tr>
      <w:tr w14:paraId="6194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55" w:type="dxa"/>
            <w:vAlign w:val="center"/>
          </w:tcPr>
          <w:p w14:paraId="0EB7F92D">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城乡景观特征</w:t>
            </w:r>
          </w:p>
        </w:tc>
        <w:tc>
          <w:tcPr>
            <w:tcW w:w="6237" w:type="dxa"/>
            <w:vAlign w:val="center"/>
          </w:tcPr>
          <w:p w14:paraId="72594C1D">
            <w:pPr>
              <w:widowControl/>
              <w:kinsoku w:val="0"/>
              <w:autoSpaceDE w:val="0"/>
              <w:autoSpaceDN w:val="0"/>
              <w:adjustRightInd w:val="0"/>
              <w:snapToGrid w:val="0"/>
              <w:spacing w:line="240" w:lineRule="auto"/>
              <w:textAlignment w:val="baseline"/>
              <w:rPr>
                <w:rFonts w:hint="default" w:ascii="楷体" w:hAnsi="楷体" w:eastAsia="楷体" w:cs="Times New Roman"/>
                <w:kern w:val="0"/>
                <w:szCs w:val="21"/>
                <w:lang w:val="en-US" w:eastAsia="zh-CN" w:bidi="ar"/>
              </w:rPr>
            </w:pPr>
            <w:r>
              <w:rPr>
                <w:rFonts w:hint="eastAsia" w:ascii="楷体" w:hAnsi="楷体" w:eastAsia="楷体" w:cs="Times New Roman"/>
                <w:kern w:val="0"/>
                <w:szCs w:val="21"/>
                <w:lang w:val="en-US" w:eastAsia="zh-CN" w:bidi="ar"/>
              </w:rPr>
              <w:t>能够结合当地城乡景观，归纳其典型特性。</w:t>
            </w:r>
          </w:p>
        </w:tc>
      </w:tr>
      <w:tr w14:paraId="57EC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55" w:type="dxa"/>
            <w:vAlign w:val="center"/>
          </w:tcPr>
          <w:p w14:paraId="7759D1D3">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地域文化在城乡景观的体现</w:t>
            </w:r>
          </w:p>
        </w:tc>
        <w:tc>
          <w:tcPr>
            <w:tcW w:w="6237" w:type="dxa"/>
            <w:vAlign w:val="center"/>
          </w:tcPr>
          <w:p w14:paraId="3308B020">
            <w:pPr>
              <w:widowControl/>
              <w:kinsoku w:val="0"/>
              <w:autoSpaceDE w:val="0"/>
              <w:autoSpaceDN w:val="0"/>
              <w:adjustRightInd w:val="0"/>
              <w:snapToGrid w:val="0"/>
              <w:spacing w:line="240" w:lineRule="auto"/>
              <w:textAlignment w:val="baseline"/>
              <w:rPr>
                <w:rFonts w:hint="default" w:ascii="楷体" w:hAnsi="楷体" w:eastAsia="楷体" w:cs="Times New Roman"/>
                <w:kern w:val="0"/>
                <w:szCs w:val="21"/>
                <w:lang w:val="en-US" w:eastAsia="zh-CN" w:bidi="ar"/>
              </w:rPr>
            </w:pPr>
            <w:r>
              <w:rPr>
                <w:rFonts w:hint="eastAsia" w:ascii="楷体" w:hAnsi="楷体" w:eastAsia="楷体" w:cs="Times New Roman"/>
                <w:kern w:val="0"/>
                <w:szCs w:val="21"/>
                <w:lang w:val="en-US" w:eastAsia="zh-CN" w:bidi="ar"/>
              </w:rPr>
              <w:t>能够以某典型城乡景观为例，说出其承载的地域文化观念。结合某类传统民居，描述其地域特色和其与自然环境的协调关系。</w:t>
            </w:r>
          </w:p>
        </w:tc>
      </w:tr>
      <w:tr w14:paraId="13C3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55" w:type="dxa"/>
            <w:vAlign w:val="center"/>
          </w:tcPr>
          <w:p w14:paraId="32CDCAED">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城镇化特点</w:t>
            </w:r>
          </w:p>
        </w:tc>
        <w:tc>
          <w:tcPr>
            <w:tcW w:w="6237" w:type="dxa"/>
            <w:vAlign w:val="center"/>
          </w:tcPr>
          <w:p w14:paraId="0935BB1F">
            <w:pPr>
              <w:widowControl/>
              <w:kinsoku w:val="0"/>
              <w:autoSpaceDE w:val="0"/>
              <w:autoSpaceDN w:val="0"/>
              <w:adjustRightInd w:val="0"/>
              <w:snapToGrid w:val="0"/>
              <w:spacing w:line="240" w:lineRule="auto"/>
              <w:textAlignment w:val="baseline"/>
              <w:rPr>
                <w:rFonts w:hint="default" w:ascii="楷体" w:hAnsi="楷体" w:eastAsia="楷体" w:cs="Times New Roman"/>
                <w:kern w:val="0"/>
                <w:szCs w:val="21"/>
                <w:lang w:val="en-US" w:eastAsia="zh-CN" w:bidi="ar"/>
              </w:rPr>
            </w:pPr>
            <w:r>
              <w:rPr>
                <w:rFonts w:hint="eastAsia" w:ascii="楷体" w:hAnsi="楷体" w:eastAsia="楷体" w:cs="Times New Roman"/>
                <w:kern w:val="0"/>
                <w:szCs w:val="21"/>
                <w:lang w:val="en-US" w:eastAsia="zh-CN" w:bidi="ar"/>
              </w:rPr>
              <w:t>能够运用资料，归纳城镇化的典型特点。</w:t>
            </w:r>
          </w:p>
        </w:tc>
      </w:tr>
      <w:tr w14:paraId="5269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55" w:type="dxa"/>
            <w:vAlign w:val="center"/>
          </w:tcPr>
          <w:p w14:paraId="775544DA">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城镇化阶段</w:t>
            </w:r>
          </w:p>
        </w:tc>
        <w:tc>
          <w:tcPr>
            <w:tcW w:w="6237" w:type="dxa"/>
            <w:vAlign w:val="center"/>
          </w:tcPr>
          <w:p w14:paraId="68713521">
            <w:pPr>
              <w:widowControl/>
              <w:kinsoku w:val="0"/>
              <w:autoSpaceDE w:val="0"/>
              <w:autoSpaceDN w:val="0"/>
              <w:adjustRightInd w:val="0"/>
              <w:snapToGrid w:val="0"/>
              <w:spacing w:line="240" w:lineRule="auto"/>
              <w:textAlignment w:val="baseline"/>
              <w:rPr>
                <w:rFonts w:hint="default" w:ascii="楷体" w:hAnsi="楷体" w:eastAsia="楷体" w:cs="Times New Roman"/>
                <w:kern w:val="0"/>
                <w:szCs w:val="21"/>
                <w:lang w:val="en-US" w:eastAsia="zh-CN" w:bidi="ar"/>
              </w:rPr>
            </w:pPr>
            <w:r>
              <w:rPr>
                <w:rFonts w:hint="eastAsia" w:ascii="楷体" w:hAnsi="楷体" w:eastAsia="楷体" w:cs="Times New Roman"/>
                <w:kern w:val="0"/>
                <w:szCs w:val="21"/>
                <w:lang w:val="en-US" w:eastAsia="zh-CN" w:bidi="ar"/>
              </w:rPr>
              <w:t>能够结合区域实例，判读其所处的城镇化阶段。</w:t>
            </w:r>
          </w:p>
        </w:tc>
      </w:tr>
      <w:tr w14:paraId="063F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555" w:type="dxa"/>
            <w:vAlign w:val="center"/>
          </w:tcPr>
          <w:p w14:paraId="004A4BD1">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城镇化影响</w:t>
            </w:r>
          </w:p>
        </w:tc>
        <w:tc>
          <w:tcPr>
            <w:tcW w:w="6237" w:type="dxa"/>
            <w:vAlign w:val="center"/>
          </w:tcPr>
          <w:p w14:paraId="00BAC926">
            <w:pPr>
              <w:widowControl/>
              <w:kinsoku w:val="0"/>
              <w:autoSpaceDE w:val="0"/>
              <w:autoSpaceDN w:val="0"/>
              <w:adjustRightInd w:val="0"/>
              <w:snapToGrid w:val="0"/>
              <w:spacing w:line="240" w:lineRule="auto"/>
              <w:textAlignment w:val="baseline"/>
              <w:rPr>
                <w:rFonts w:hint="default" w:ascii="楷体" w:hAnsi="楷体" w:eastAsia="楷体" w:cs="Times New Roman"/>
                <w:kern w:val="0"/>
                <w:szCs w:val="21"/>
                <w:lang w:val="en-US" w:eastAsia="zh-CN" w:bidi="ar"/>
              </w:rPr>
            </w:pPr>
            <w:r>
              <w:rPr>
                <w:rFonts w:hint="eastAsia" w:ascii="楷体" w:hAnsi="楷体" w:eastAsia="楷体" w:cs="Times New Roman"/>
                <w:kern w:val="0"/>
                <w:szCs w:val="21"/>
                <w:lang w:val="en-US" w:eastAsia="zh-CN" w:bidi="ar"/>
              </w:rPr>
              <w:t>能够运用资料和实例，说出城镇化带来的影响。</w:t>
            </w:r>
          </w:p>
        </w:tc>
      </w:tr>
    </w:tbl>
    <w:p w14:paraId="2EDD5F8E">
      <w:pPr>
        <w:spacing w:line="240" w:lineRule="auto"/>
        <w:rPr>
          <w:rFonts w:hint="eastAsia"/>
        </w:rPr>
      </w:pPr>
    </w:p>
    <w:p w14:paraId="74A9088A">
      <w:pPr>
        <w:numPr>
          <w:ilvl w:val="0"/>
          <w:numId w:val="10"/>
        </w:numPr>
        <w:spacing w:line="240" w:lineRule="auto"/>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评价方式</w:t>
      </w:r>
    </w:p>
    <w:p w14:paraId="6966C35E">
      <w:pPr>
        <w:spacing w:line="24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单元的评价方式结合过程性评价与终结性评价。①过程性评价主要是指对学生在完成单元任务中表现出的语言、文字和实践能力、问题解决能力等进行评价。评价主体多元，如在课堂问答中通常以教师评价为主，在</w:t>
      </w:r>
      <w:r>
        <w:rPr>
          <w:rFonts w:hint="eastAsia" w:ascii="宋体" w:hAnsi="宋体" w:eastAsia="宋体" w:cs="宋体"/>
          <w:sz w:val="24"/>
          <w:szCs w:val="24"/>
          <w:lang w:val="en-US" w:eastAsia="zh-CN"/>
        </w:rPr>
        <w:t>调查</w:t>
      </w:r>
      <w:r>
        <w:rPr>
          <w:rFonts w:hint="eastAsia" w:ascii="宋体" w:hAnsi="宋体" w:eastAsia="宋体" w:cs="宋体"/>
          <w:sz w:val="24"/>
          <w:szCs w:val="24"/>
        </w:rPr>
        <w:t>展示时可同时采用教师评价、同学互评和学生自评。②终结性评价安排在</w:t>
      </w:r>
      <w:r>
        <w:rPr>
          <w:rFonts w:hint="eastAsia" w:ascii="宋体" w:hAnsi="宋体" w:eastAsia="宋体" w:cs="宋体"/>
          <w:sz w:val="24"/>
          <w:szCs w:val="24"/>
          <w:lang w:val="en-US" w:eastAsia="zh-CN"/>
        </w:rPr>
        <w:t>每一课时</w:t>
      </w:r>
      <w:r>
        <w:rPr>
          <w:rFonts w:hint="eastAsia" w:ascii="宋体" w:hAnsi="宋体" w:eastAsia="宋体" w:cs="宋体"/>
          <w:sz w:val="24"/>
          <w:szCs w:val="24"/>
        </w:rPr>
        <w:t>结束后的</w:t>
      </w:r>
      <w:r>
        <w:rPr>
          <w:rFonts w:hint="eastAsia" w:ascii="宋体" w:hAnsi="宋体" w:eastAsia="宋体" w:cs="宋体"/>
          <w:sz w:val="24"/>
          <w:szCs w:val="24"/>
          <w:lang w:val="en-US" w:eastAsia="zh-CN"/>
        </w:rPr>
        <w:t>书面</w:t>
      </w:r>
      <w:r>
        <w:rPr>
          <w:rFonts w:hint="eastAsia" w:ascii="宋体" w:hAnsi="宋体" w:eastAsia="宋体" w:cs="宋体"/>
          <w:sz w:val="24"/>
          <w:szCs w:val="24"/>
        </w:rPr>
        <w:t>作业，通过少而精的</w:t>
      </w:r>
      <w:r>
        <w:rPr>
          <w:rFonts w:hint="eastAsia" w:ascii="宋体" w:hAnsi="宋体" w:eastAsia="宋体" w:cs="宋体"/>
          <w:sz w:val="24"/>
          <w:szCs w:val="24"/>
          <w:lang w:val="en-US" w:eastAsia="zh-CN"/>
        </w:rPr>
        <w:t>练习题</w:t>
      </w:r>
      <w:r>
        <w:rPr>
          <w:rFonts w:hint="eastAsia" w:ascii="宋体" w:hAnsi="宋体" w:eastAsia="宋体" w:cs="宋体"/>
          <w:sz w:val="24"/>
          <w:szCs w:val="24"/>
        </w:rPr>
        <w:t>测评学生的学习状况，为后续教学的调整指明方向。</w:t>
      </w:r>
    </w:p>
    <w:p w14:paraId="4DF0E31C">
      <w:pPr>
        <w:numPr>
          <w:ilvl w:val="0"/>
          <w:numId w:val="0"/>
        </w:numPr>
        <w:spacing w:line="240" w:lineRule="auto"/>
        <w:ind w:leftChars="0"/>
        <w:jc w:val="center"/>
        <w:rPr>
          <w:rFonts w:hint="eastAsia" w:ascii="黑体" w:hAnsi="黑体" w:eastAsia="黑体" w:cs="黑体"/>
          <w:spacing w:val="-7"/>
          <w:sz w:val="21"/>
          <w:szCs w:val="21"/>
          <w:lang w:val="en-US" w:eastAsia="zh-CN"/>
        </w:rPr>
      </w:pPr>
      <w:r>
        <w:rPr>
          <w:rFonts w:hint="eastAsia" w:ascii="黑体" w:hAnsi="黑体" w:eastAsia="黑体" w:cs="黑体"/>
          <w:spacing w:val="-7"/>
          <w:sz w:val="21"/>
          <w:szCs w:val="21"/>
          <w:lang w:val="en-US" w:eastAsia="zh-CN"/>
        </w:rPr>
        <w:t>表4 调查“上海市奉贤区城乡发展”活动评价量规表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3585"/>
        <w:gridCol w:w="681"/>
        <w:gridCol w:w="1106"/>
        <w:gridCol w:w="1064"/>
        <w:gridCol w:w="1220"/>
      </w:tblGrid>
      <w:tr w14:paraId="4737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shd w:val="clear" w:color="auto" w:fill="E8E8E8" w:themeFill="background2"/>
          </w:tcPr>
          <w:p w14:paraId="361C12AC">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环节</w:t>
            </w:r>
          </w:p>
        </w:tc>
        <w:tc>
          <w:tcPr>
            <w:tcW w:w="3585" w:type="dxa"/>
            <w:shd w:val="clear" w:color="auto" w:fill="E8E8E8" w:themeFill="background2"/>
          </w:tcPr>
          <w:p w14:paraId="15B4F10F">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水平等级表现</w:t>
            </w:r>
          </w:p>
        </w:tc>
        <w:tc>
          <w:tcPr>
            <w:tcW w:w="681" w:type="dxa"/>
            <w:shd w:val="clear" w:color="auto" w:fill="E8E8E8" w:themeFill="background2"/>
          </w:tcPr>
          <w:p w14:paraId="29655DC1">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赋分</w:t>
            </w:r>
          </w:p>
        </w:tc>
        <w:tc>
          <w:tcPr>
            <w:tcW w:w="1106" w:type="dxa"/>
            <w:shd w:val="clear" w:color="auto" w:fill="E8E8E8" w:themeFill="background2"/>
          </w:tcPr>
          <w:p w14:paraId="7E5B6EF5">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学生自评</w:t>
            </w:r>
          </w:p>
        </w:tc>
        <w:tc>
          <w:tcPr>
            <w:tcW w:w="1064" w:type="dxa"/>
            <w:shd w:val="clear" w:color="auto" w:fill="E8E8E8" w:themeFill="background2"/>
          </w:tcPr>
          <w:p w14:paraId="402FB92F">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学生互评</w:t>
            </w:r>
          </w:p>
        </w:tc>
        <w:tc>
          <w:tcPr>
            <w:tcW w:w="1220" w:type="dxa"/>
            <w:shd w:val="clear" w:color="auto" w:fill="E8E8E8" w:themeFill="background2"/>
          </w:tcPr>
          <w:p w14:paraId="28A615FE">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教师评价</w:t>
            </w:r>
          </w:p>
        </w:tc>
      </w:tr>
      <w:tr w14:paraId="70C6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restart"/>
          </w:tcPr>
          <w:p w14:paraId="45D4C375">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调查、分析数据</w:t>
            </w:r>
          </w:p>
        </w:tc>
        <w:tc>
          <w:tcPr>
            <w:tcW w:w="3585" w:type="dxa"/>
          </w:tcPr>
          <w:p w14:paraId="788E6C1D">
            <w:pPr>
              <w:spacing w:line="240" w:lineRule="auto"/>
              <w:jc w:val="left"/>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水平1：能收集相关图文数据，并进行简单分析。</w:t>
            </w:r>
          </w:p>
        </w:tc>
        <w:tc>
          <w:tcPr>
            <w:tcW w:w="681" w:type="dxa"/>
          </w:tcPr>
          <w:p w14:paraId="3E2C1D07">
            <w:pPr>
              <w:spacing w:line="240" w:lineRule="auto"/>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1</w:t>
            </w:r>
          </w:p>
        </w:tc>
        <w:tc>
          <w:tcPr>
            <w:tcW w:w="1106" w:type="dxa"/>
          </w:tcPr>
          <w:p w14:paraId="1FCAE615">
            <w:pPr>
              <w:spacing w:line="240" w:lineRule="auto"/>
              <w:jc w:val="center"/>
              <w:rPr>
                <w:rFonts w:hint="default"/>
                <w:vertAlign w:val="baseline"/>
                <w:lang w:val="en-US" w:eastAsia="zh-CN"/>
              </w:rPr>
            </w:pPr>
          </w:p>
        </w:tc>
        <w:tc>
          <w:tcPr>
            <w:tcW w:w="1064" w:type="dxa"/>
          </w:tcPr>
          <w:p w14:paraId="05AA06E6">
            <w:pPr>
              <w:spacing w:line="240" w:lineRule="auto"/>
              <w:jc w:val="center"/>
              <w:rPr>
                <w:rFonts w:hint="default"/>
                <w:vertAlign w:val="baseline"/>
                <w:lang w:val="en-US" w:eastAsia="zh-CN"/>
              </w:rPr>
            </w:pPr>
          </w:p>
        </w:tc>
        <w:tc>
          <w:tcPr>
            <w:tcW w:w="1220" w:type="dxa"/>
          </w:tcPr>
          <w:p w14:paraId="54043C9B">
            <w:pPr>
              <w:spacing w:line="240" w:lineRule="auto"/>
              <w:jc w:val="center"/>
              <w:rPr>
                <w:rFonts w:hint="default"/>
                <w:vertAlign w:val="baseline"/>
                <w:lang w:val="en-US" w:eastAsia="zh-CN"/>
              </w:rPr>
            </w:pPr>
          </w:p>
        </w:tc>
      </w:tr>
      <w:tr w14:paraId="3782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continue"/>
          </w:tcPr>
          <w:p w14:paraId="16C996DD">
            <w:pPr>
              <w:spacing w:line="240" w:lineRule="auto"/>
              <w:jc w:val="center"/>
              <w:rPr>
                <w:rFonts w:hint="default"/>
                <w:vertAlign w:val="baseline"/>
                <w:lang w:val="en-US" w:eastAsia="zh-CN"/>
              </w:rPr>
            </w:pPr>
          </w:p>
        </w:tc>
        <w:tc>
          <w:tcPr>
            <w:tcW w:w="3585" w:type="dxa"/>
          </w:tcPr>
          <w:p w14:paraId="0213B312">
            <w:pPr>
              <w:spacing w:line="240" w:lineRule="auto"/>
              <w:jc w:val="left"/>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水平2：能收集相关图文数据和进行转化，并对大部分图文资料进行较为具体的分析。</w:t>
            </w:r>
          </w:p>
        </w:tc>
        <w:tc>
          <w:tcPr>
            <w:tcW w:w="681" w:type="dxa"/>
          </w:tcPr>
          <w:p w14:paraId="46098243">
            <w:pPr>
              <w:spacing w:line="240" w:lineRule="auto"/>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3</w:t>
            </w:r>
          </w:p>
        </w:tc>
        <w:tc>
          <w:tcPr>
            <w:tcW w:w="1106" w:type="dxa"/>
          </w:tcPr>
          <w:p w14:paraId="7CE7396B">
            <w:pPr>
              <w:spacing w:line="240" w:lineRule="auto"/>
              <w:jc w:val="center"/>
              <w:rPr>
                <w:rFonts w:hint="default"/>
                <w:vertAlign w:val="baseline"/>
                <w:lang w:val="en-US" w:eastAsia="zh-CN"/>
              </w:rPr>
            </w:pPr>
          </w:p>
        </w:tc>
        <w:tc>
          <w:tcPr>
            <w:tcW w:w="1064" w:type="dxa"/>
          </w:tcPr>
          <w:p w14:paraId="1C91A48C">
            <w:pPr>
              <w:spacing w:line="240" w:lineRule="auto"/>
              <w:jc w:val="center"/>
              <w:rPr>
                <w:rFonts w:hint="default"/>
                <w:vertAlign w:val="baseline"/>
                <w:lang w:val="en-US" w:eastAsia="zh-CN"/>
              </w:rPr>
            </w:pPr>
          </w:p>
        </w:tc>
        <w:tc>
          <w:tcPr>
            <w:tcW w:w="1220" w:type="dxa"/>
          </w:tcPr>
          <w:p w14:paraId="065A03E6">
            <w:pPr>
              <w:spacing w:line="240" w:lineRule="auto"/>
              <w:jc w:val="center"/>
              <w:rPr>
                <w:rFonts w:hint="default"/>
                <w:vertAlign w:val="baseline"/>
                <w:lang w:val="en-US" w:eastAsia="zh-CN"/>
              </w:rPr>
            </w:pPr>
          </w:p>
        </w:tc>
      </w:tr>
      <w:tr w14:paraId="5074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continue"/>
          </w:tcPr>
          <w:p w14:paraId="149A0474">
            <w:pPr>
              <w:spacing w:line="240" w:lineRule="auto"/>
              <w:jc w:val="center"/>
              <w:rPr>
                <w:rFonts w:hint="default"/>
                <w:vertAlign w:val="baseline"/>
                <w:lang w:val="en-US" w:eastAsia="zh-CN"/>
              </w:rPr>
            </w:pPr>
          </w:p>
        </w:tc>
        <w:tc>
          <w:tcPr>
            <w:tcW w:w="3585" w:type="dxa"/>
          </w:tcPr>
          <w:p w14:paraId="4E7E7D36">
            <w:pPr>
              <w:spacing w:line="240" w:lineRule="auto"/>
              <w:jc w:val="left"/>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水平3：能收集全面的图文数据并快速进行转化，能对全部图文资料可以进行有关联的全面的分析。</w:t>
            </w:r>
          </w:p>
        </w:tc>
        <w:tc>
          <w:tcPr>
            <w:tcW w:w="681" w:type="dxa"/>
          </w:tcPr>
          <w:p w14:paraId="6DD1AA02">
            <w:pPr>
              <w:spacing w:line="240" w:lineRule="auto"/>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5</w:t>
            </w:r>
          </w:p>
        </w:tc>
        <w:tc>
          <w:tcPr>
            <w:tcW w:w="1106" w:type="dxa"/>
          </w:tcPr>
          <w:p w14:paraId="5BCCFE73">
            <w:pPr>
              <w:spacing w:line="240" w:lineRule="auto"/>
              <w:jc w:val="center"/>
              <w:rPr>
                <w:rFonts w:hint="default"/>
                <w:vertAlign w:val="baseline"/>
                <w:lang w:val="en-US" w:eastAsia="zh-CN"/>
              </w:rPr>
            </w:pPr>
          </w:p>
        </w:tc>
        <w:tc>
          <w:tcPr>
            <w:tcW w:w="1064" w:type="dxa"/>
          </w:tcPr>
          <w:p w14:paraId="5FBEC0F4">
            <w:pPr>
              <w:spacing w:line="240" w:lineRule="auto"/>
              <w:jc w:val="center"/>
              <w:rPr>
                <w:rFonts w:hint="default"/>
                <w:vertAlign w:val="baseline"/>
                <w:lang w:val="en-US" w:eastAsia="zh-CN"/>
              </w:rPr>
            </w:pPr>
          </w:p>
        </w:tc>
        <w:tc>
          <w:tcPr>
            <w:tcW w:w="1220" w:type="dxa"/>
          </w:tcPr>
          <w:p w14:paraId="059A689E">
            <w:pPr>
              <w:spacing w:line="240" w:lineRule="auto"/>
              <w:jc w:val="center"/>
              <w:rPr>
                <w:rFonts w:hint="default"/>
                <w:vertAlign w:val="baseline"/>
                <w:lang w:val="en-US" w:eastAsia="zh-CN"/>
              </w:rPr>
            </w:pPr>
          </w:p>
        </w:tc>
      </w:tr>
      <w:tr w14:paraId="605D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restart"/>
            <w:shd w:val="clear" w:color="auto" w:fill="auto"/>
            <w:vAlign w:val="top"/>
          </w:tcPr>
          <w:p w14:paraId="0E6FB412">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实践态度与创新能力</w:t>
            </w:r>
          </w:p>
        </w:tc>
        <w:tc>
          <w:tcPr>
            <w:tcW w:w="3585" w:type="dxa"/>
            <w:shd w:val="clear" w:color="auto" w:fill="auto"/>
            <w:vAlign w:val="top"/>
          </w:tcPr>
          <w:p w14:paraId="25BAE67B">
            <w:p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vertAlign w:val="baseline"/>
                <w:lang w:val="en-US" w:eastAsia="zh-CN"/>
              </w:rPr>
              <w:t>水平1：参与活动态度不太积极，基本上能完成任务。</w:t>
            </w:r>
          </w:p>
        </w:tc>
        <w:tc>
          <w:tcPr>
            <w:tcW w:w="681" w:type="dxa"/>
          </w:tcPr>
          <w:p w14:paraId="7674648E">
            <w:pPr>
              <w:spacing w:line="240" w:lineRule="auto"/>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1</w:t>
            </w:r>
          </w:p>
        </w:tc>
        <w:tc>
          <w:tcPr>
            <w:tcW w:w="1106" w:type="dxa"/>
          </w:tcPr>
          <w:p w14:paraId="3E2D21D6">
            <w:pPr>
              <w:spacing w:line="240" w:lineRule="auto"/>
              <w:jc w:val="center"/>
              <w:rPr>
                <w:rFonts w:hint="default"/>
                <w:vertAlign w:val="baseline"/>
                <w:lang w:val="en-US" w:eastAsia="zh-CN"/>
              </w:rPr>
            </w:pPr>
          </w:p>
        </w:tc>
        <w:tc>
          <w:tcPr>
            <w:tcW w:w="1064" w:type="dxa"/>
          </w:tcPr>
          <w:p w14:paraId="44C18697">
            <w:pPr>
              <w:spacing w:line="240" w:lineRule="auto"/>
              <w:jc w:val="center"/>
              <w:rPr>
                <w:rFonts w:hint="default"/>
                <w:vertAlign w:val="baseline"/>
                <w:lang w:val="en-US" w:eastAsia="zh-CN"/>
              </w:rPr>
            </w:pPr>
          </w:p>
        </w:tc>
        <w:tc>
          <w:tcPr>
            <w:tcW w:w="1220" w:type="dxa"/>
          </w:tcPr>
          <w:p w14:paraId="7A939085">
            <w:pPr>
              <w:spacing w:line="240" w:lineRule="auto"/>
              <w:jc w:val="center"/>
              <w:rPr>
                <w:rFonts w:hint="default"/>
                <w:vertAlign w:val="baseline"/>
                <w:lang w:val="en-US" w:eastAsia="zh-CN"/>
              </w:rPr>
            </w:pPr>
          </w:p>
        </w:tc>
      </w:tr>
      <w:tr w14:paraId="0428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continue"/>
            <w:shd w:val="clear" w:color="auto" w:fill="auto"/>
            <w:vAlign w:val="top"/>
          </w:tcPr>
          <w:p w14:paraId="1A594CB5">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p>
        </w:tc>
        <w:tc>
          <w:tcPr>
            <w:tcW w:w="3585" w:type="dxa"/>
            <w:shd w:val="clear" w:color="auto" w:fill="auto"/>
            <w:vAlign w:val="top"/>
          </w:tcPr>
          <w:p w14:paraId="1B11F48A">
            <w:p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vertAlign w:val="baseline"/>
                <w:lang w:val="en-US" w:eastAsia="zh-CN"/>
              </w:rPr>
              <w:t>水平2：主动参与活动，能按照要求完成任务；能提出自己的想法。</w:t>
            </w:r>
          </w:p>
        </w:tc>
        <w:tc>
          <w:tcPr>
            <w:tcW w:w="681" w:type="dxa"/>
          </w:tcPr>
          <w:p w14:paraId="7A6F6612">
            <w:pPr>
              <w:spacing w:line="240" w:lineRule="auto"/>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3</w:t>
            </w:r>
          </w:p>
        </w:tc>
        <w:tc>
          <w:tcPr>
            <w:tcW w:w="1106" w:type="dxa"/>
          </w:tcPr>
          <w:p w14:paraId="4863FAC3">
            <w:pPr>
              <w:spacing w:line="240" w:lineRule="auto"/>
              <w:jc w:val="center"/>
              <w:rPr>
                <w:rFonts w:hint="default"/>
                <w:vertAlign w:val="baseline"/>
                <w:lang w:val="en-US" w:eastAsia="zh-CN"/>
              </w:rPr>
            </w:pPr>
          </w:p>
        </w:tc>
        <w:tc>
          <w:tcPr>
            <w:tcW w:w="1064" w:type="dxa"/>
          </w:tcPr>
          <w:p w14:paraId="3240C6EC">
            <w:pPr>
              <w:spacing w:line="240" w:lineRule="auto"/>
              <w:jc w:val="center"/>
              <w:rPr>
                <w:rFonts w:hint="default"/>
                <w:vertAlign w:val="baseline"/>
                <w:lang w:val="en-US" w:eastAsia="zh-CN"/>
              </w:rPr>
            </w:pPr>
          </w:p>
        </w:tc>
        <w:tc>
          <w:tcPr>
            <w:tcW w:w="1220" w:type="dxa"/>
          </w:tcPr>
          <w:p w14:paraId="598A7402">
            <w:pPr>
              <w:spacing w:line="240" w:lineRule="auto"/>
              <w:jc w:val="center"/>
              <w:rPr>
                <w:rFonts w:hint="default"/>
                <w:vertAlign w:val="baseline"/>
                <w:lang w:val="en-US" w:eastAsia="zh-CN"/>
              </w:rPr>
            </w:pPr>
          </w:p>
        </w:tc>
      </w:tr>
      <w:tr w14:paraId="3F2D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continue"/>
            <w:shd w:val="clear" w:color="auto" w:fill="auto"/>
            <w:vAlign w:val="top"/>
          </w:tcPr>
          <w:p w14:paraId="084B9AB7">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p>
        </w:tc>
        <w:tc>
          <w:tcPr>
            <w:tcW w:w="3585" w:type="dxa"/>
            <w:shd w:val="clear" w:color="auto" w:fill="auto"/>
            <w:vAlign w:val="top"/>
          </w:tcPr>
          <w:p w14:paraId="0DF75C04">
            <w:p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vertAlign w:val="baseline"/>
                <w:lang w:val="en-US" w:eastAsia="zh-CN"/>
              </w:rPr>
              <w:t>水平3：主动参与活动、积极应对困难且能提出解决措施；能提出有创意的想法。</w:t>
            </w:r>
          </w:p>
        </w:tc>
        <w:tc>
          <w:tcPr>
            <w:tcW w:w="681" w:type="dxa"/>
          </w:tcPr>
          <w:p w14:paraId="74AB0CF1">
            <w:pPr>
              <w:spacing w:line="240" w:lineRule="auto"/>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5</w:t>
            </w:r>
          </w:p>
        </w:tc>
        <w:tc>
          <w:tcPr>
            <w:tcW w:w="1106" w:type="dxa"/>
          </w:tcPr>
          <w:p w14:paraId="25240A85">
            <w:pPr>
              <w:spacing w:line="240" w:lineRule="auto"/>
              <w:jc w:val="center"/>
              <w:rPr>
                <w:rFonts w:hint="default"/>
                <w:vertAlign w:val="baseline"/>
                <w:lang w:val="en-US" w:eastAsia="zh-CN"/>
              </w:rPr>
            </w:pPr>
          </w:p>
        </w:tc>
        <w:tc>
          <w:tcPr>
            <w:tcW w:w="1064" w:type="dxa"/>
          </w:tcPr>
          <w:p w14:paraId="23D3A50E">
            <w:pPr>
              <w:spacing w:line="240" w:lineRule="auto"/>
              <w:jc w:val="center"/>
              <w:rPr>
                <w:rFonts w:hint="default"/>
                <w:vertAlign w:val="baseline"/>
                <w:lang w:val="en-US" w:eastAsia="zh-CN"/>
              </w:rPr>
            </w:pPr>
          </w:p>
        </w:tc>
        <w:tc>
          <w:tcPr>
            <w:tcW w:w="1220" w:type="dxa"/>
          </w:tcPr>
          <w:p w14:paraId="0BC1E61B">
            <w:pPr>
              <w:spacing w:line="240" w:lineRule="auto"/>
              <w:jc w:val="center"/>
              <w:rPr>
                <w:rFonts w:hint="default"/>
                <w:vertAlign w:val="baseline"/>
                <w:lang w:val="en-US" w:eastAsia="zh-CN"/>
              </w:rPr>
            </w:pPr>
          </w:p>
        </w:tc>
      </w:tr>
      <w:tr w14:paraId="3EDC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restart"/>
            <w:shd w:val="clear" w:color="auto" w:fill="auto"/>
            <w:vAlign w:val="top"/>
          </w:tcPr>
          <w:p w14:paraId="37E94722">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知识运用</w:t>
            </w:r>
          </w:p>
        </w:tc>
        <w:tc>
          <w:tcPr>
            <w:tcW w:w="3585" w:type="dxa"/>
            <w:shd w:val="clear" w:color="auto" w:fill="auto"/>
            <w:vAlign w:val="top"/>
          </w:tcPr>
          <w:p w14:paraId="53F7AC83">
            <w:pPr>
              <w:spacing w:line="240" w:lineRule="auto"/>
              <w:jc w:val="left"/>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水平1：较少的运用了城镇与乡村的相关知识分析解决问题。</w:t>
            </w:r>
          </w:p>
        </w:tc>
        <w:tc>
          <w:tcPr>
            <w:tcW w:w="681" w:type="dxa"/>
          </w:tcPr>
          <w:p w14:paraId="14E53618">
            <w:pPr>
              <w:spacing w:line="240" w:lineRule="auto"/>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1</w:t>
            </w:r>
          </w:p>
        </w:tc>
        <w:tc>
          <w:tcPr>
            <w:tcW w:w="1106" w:type="dxa"/>
          </w:tcPr>
          <w:p w14:paraId="7A1452B1">
            <w:pPr>
              <w:spacing w:line="240" w:lineRule="auto"/>
              <w:jc w:val="center"/>
              <w:rPr>
                <w:rFonts w:hint="default"/>
                <w:vertAlign w:val="baseline"/>
                <w:lang w:val="en-US" w:eastAsia="zh-CN"/>
              </w:rPr>
            </w:pPr>
          </w:p>
        </w:tc>
        <w:tc>
          <w:tcPr>
            <w:tcW w:w="1064" w:type="dxa"/>
          </w:tcPr>
          <w:p w14:paraId="1CE43877">
            <w:pPr>
              <w:spacing w:line="240" w:lineRule="auto"/>
              <w:jc w:val="center"/>
              <w:rPr>
                <w:rFonts w:hint="default"/>
                <w:vertAlign w:val="baseline"/>
                <w:lang w:val="en-US" w:eastAsia="zh-CN"/>
              </w:rPr>
            </w:pPr>
          </w:p>
        </w:tc>
        <w:tc>
          <w:tcPr>
            <w:tcW w:w="1220" w:type="dxa"/>
          </w:tcPr>
          <w:p w14:paraId="05CF755B">
            <w:pPr>
              <w:spacing w:line="240" w:lineRule="auto"/>
              <w:jc w:val="center"/>
              <w:rPr>
                <w:rFonts w:hint="default"/>
                <w:vertAlign w:val="baseline"/>
                <w:lang w:val="en-US" w:eastAsia="zh-CN"/>
              </w:rPr>
            </w:pPr>
          </w:p>
        </w:tc>
      </w:tr>
      <w:tr w14:paraId="5B30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continue"/>
            <w:shd w:val="clear" w:color="auto" w:fill="auto"/>
            <w:vAlign w:val="top"/>
          </w:tcPr>
          <w:p w14:paraId="132E31A5">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p>
        </w:tc>
        <w:tc>
          <w:tcPr>
            <w:tcW w:w="3585" w:type="dxa"/>
            <w:shd w:val="clear" w:color="auto" w:fill="auto"/>
            <w:vAlign w:val="top"/>
          </w:tcPr>
          <w:p w14:paraId="50BE6DFC">
            <w:pPr>
              <w:spacing w:line="240" w:lineRule="auto"/>
              <w:jc w:val="left"/>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水平2：运用城镇与乡村的相关知识分析解决问题，但不够全面、深入。</w:t>
            </w:r>
          </w:p>
        </w:tc>
        <w:tc>
          <w:tcPr>
            <w:tcW w:w="681" w:type="dxa"/>
          </w:tcPr>
          <w:p w14:paraId="668914B8">
            <w:pPr>
              <w:spacing w:line="240" w:lineRule="auto"/>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3</w:t>
            </w:r>
          </w:p>
        </w:tc>
        <w:tc>
          <w:tcPr>
            <w:tcW w:w="1106" w:type="dxa"/>
          </w:tcPr>
          <w:p w14:paraId="6903B752">
            <w:pPr>
              <w:spacing w:line="240" w:lineRule="auto"/>
              <w:jc w:val="center"/>
              <w:rPr>
                <w:rFonts w:hint="default"/>
                <w:vertAlign w:val="baseline"/>
                <w:lang w:val="en-US" w:eastAsia="zh-CN"/>
              </w:rPr>
            </w:pPr>
          </w:p>
        </w:tc>
        <w:tc>
          <w:tcPr>
            <w:tcW w:w="1064" w:type="dxa"/>
          </w:tcPr>
          <w:p w14:paraId="57EB6421">
            <w:pPr>
              <w:spacing w:line="240" w:lineRule="auto"/>
              <w:jc w:val="center"/>
              <w:rPr>
                <w:rFonts w:hint="default"/>
                <w:vertAlign w:val="baseline"/>
                <w:lang w:val="en-US" w:eastAsia="zh-CN"/>
              </w:rPr>
            </w:pPr>
          </w:p>
        </w:tc>
        <w:tc>
          <w:tcPr>
            <w:tcW w:w="1220" w:type="dxa"/>
          </w:tcPr>
          <w:p w14:paraId="05145BCF">
            <w:pPr>
              <w:spacing w:line="240" w:lineRule="auto"/>
              <w:jc w:val="center"/>
              <w:rPr>
                <w:rFonts w:hint="default"/>
                <w:vertAlign w:val="baseline"/>
                <w:lang w:val="en-US" w:eastAsia="zh-CN"/>
              </w:rPr>
            </w:pPr>
          </w:p>
        </w:tc>
      </w:tr>
      <w:tr w14:paraId="4F0D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continue"/>
            <w:shd w:val="clear" w:color="auto" w:fill="auto"/>
            <w:vAlign w:val="top"/>
          </w:tcPr>
          <w:p w14:paraId="08444205">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p>
        </w:tc>
        <w:tc>
          <w:tcPr>
            <w:tcW w:w="3585" w:type="dxa"/>
            <w:shd w:val="clear" w:color="auto" w:fill="auto"/>
            <w:vAlign w:val="top"/>
          </w:tcPr>
          <w:p w14:paraId="019EED91">
            <w:pPr>
              <w:spacing w:line="240" w:lineRule="auto"/>
              <w:jc w:val="left"/>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水平3：运用较为准确、贴切的城镇与乡村相关知识合理分析问题，全面深入且重视人地协调思想来解决问题。</w:t>
            </w:r>
          </w:p>
        </w:tc>
        <w:tc>
          <w:tcPr>
            <w:tcW w:w="681" w:type="dxa"/>
          </w:tcPr>
          <w:p w14:paraId="471EAC7D">
            <w:pPr>
              <w:spacing w:line="240" w:lineRule="auto"/>
              <w:jc w:val="center"/>
              <w:rPr>
                <w:rFonts w:hint="eastAsia" w:ascii="楷体" w:hAnsi="楷体" w:eastAsia="楷体" w:cs="楷体"/>
                <w:vertAlign w:val="baseline"/>
                <w:lang w:val="en-US" w:eastAsia="zh-CN"/>
              </w:rPr>
            </w:pPr>
            <w:r>
              <w:rPr>
                <w:rFonts w:hint="eastAsia" w:ascii="楷体" w:hAnsi="楷体" w:eastAsia="楷体" w:cs="楷体"/>
                <w:vertAlign w:val="baseline"/>
                <w:lang w:val="en-US" w:eastAsia="zh-CN"/>
              </w:rPr>
              <w:t>5</w:t>
            </w:r>
          </w:p>
        </w:tc>
        <w:tc>
          <w:tcPr>
            <w:tcW w:w="1106" w:type="dxa"/>
          </w:tcPr>
          <w:p w14:paraId="0EF4F3A7">
            <w:pPr>
              <w:spacing w:line="240" w:lineRule="auto"/>
              <w:jc w:val="center"/>
              <w:rPr>
                <w:rFonts w:hint="default"/>
                <w:vertAlign w:val="baseline"/>
                <w:lang w:val="en-US" w:eastAsia="zh-CN"/>
              </w:rPr>
            </w:pPr>
          </w:p>
        </w:tc>
        <w:tc>
          <w:tcPr>
            <w:tcW w:w="1064" w:type="dxa"/>
          </w:tcPr>
          <w:p w14:paraId="7CC86DD1">
            <w:pPr>
              <w:spacing w:line="240" w:lineRule="auto"/>
              <w:jc w:val="center"/>
              <w:rPr>
                <w:rFonts w:hint="default"/>
                <w:vertAlign w:val="baseline"/>
                <w:lang w:val="en-US" w:eastAsia="zh-CN"/>
              </w:rPr>
            </w:pPr>
          </w:p>
        </w:tc>
        <w:tc>
          <w:tcPr>
            <w:tcW w:w="1220" w:type="dxa"/>
          </w:tcPr>
          <w:p w14:paraId="2AA11D77">
            <w:pPr>
              <w:spacing w:line="240" w:lineRule="auto"/>
              <w:jc w:val="center"/>
              <w:rPr>
                <w:rFonts w:hint="default"/>
                <w:vertAlign w:val="baseline"/>
                <w:lang w:val="en-US" w:eastAsia="zh-CN"/>
              </w:rPr>
            </w:pPr>
          </w:p>
        </w:tc>
      </w:tr>
      <w:tr w14:paraId="36F1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restart"/>
            <w:shd w:val="clear" w:color="auto" w:fill="auto"/>
            <w:vAlign w:val="top"/>
          </w:tcPr>
          <w:p w14:paraId="09AF51B6">
            <w:pPr>
              <w:widowControl/>
              <w:kinsoku w:val="0"/>
              <w:autoSpaceDE w:val="0"/>
              <w:autoSpaceDN w:val="0"/>
              <w:adjustRightInd w:val="0"/>
              <w:snapToGrid w:val="0"/>
              <w:spacing w:line="240" w:lineRule="auto"/>
              <w:jc w:val="center"/>
              <w:textAlignment w:val="baseline"/>
              <w:rPr>
                <w:rFonts w:hint="default" w:ascii="黑体" w:hAnsi="黑体" w:eastAsia="黑体" w:cs="Times New Roman"/>
                <w:kern w:val="0"/>
                <w:szCs w:val="21"/>
                <w:lang w:val="en-US" w:eastAsia="zh-CN" w:bidi="ar"/>
              </w:rPr>
            </w:pPr>
            <w:r>
              <w:rPr>
                <w:rFonts w:hint="eastAsia" w:ascii="黑体" w:hAnsi="黑体" w:eastAsia="黑体" w:cs="Times New Roman"/>
                <w:kern w:val="0"/>
                <w:szCs w:val="21"/>
                <w:lang w:val="en-US" w:eastAsia="zh-CN" w:bidi="ar"/>
              </w:rPr>
              <w:t>阶段成效体现</w:t>
            </w:r>
          </w:p>
        </w:tc>
        <w:tc>
          <w:tcPr>
            <w:tcW w:w="3585" w:type="dxa"/>
            <w:shd w:val="clear" w:color="auto" w:fill="auto"/>
            <w:vAlign w:val="top"/>
          </w:tcPr>
          <w:p w14:paraId="0C7C2267">
            <w:p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vertAlign w:val="baseline"/>
                <w:lang w:val="en-US" w:eastAsia="zh-CN"/>
              </w:rPr>
              <w:t>水平1：理解部分知识点，较为破碎模糊。</w:t>
            </w:r>
          </w:p>
        </w:tc>
        <w:tc>
          <w:tcPr>
            <w:tcW w:w="681" w:type="dxa"/>
            <w:shd w:val="clear" w:color="auto" w:fill="auto"/>
            <w:vAlign w:val="top"/>
          </w:tcPr>
          <w:p w14:paraId="158118EB">
            <w:pPr>
              <w:spacing w:line="240" w:lineRule="auto"/>
              <w:jc w:val="center"/>
              <w:rPr>
                <w:rFonts w:hint="eastAsia" w:ascii="楷体" w:hAnsi="楷体" w:eastAsia="楷体" w:cs="楷体"/>
                <w:kern w:val="2"/>
                <w:sz w:val="21"/>
                <w:szCs w:val="24"/>
                <w:vertAlign w:val="baseline"/>
                <w:lang w:val="en-US" w:eastAsia="zh-CN" w:bidi="ar-SA"/>
              </w:rPr>
            </w:pPr>
            <w:r>
              <w:rPr>
                <w:rFonts w:hint="eastAsia" w:ascii="楷体" w:hAnsi="楷体" w:eastAsia="楷体" w:cs="楷体"/>
                <w:vertAlign w:val="baseline"/>
                <w:lang w:val="en-US" w:eastAsia="zh-CN"/>
              </w:rPr>
              <w:t>1</w:t>
            </w:r>
          </w:p>
        </w:tc>
        <w:tc>
          <w:tcPr>
            <w:tcW w:w="1106" w:type="dxa"/>
          </w:tcPr>
          <w:p w14:paraId="72161C88">
            <w:pPr>
              <w:spacing w:line="240" w:lineRule="auto"/>
              <w:jc w:val="center"/>
              <w:rPr>
                <w:rFonts w:hint="default"/>
                <w:vertAlign w:val="baseline"/>
                <w:lang w:val="en-US" w:eastAsia="zh-CN"/>
              </w:rPr>
            </w:pPr>
          </w:p>
        </w:tc>
        <w:tc>
          <w:tcPr>
            <w:tcW w:w="1064" w:type="dxa"/>
          </w:tcPr>
          <w:p w14:paraId="1F78E6A5">
            <w:pPr>
              <w:spacing w:line="240" w:lineRule="auto"/>
              <w:jc w:val="center"/>
              <w:rPr>
                <w:rFonts w:hint="default"/>
                <w:vertAlign w:val="baseline"/>
                <w:lang w:val="en-US" w:eastAsia="zh-CN"/>
              </w:rPr>
            </w:pPr>
          </w:p>
        </w:tc>
        <w:tc>
          <w:tcPr>
            <w:tcW w:w="1220" w:type="dxa"/>
          </w:tcPr>
          <w:p w14:paraId="711E9630">
            <w:pPr>
              <w:spacing w:line="240" w:lineRule="auto"/>
              <w:jc w:val="center"/>
              <w:rPr>
                <w:rFonts w:hint="default"/>
                <w:vertAlign w:val="baseline"/>
                <w:lang w:val="en-US" w:eastAsia="zh-CN"/>
              </w:rPr>
            </w:pPr>
          </w:p>
        </w:tc>
      </w:tr>
      <w:tr w14:paraId="6DC5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continue"/>
            <w:shd w:val="clear" w:color="auto" w:fill="auto"/>
            <w:vAlign w:val="top"/>
          </w:tcPr>
          <w:p w14:paraId="3DFC9577">
            <w:pPr>
              <w:spacing w:line="240" w:lineRule="auto"/>
              <w:jc w:val="center"/>
              <w:rPr>
                <w:rFonts w:hint="default" w:asciiTheme="minorHAnsi" w:hAnsiTheme="minorHAnsi" w:eastAsiaTheme="minorEastAsia" w:cstheme="minorBidi"/>
                <w:kern w:val="2"/>
                <w:sz w:val="21"/>
                <w:szCs w:val="24"/>
                <w:vertAlign w:val="baseline"/>
                <w:lang w:val="en-US" w:eastAsia="zh-CN" w:bidi="ar-SA"/>
              </w:rPr>
            </w:pPr>
          </w:p>
        </w:tc>
        <w:tc>
          <w:tcPr>
            <w:tcW w:w="3585" w:type="dxa"/>
            <w:shd w:val="clear" w:color="auto" w:fill="auto"/>
            <w:vAlign w:val="top"/>
          </w:tcPr>
          <w:p w14:paraId="28071319">
            <w:p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vertAlign w:val="baseline"/>
                <w:lang w:val="en-US" w:eastAsia="zh-CN"/>
              </w:rPr>
              <w:t>水平2：掌握大部分知识点，且能够建立知识内在联系。</w:t>
            </w:r>
          </w:p>
        </w:tc>
        <w:tc>
          <w:tcPr>
            <w:tcW w:w="681" w:type="dxa"/>
            <w:shd w:val="clear" w:color="auto" w:fill="auto"/>
            <w:vAlign w:val="top"/>
          </w:tcPr>
          <w:p w14:paraId="4C6E38EE">
            <w:pPr>
              <w:spacing w:line="240" w:lineRule="auto"/>
              <w:jc w:val="center"/>
              <w:rPr>
                <w:rFonts w:hint="eastAsia" w:ascii="楷体" w:hAnsi="楷体" w:eastAsia="楷体" w:cs="楷体"/>
                <w:kern w:val="2"/>
                <w:sz w:val="21"/>
                <w:szCs w:val="24"/>
                <w:vertAlign w:val="baseline"/>
                <w:lang w:val="en-US" w:eastAsia="zh-CN" w:bidi="ar-SA"/>
              </w:rPr>
            </w:pPr>
            <w:r>
              <w:rPr>
                <w:rFonts w:hint="eastAsia" w:ascii="楷体" w:hAnsi="楷体" w:eastAsia="楷体" w:cs="楷体"/>
                <w:vertAlign w:val="baseline"/>
                <w:lang w:val="en-US" w:eastAsia="zh-CN"/>
              </w:rPr>
              <w:t>3</w:t>
            </w:r>
          </w:p>
        </w:tc>
        <w:tc>
          <w:tcPr>
            <w:tcW w:w="1106" w:type="dxa"/>
          </w:tcPr>
          <w:p w14:paraId="14619240">
            <w:pPr>
              <w:spacing w:line="240" w:lineRule="auto"/>
              <w:jc w:val="center"/>
              <w:rPr>
                <w:rFonts w:hint="default"/>
                <w:vertAlign w:val="baseline"/>
                <w:lang w:val="en-US" w:eastAsia="zh-CN"/>
              </w:rPr>
            </w:pPr>
          </w:p>
        </w:tc>
        <w:tc>
          <w:tcPr>
            <w:tcW w:w="1064" w:type="dxa"/>
          </w:tcPr>
          <w:p w14:paraId="0DB8220F">
            <w:pPr>
              <w:spacing w:line="240" w:lineRule="auto"/>
              <w:jc w:val="center"/>
              <w:rPr>
                <w:rFonts w:hint="default"/>
                <w:vertAlign w:val="baseline"/>
                <w:lang w:val="en-US" w:eastAsia="zh-CN"/>
              </w:rPr>
            </w:pPr>
          </w:p>
        </w:tc>
        <w:tc>
          <w:tcPr>
            <w:tcW w:w="1220" w:type="dxa"/>
          </w:tcPr>
          <w:p w14:paraId="4100017F">
            <w:pPr>
              <w:spacing w:line="240" w:lineRule="auto"/>
              <w:jc w:val="center"/>
              <w:rPr>
                <w:rFonts w:hint="default"/>
                <w:vertAlign w:val="baseline"/>
                <w:lang w:val="en-US" w:eastAsia="zh-CN"/>
              </w:rPr>
            </w:pPr>
          </w:p>
        </w:tc>
      </w:tr>
      <w:tr w14:paraId="529B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dxa"/>
            <w:vMerge w:val="continue"/>
            <w:shd w:val="clear" w:color="auto" w:fill="auto"/>
            <w:vAlign w:val="top"/>
          </w:tcPr>
          <w:p w14:paraId="19C49591">
            <w:pPr>
              <w:spacing w:line="240" w:lineRule="auto"/>
              <w:jc w:val="center"/>
              <w:rPr>
                <w:rFonts w:hint="default" w:asciiTheme="minorHAnsi" w:hAnsiTheme="minorHAnsi" w:eastAsiaTheme="minorEastAsia" w:cstheme="minorBidi"/>
                <w:kern w:val="2"/>
                <w:sz w:val="21"/>
                <w:szCs w:val="24"/>
                <w:vertAlign w:val="baseline"/>
                <w:lang w:val="en-US" w:eastAsia="zh-CN" w:bidi="ar-SA"/>
              </w:rPr>
            </w:pPr>
          </w:p>
        </w:tc>
        <w:tc>
          <w:tcPr>
            <w:tcW w:w="3585" w:type="dxa"/>
            <w:shd w:val="clear" w:color="auto" w:fill="auto"/>
            <w:vAlign w:val="top"/>
          </w:tcPr>
          <w:p w14:paraId="06E03F1D">
            <w:pPr>
              <w:spacing w:line="240" w:lineRule="auto"/>
              <w:jc w:val="left"/>
              <w:rPr>
                <w:rFonts w:hint="eastAsia" w:ascii="楷体" w:hAnsi="楷体" w:eastAsia="楷体" w:cs="楷体"/>
                <w:kern w:val="2"/>
                <w:sz w:val="21"/>
                <w:szCs w:val="24"/>
                <w:vertAlign w:val="baseline"/>
                <w:lang w:val="en-US" w:eastAsia="zh-CN" w:bidi="ar-SA"/>
              </w:rPr>
            </w:pPr>
            <w:r>
              <w:rPr>
                <w:rFonts w:hint="eastAsia" w:ascii="楷体" w:hAnsi="楷体" w:eastAsia="楷体" w:cs="楷体"/>
                <w:vertAlign w:val="baseline"/>
                <w:lang w:val="en-US" w:eastAsia="zh-CN"/>
              </w:rPr>
              <w:t>水平3：掌握大部分知识点，不仅能够建立知识的内在联系，并且可以知识迁移，解决现实生活的中的实际问题。</w:t>
            </w:r>
          </w:p>
        </w:tc>
        <w:tc>
          <w:tcPr>
            <w:tcW w:w="681" w:type="dxa"/>
            <w:shd w:val="clear" w:color="auto" w:fill="auto"/>
            <w:vAlign w:val="top"/>
          </w:tcPr>
          <w:p w14:paraId="31182151">
            <w:pPr>
              <w:spacing w:line="240" w:lineRule="auto"/>
              <w:jc w:val="center"/>
              <w:rPr>
                <w:rFonts w:hint="eastAsia" w:ascii="楷体" w:hAnsi="楷体" w:eastAsia="楷体" w:cs="楷体"/>
                <w:kern w:val="2"/>
                <w:sz w:val="21"/>
                <w:szCs w:val="24"/>
                <w:vertAlign w:val="baseline"/>
                <w:lang w:val="en-US" w:eastAsia="zh-CN" w:bidi="ar-SA"/>
              </w:rPr>
            </w:pPr>
            <w:r>
              <w:rPr>
                <w:rFonts w:hint="eastAsia" w:ascii="楷体" w:hAnsi="楷体" w:eastAsia="楷体" w:cs="楷体"/>
                <w:vertAlign w:val="baseline"/>
                <w:lang w:val="en-US" w:eastAsia="zh-CN"/>
              </w:rPr>
              <w:t>5</w:t>
            </w:r>
          </w:p>
        </w:tc>
        <w:tc>
          <w:tcPr>
            <w:tcW w:w="1106" w:type="dxa"/>
          </w:tcPr>
          <w:p w14:paraId="2F29AD20">
            <w:pPr>
              <w:spacing w:line="240" w:lineRule="auto"/>
              <w:jc w:val="center"/>
              <w:rPr>
                <w:rFonts w:hint="default"/>
                <w:vertAlign w:val="baseline"/>
                <w:lang w:val="en-US" w:eastAsia="zh-CN"/>
              </w:rPr>
            </w:pPr>
          </w:p>
        </w:tc>
        <w:tc>
          <w:tcPr>
            <w:tcW w:w="1064" w:type="dxa"/>
          </w:tcPr>
          <w:p w14:paraId="614829F5">
            <w:pPr>
              <w:spacing w:line="240" w:lineRule="auto"/>
              <w:jc w:val="center"/>
              <w:rPr>
                <w:rFonts w:hint="default"/>
                <w:vertAlign w:val="baseline"/>
                <w:lang w:val="en-US" w:eastAsia="zh-CN"/>
              </w:rPr>
            </w:pPr>
          </w:p>
        </w:tc>
        <w:tc>
          <w:tcPr>
            <w:tcW w:w="1220" w:type="dxa"/>
          </w:tcPr>
          <w:p w14:paraId="5CF4FBCC">
            <w:pPr>
              <w:spacing w:line="240" w:lineRule="auto"/>
              <w:jc w:val="center"/>
              <w:rPr>
                <w:rFonts w:hint="default"/>
                <w:vertAlign w:val="baseline"/>
                <w:lang w:val="en-US" w:eastAsia="zh-CN"/>
              </w:rPr>
            </w:pPr>
          </w:p>
        </w:tc>
      </w:tr>
    </w:tbl>
    <w:p w14:paraId="7CB38FE6">
      <w:pPr>
        <w:spacing w:line="240" w:lineRule="auto"/>
        <w:ind w:firstLine="480" w:firstLineChars="200"/>
        <w:rPr>
          <w:rFonts w:hint="eastAsia" w:ascii="宋体" w:hAnsi="宋体" w:eastAsia="宋体" w:cs="宋体"/>
          <w:sz w:val="24"/>
          <w:szCs w:val="24"/>
        </w:rPr>
      </w:pPr>
    </w:p>
    <w:p w14:paraId="50A1203C">
      <w:pPr>
        <w:numPr>
          <w:ilvl w:val="0"/>
          <w:numId w:val="2"/>
        </w:numPr>
        <w:spacing w:line="240" w:lineRule="auto"/>
        <w:jc w:val="left"/>
        <w:rPr>
          <w:rFonts w:hint="eastAsia" w:ascii="黑体" w:hAnsi="黑体" w:eastAsia="黑体"/>
          <w:sz w:val="24"/>
          <w:szCs w:val="24"/>
          <w:lang w:val="en-US" w:eastAsia="zh-CN"/>
        </w:rPr>
      </w:pPr>
      <w:r>
        <w:rPr>
          <w:rFonts w:hint="eastAsia" w:ascii="黑体" w:hAnsi="黑体" w:eastAsia="黑体"/>
          <w:sz w:val="24"/>
          <w:szCs w:val="24"/>
          <w:lang w:val="en-US" w:eastAsia="zh-CN"/>
        </w:rPr>
        <w:t>单元教学资源</w:t>
      </w:r>
    </w:p>
    <w:p w14:paraId="58846199">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本单元的教学资料分软件资源、文本资源</w:t>
      </w:r>
      <w:r>
        <w:rPr>
          <w:rFonts w:hint="eastAsia" w:ascii="宋体" w:hAnsi="宋体" w:eastAsia="宋体" w:cs="宋体"/>
          <w:sz w:val="24"/>
          <w:szCs w:val="24"/>
          <w:lang w:eastAsia="zh-CN"/>
        </w:rPr>
        <w:t>。①软件资源为</w:t>
      </w:r>
      <w:r>
        <w:rPr>
          <w:rFonts w:hint="eastAsia" w:ascii="宋体" w:hAnsi="宋体" w:eastAsia="宋体" w:cs="宋体"/>
          <w:sz w:val="24"/>
          <w:szCs w:val="24"/>
          <w:lang w:val="en-US" w:eastAsia="zh-CN"/>
        </w:rPr>
        <w:t>城市地理</w:t>
      </w:r>
      <w:r>
        <w:rPr>
          <w:rFonts w:hint="eastAsia" w:ascii="宋体" w:hAnsi="宋体" w:eastAsia="宋体" w:cs="宋体"/>
          <w:sz w:val="24"/>
          <w:szCs w:val="24"/>
          <w:lang w:eastAsia="zh-CN"/>
        </w:rPr>
        <w:t>信息技术平台</w:t>
      </w:r>
      <w:r>
        <w:rPr>
          <w:rFonts w:hint="eastAsia" w:ascii="宋体" w:hAnsi="宋体" w:eastAsia="宋体" w:cs="宋体"/>
          <w:sz w:val="24"/>
          <w:szCs w:val="24"/>
          <w:lang w:val="en-US" w:eastAsia="zh-CN"/>
        </w:rPr>
        <w:t>和百度全景地图平台</w:t>
      </w:r>
      <w:r>
        <w:rPr>
          <w:rFonts w:hint="eastAsia" w:ascii="宋体" w:hAnsi="宋体" w:eastAsia="宋体" w:cs="宋体"/>
          <w:sz w:val="24"/>
          <w:szCs w:val="24"/>
          <w:lang w:eastAsia="zh-CN"/>
        </w:rPr>
        <w:t>，教师可以根据校情学情选择合适的平台②文本资源包括数据资源和文字资源，如我国</w:t>
      </w:r>
      <w:r>
        <w:rPr>
          <w:rFonts w:hint="eastAsia" w:ascii="宋体" w:hAnsi="宋体" w:eastAsia="宋体" w:cs="宋体"/>
          <w:sz w:val="24"/>
          <w:szCs w:val="24"/>
          <w:lang w:val="en-US" w:eastAsia="zh-CN"/>
        </w:rPr>
        <w:t>城乡发展规划</w:t>
      </w:r>
      <w:r>
        <w:rPr>
          <w:rFonts w:hint="eastAsia" w:ascii="宋体" w:hAnsi="宋体" w:eastAsia="宋体" w:cs="宋体"/>
          <w:sz w:val="24"/>
          <w:szCs w:val="24"/>
          <w:lang w:eastAsia="zh-CN"/>
        </w:rPr>
        <w:t>相关资料等。</w:t>
      </w:r>
    </w:p>
    <w:p w14:paraId="219EA81E">
      <w:pPr>
        <w:spacing w:line="240" w:lineRule="auto"/>
        <w:ind w:firstLine="480" w:firstLineChars="200"/>
        <w:rPr>
          <w:rFonts w:hint="eastAsia" w:ascii="宋体" w:hAnsi="宋体" w:eastAsia="宋体"/>
          <w:sz w:val="24"/>
          <w:szCs w:val="24"/>
        </w:rPr>
      </w:pPr>
    </w:p>
    <w:sectPr>
      <w:footerReference r:id="rId3"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Segoe UI Emoji">
    <w:panose1 w:val="020B0502040204020203"/>
    <w:charset w:val="00"/>
    <w:family w:val="auto"/>
    <w:pitch w:val="default"/>
    <w:sig w:usb0="00000001" w:usb1="02000000" w:usb2="08000000" w:usb3="00000000" w:csb0="000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935907"/>
      <w:docPartObj>
        <w:docPartGallery w:val="autotext"/>
      </w:docPartObj>
    </w:sdtPr>
    <w:sdtContent>
      <w:sdt>
        <w:sdtPr>
          <w:id w:val="1728636285"/>
          <w:docPartObj>
            <w:docPartGallery w:val="autotext"/>
          </w:docPartObj>
        </w:sdtPr>
        <w:sdtContent>
          <w:p w14:paraId="63806223">
            <w:pPr>
              <w:pStyle w:val="3"/>
              <w:jc w:val="center"/>
              <w:rPr>
                <w:rFonts w:hint="eastAsia"/>
              </w:rP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5EAEECB9">
    <w:pPr>
      <w:pStyle w:val="3"/>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016EFE"/>
    <w:multiLevelType w:val="singleLevel"/>
    <w:tmpl w:val="9A016EFE"/>
    <w:lvl w:ilvl="0" w:tentative="0">
      <w:start w:val="1"/>
      <w:numFmt w:val="chineseCounting"/>
      <w:suff w:val="nothing"/>
      <w:lvlText w:val="%1、"/>
      <w:lvlJc w:val="left"/>
      <w:rPr>
        <w:rFonts w:hint="eastAsia"/>
      </w:rPr>
    </w:lvl>
  </w:abstractNum>
  <w:abstractNum w:abstractNumId="1">
    <w:nsid w:val="A63468B3"/>
    <w:multiLevelType w:val="singleLevel"/>
    <w:tmpl w:val="A63468B3"/>
    <w:lvl w:ilvl="0" w:tentative="0">
      <w:start w:val="1"/>
      <w:numFmt w:val="decimal"/>
      <w:lvlText w:val="(%1)"/>
      <w:lvlJc w:val="left"/>
      <w:pPr>
        <w:ind w:left="425" w:hanging="425"/>
      </w:pPr>
      <w:rPr>
        <w:rFonts w:hint="default"/>
      </w:rPr>
    </w:lvl>
  </w:abstractNum>
  <w:abstractNum w:abstractNumId="2">
    <w:nsid w:val="A66FADCE"/>
    <w:multiLevelType w:val="singleLevel"/>
    <w:tmpl w:val="A66FADCE"/>
    <w:lvl w:ilvl="0" w:tentative="0">
      <w:start w:val="1"/>
      <w:numFmt w:val="decimal"/>
      <w:lvlText w:val="(%1)"/>
      <w:lvlJc w:val="left"/>
      <w:pPr>
        <w:ind w:left="-425" w:hanging="425"/>
      </w:pPr>
      <w:rPr>
        <w:rFonts w:hint="default"/>
      </w:rPr>
    </w:lvl>
  </w:abstractNum>
  <w:abstractNum w:abstractNumId="3">
    <w:nsid w:val="C4E4278C"/>
    <w:multiLevelType w:val="singleLevel"/>
    <w:tmpl w:val="C4E4278C"/>
    <w:lvl w:ilvl="0" w:tentative="0">
      <w:start w:val="1"/>
      <w:numFmt w:val="decimal"/>
      <w:lvlText w:val="(%1)"/>
      <w:lvlJc w:val="left"/>
      <w:pPr>
        <w:ind w:left="425" w:hanging="425"/>
      </w:pPr>
      <w:rPr>
        <w:rFonts w:hint="default"/>
      </w:rPr>
    </w:lvl>
  </w:abstractNum>
  <w:abstractNum w:abstractNumId="4">
    <w:nsid w:val="0D9624A7"/>
    <w:multiLevelType w:val="singleLevel"/>
    <w:tmpl w:val="0D9624A7"/>
    <w:lvl w:ilvl="0" w:tentative="0">
      <w:start w:val="1"/>
      <w:numFmt w:val="decimal"/>
      <w:lvlText w:val="%1."/>
      <w:lvlJc w:val="left"/>
      <w:pPr>
        <w:ind w:left="425" w:hanging="425"/>
      </w:pPr>
      <w:rPr>
        <w:rFonts w:hint="default"/>
      </w:rPr>
    </w:lvl>
  </w:abstractNum>
  <w:abstractNum w:abstractNumId="5">
    <w:nsid w:val="154612BF"/>
    <w:multiLevelType w:val="singleLevel"/>
    <w:tmpl w:val="154612BF"/>
    <w:lvl w:ilvl="0" w:tentative="0">
      <w:start w:val="1"/>
      <w:numFmt w:val="bullet"/>
      <w:lvlText w:val=""/>
      <w:lvlJc w:val="left"/>
      <w:pPr>
        <w:ind w:left="420" w:hanging="420"/>
      </w:pPr>
      <w:rPr>
        <w:rFonts w:hint="default" w:ascii="Wingdings" w:hAnsi="Wingdings"/>
      </w:rPr>
    </w:lvl>
  </w:abstractNum>
  <w:abstractNum w:abstractNumId="6">
    <w:nsid w:val="1C5FE7F8"/>
    <w:multiLevelType w:val="singleLevel"/>
    <w:tmpl w:val="1C5FE7F8"/>
    <w:lvl w:ilvl="0" w:tentative="0">
      <w:start w:val="1"/>
      <w:numFmt w:val="decimal"/>
      <w:suff w:val="nothing"/>
      <w:lvlText w:val="%1、"/>
      <w:lvlJc w:val="left"/>
    </w:lvl>
  </w:abstractNum>
  <w:abstractNum w:abstractNumId="7">
    <w:nsid w:val="3968D836"/>
    <w:multiLevelType w:val="singleLevel"/>
    <w:tmpl w:val="3968D836"/>
    <w:lvl w:ilvl="0" w:tentative="0">
      <w:start w:val="1"/>
      <w:numFmt w:val="decimal"/>
      <w:lvlText w:val="%1."/>
      <w:lvlJc w:val="left"/>
      <w:pPr>
        <w:ind w:left="425" w:hanging="425"/>
      </w:pPr>
      <w:rPr>
        <w:rFonts w:hint="default"/>
      </w:rPr>
    </w:lvl>
  </w:abstractNum>
  <w:abstractNum w:abstractNumId="8">
    <w:nsid w:val="6914CA69"/>
    <w:multiLevelType w:val="singleLevel"/>
    <w:tmpl w:val="6914CA69"/>
    <w:lvl w:ilvl="0" w:tentative="0">
      <w:start w:val="3"/>
      <w:numFmt w:val="chineseCounting"/>
      <w:suff w:val="nothing"/>
      <w:lvlText w:val="（%1）"/>
      <w:lvlJc w:val="left"/>
      <w:rPr>
        <w:rFonts w:hint="eastAsia"/>
      </w:rPr>
    </w:lvl>
  </w:abstractNum>
  <w:abstractNum w:abstractNumId="9">
    <w:nsid w:val="7599B2C5"/>
    <w:multiLevelType w:val="singleLevel"/>
    <w:tmpl w:val="7599B2C5"/>
    <w:lvl w:ilvl="0" w:tentative="0">
      <w:start w:val="1"/>
      <w:numFmt w:val="decimal"/>
      <w:lvlText w:val="%1."/>
      <w:lvlJc w:val="left"/>
      <w:pPr>
        <w:ind w:left="425" w:hanging="425"/>
      </w:pPr>
      <w:rPr>
        <w:rFonts w:hint="default"/>
      </w:rPr>
    </w:lvl>
  </w:abstractNum>
  <w:num w:numId="1">
    <w:abstractNumId w:val="0"/>
  </w:num>
  <w:num w:numId="2">
    <w:abstractNumId w:val="8"/>
  </w:num>
  <w:num w:numId="3">
    <w:abstractNumId w:val="6"/>
  </w:num>
  <w:num w:numId="4">
    <w:abstractNumId w:val="4"/>
  </w:num>
  <w:num w:numId="5">
    <w:abstractNumId w:val="1"/>
  </w:num>
  <w:num w:numId="6">
    <w:abstractNumId w:val="9"/>
  </w:num>
  <w:num w:numId="7">
    <w:abstractNumId w:val="2"/>
  </w:num>
  <w:num w:numId="8">
    <w:abstractNumId w:val="5"/>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jMjM0NGIzMGY0MDUzY2ZiZmM4ZDBmOWRiMzM3MWMifQ=="/>
  </w:docVars>
  <w:rsids>
    <w:rsidRoot w:val="001B7CBF"/>
    <w:rsid w:val="00006DBC"/>
    <w:rsid w:val="00010611"/>
    <w:rsid w:val="00011B08"/>
    <w:rsid w:val="000175DE"/>
    <w:rsid w:val="00021504"/>
    <w:rsid w:val="00022BEE"/>
    <w:rsid w:val="00026880"/>
    <w:rsid w:val="000279F5"/>
    <w:rsid w:val="00031532"/>
    <w:rsid w:val="00033F0B"/>
    <w:rsid w:val="000362AF"/>
    <w:rsid w:val="0004313F"/>
    <w:rsid w:val="00044843"/>
    <w:rsid w:val="00053196"/>
    <w:rsid w:val="000535D6"/>
    <w:rsid w:val="00054D1C"/>
    <w:rsid w:val="000578DF"/>
    <w:rsid w:val="00060A36"/>
    <w:rsid w:val="00080C03"/>
    <w:rsid w:val="0008462D"/>
    <w:rsid w:val="00085857"/>
    <w:rsid w:val="000860C9"/>
    <w:rsid w:val="00087A58"/>
    <w:rsid w:val="000928AD"/>
    <w:rsid w:val="00094043"/>
    <w:rsid w:val="000A0FE6"/>
    <w:rsid w:val="000A226E"/>
    <w:rsid w:val="000A22FC"/>
    <w:rsid w:val="000B152F"/>
    <w:rsid w:val="000B1A74"/>
    <w:rsid w:val="000B7294"/>
    <w:rsid w:val="000B7C61"/>
    <w:rsid w:val="000C7E4B"/>
    <w:rsid w:val="000D0EA2"/>
    <w:rsid w:val="000D4ECE"/>
    <w:rsid w:val="000E3991"/>
    <w:rsid w:val="000E51F7"/>
    <w:rsid w:val="000F0C79"/>
    <w:rsid w:val="000F35CD"/>
    <w:rsid w:val="000F3DDB"/>
    <w:rsid w:val="000F5573"/>
    <w:rsid w:val="000F5DFC"/>
    <w:rsid w:val="000F69F8"/>
    <w:rsid w:val="00107289"/>
    <w:rsid w:val="0011188A"/>
    <w:rsid w:val="001125FD"/>
    <w:rsid w:val="00130711"/>
    <w:rsid w:val="00132BCB"/>
    <w:rsid w:val="001377F7"/>
    <w:rsid w:val="00137BB3"/>
    <w:rsid w:val="00147F66"/>
    <w:rsid w:val="00155B45"/>
    <w:rsid w:val="00156181"/>
    <w:rsid w:val="001672A7"/>
    <w:rsid w:val="00170F9A"/>
    <w:rsid w:val="001758D5"/>
    <w:rsid w:val="00185757"/>
    <w:rsid w:val="00185AB9"/>
    <w:rsid w:val="001933EC"/>
    <w:rsid w:val="00195A7B"/>
    <w:rsid w:val="001A0A61"/>
    <w:rsid w:val="001A1A07"/>
    <w:rsid w:val="001B5CBF"/>
    <w:rsid w:val="001B751E"/>
    <w:rsid w:val="001B78F9"/>
    <w:rsid w:val="001B7CBF"/>
    <w:rsid w:val="001C02F5"/>
    <w:rsid w:val="001C0B29"/>
    <w:rsid w:val="001C1CF0"/>
    <w:rsid w:val="001D121A"/>
    <w:rsid w:val="001D29FA"/>
    <w:rsid w:val="001D3949"/>
    <w:rsid w:val="001D5C42"/>
    <w:rsid w:val="001E078C"/>
    <w:rsid w:val="001E56CB"/>
    <w:rsid w:val="001E7851"/>
    <w:rsid w:val="001F1223"/>
    <w:rsid w:val="001F13DD"/>
    <w:rsid w:val="001F1E27"/>
    <w:rsid w:val="001F3E37"/>
    <w:rsid w:val="001F4CA7"/>
    <w:rsid w:val="00200D40"/>
    <w:rsid w:val="00204C6A"/>
    <w:rsid w:val="00205A9B"/>
    <w:rsid w:val="00206D8D"/>
    <w:rsid w:val="00207525"/>
    <w:rsid w:val="00212884"/>
    <w:rsid w:val="00214862"/>
    <w:rsid w:val="00217718"/>
    <w:rsid w:val="002247FE"/>
    <w:rsid w:val="002254DE"/>
    <w:rsid w:val="00225C7E"/>
    <w:rsid w:val="00234D32"/>
    <w:rsid w:val="00243F2E"/>
    <w:rsid w:val="00244B47"/>
    <w:rsid w:val="00251B26"/>
    <w:rsid w:val="002536FA"/>
    <w:rsid w:val="00253736"/>
    <w:rsid w:val="00257164"/>
    <w:rsid w:val="00261A95"/>
    <w:rsid w:val="002676F3"/>
    <w:rsid w:val="002810E2"/>
    <w:rsid w:val="002846F1"/>
    <w:rsid w:val="002872B3"/>
    <w:rsid w:val="00287A95"/>
    <w:rsid w:val="00291047"/>
    <w:rsid w:val="002911C5"/>
    <w:rsid w:val="00291292"/>
    <w:rsid w:val="00297A2C"/>
    <w:rsid w:val="002A3D98"/>
    <w:rsid w:val="002A5DA7"/>
    <w:rsid w:val="002A6317"/>
    <w:rsid w:val="002B6D42"/>
    <w:rsid w:val="002C7501"/>
    <w:rsid w:val="002C7D6D"/>
    <w:rsid w:val="002D1AFF"/>
    <w:rsid w:val="002D334A"/>
    <w:rsid w:val="002D3FF5"/>
    <w:rsid w:val="002D5572"/>
    <w:rsid w:val="002D5FE3"/>
    <w:rsid w:val="002D6493"/>
    <w:rsid w:val="002E2E76"/>
    <w:rsid w:val="002E3BF5"/>
    <w:rsid w:val="00312F98"/>
    <w:rsid w:val="00317D1F"/>
    <w:rsid w:val="0032215F"/>
    <w:rsid w:val="00323EA2"/>
    <w:rsid w:val="00330C63"/>
    <w:rsid w:val="003345FE"/>
    <w:rsid w:val="00341066"/>
    <w:rsid w:val="003459C9"/>
    <w:rsid w:val="00354876"/>
    <w:rsid w:val="00360EB5"/>
    <w:rsid w:val="00362911"/>
    <w:rsid w:val="00362935"/>
    <w:rsid w:val="00365C40"/>
    <w:rsid w:val="0037353B"/>
    <w:rsid w:val="00377ADE"/>
    <w:rsid w:val="00377BB7"/>
    <w:rsid w:val="00377EF8"/>
    <w:rsid w:val="00382785"/>
    <w:rsid w:val="003A4E92"/>
    <w:rsid w:val="003B2F5E"/>
    <w:rsid w:val="003B64F5"/>
    <w:rsid w:val="003B7EC9"/>
    <w:rsid w:val="003D0C54"/>
    <w:rsid w:val="003D32C3"/>
    <w:rsid w:val="003E1C5B"/>
    <w:rsid w:val="003E4986"/>
    <w:rsid w:val="003E68BD"/>
    <w:rsid w:val="003E7CD8"/>
    <w:rsid w:val="003F12FF"/>
    <w:rsid w:val="003F2A92"/>
    <w:rsid w:val="003F5086"/>
    <w:rsid w:val="00410A77"/>
    <w:rsid w:val="0041161F"/>
    <w:rsid w:val="00426A3D"/>
    <w:rsid w:val="004306C5"/>
    <w:rsid w:val="00431017"/>
    <w:rsid w:val="00432428"/>
    <w:rsid w:val="004345A1"/>
    <w:rsid w:val="0043770A"/>
    <w:rsid w:val="0044655D"/>
    <w:rsid w:val="0045352A"/>
    <w:rsid w:val="00453D8D"/>
    <w:rsid w:val="00455965"/>
    <w:rsid w:val="00456699"/>
    <w:rsid w:val="00457561"/>
    <w:rsid w:val="0046429E"/>
    <w:rsid w:val="0046497E"/>
    <w:rsid w:val="00465312"/>
    <w:rsid w:val="00475C3F"/>
    <w:rsid w:val="00484EB2"/>
    <w:rsid w:val="00486C3F"/>
    <w:rsid w:val="00493032"/>
    <w:rsid w:val="00497CFA"/>
    <w:rsid w:val="00497E95"/>
    <w:rsid w:val="004B1BFC"/>
    <w:rsid w:val="004B6B86"/>
    <w:rsid w:val="004B7F8D"/>
    <w:rsid w:val="004C01F3"/>
    <w:rsid w:val="004D045E"/>
    <w:rsid w:val="004D07DB"/>
    <w:rsid w:val="004D5391"/>
    <w:rsid w:val="004D7956"/>
    <w:rsid w:val="004E3DF1"/>
    <w:rsid w:val="004F38C7"/>
    <w:rsid w:val="004F4298"/>
    <w:rsid w:val="005028B1"/>
    <w:rsid w:val="005077B6"/>
    <w:rsid w:val="00513FCC"/>
    <w:rsid w:val="00517AC0"/>
    <w:rsid w:val="00524B65"/>
    <w:rsid w:val="00534BD3"/>
    <w:rsid w:val="00544E75"/>
    <w:rsid w:val="005466E1"/>
    <w:rsid w:val="0054712D"/>
    <w:rsid w:val="00552AF9"/>
    <w:rsid w:val="00555809"/>
    <w:rsid w:val="0056151D"/>
    <w:rsid w:val="00567062"/>
    <w:rsid w:val="00575809"/>
    <w:rsid w:val="0058150E"/>
    <w:rsid w:val="0058211A"/>
    <w:rsid w:val="005A4574"/>
    <w:rsid w:val="005C1CD6"/>
    <w:rsid w:val="005C2B3A"/>
    <w:rsid w:val="005C3019"/>
    <w:rsid w:val="005D035C"/>
    <w:rsid w:val="005D44E8"/>
    <w:rsid w:val="005E5294"/>
    <w:rsid w:val="005E6BFC"/>
    <w:rsid w:val="005F5B9E"/>
    <w:rsid w:val="0060389C"/>
    <w:rsid w:val="00604880"/>
    <w:rsid w:val="00605C7F"/>
    <w:rsid w:val="00607A3C"/>
    <w:rsid w:val="00611816"/>
    <w:rsid w:val="00614328"/>
    <w:rsid w:val="00621A8F"/>
    <w:rsid w:val="00625D85"/>
    <w:rsid w:val="006262C9"/>
    <w:rsid w:val="00626AD0"/>
    <w:rsid w:val="00627649"/>
    <w:rsid w:val="00636F8E"/>
    <w:rsid w:val="006435E5"/>
    <w:rsid w:val="00643E8C"/>
    <w:rsid w:val="00652C3D"/>
    <w:rsid w:val="00653735"/>
    <w:rsid w:val="006568C1"/>
    <w:rsid w:val="006570D9"/>
    <w:rsid w:val="00662AE2"/>
    <w:rsid w:val="00663B5B"/>
    <w:rsid w:val="00674E1F"/>
    <w:rsid w:val="00676B85"/>
    <w:rsid w:val="00682A01"/>
    <w:rsid w:val="0069062E"/>
    <w:rsid w:val="00691F8A"/>
    <w:rsid w:val="006A023B"/>
    <w:rsid w:val="006A3422"/>
    <w:rsid w:val="006A3AA6"/>
    <w:rsid w:val="006C264F"/>
    <w:rsid w:val="006C3322"/>
    <w:rsid w:val="006C6D01"/>
    <w:rsid w:val="006D0222"/>
    <w:rsid w:val="006D49AE"/>
    <w:rsid w:val="006D5D04"/>
    <w:rsid w:val="006D79D8"/>
    <w:rsid w:val="006E115F"/>
    <w:rsid w:val="006E1D51"/>
    <w:rsid w:val="006E339F"/>
    <w:rsid w:val="006E501B"/>
    <w:rsid w:val="006E517D"/>
    <w:rsid w:val="006E6636"/>
    <w:rsid w:val="006F35C9"/>
    <w:rsid w:val="006F415C"/>
    <w:rsid w:val="006F4F61"/>
    <w:rsid w:val="006F51D3"/>
    <w:rsid w:val="00716977"/>
    <w:rsid w:val="00731909"/>
    <w:rsid w:val="0073194D"/>
    <w:rsid w:val="007321F9"/>
    <w:rsid w:val="00733017"/>
    <w:rsid w:val="00737AA9"/>
    <w:rsid w:val="0074240C"/>
    <w:rsid w:val="00742A19"/>
    <w:rsid w:val="00747D11"/>
    <w:rsid w:val="00751F33"/>
    <w:rsid w:val="00752CC9"/>
    <w:rsid w:val="00753DF1"/>
    <w:rsid w:val="00753E1B"/>
    <w:rsid w:val="007564CE"/>
    <w:rsid w:val="007612E3"/>
    <w:rsid w:val="00761EA5"/>
    <w:rsid w:val="00761F6C"/>
    <w:rsid w:val="007624AD"/>
    <w:rsid w:val="00766F90"/>
    <w:rsid w:val="00786375"/>
    <w:rsid w:val="0078799B"/>
    <w:rsid w:val="0079025E"/>
    <w:rsid w:val="00790465"/>
    <w:rsid w:val="00790D44"/>
    <w:rsid w:val="007A4F37"/>
    <w:rsid w:val="007C02F0"/>
    <w:rsid w:val="007D07F1"/>
    <w:rsid w:val="007E3AA4"/>
    <w:rsid w:val="007E53AE"/>
    <w:rsid w:val="007E5C85"/>
    <w:rsid w:val="007E6054"/>
    <w:rsid w:val="007E6D47"/>
    <w:rsid w:val="007F2CE1"/>
    <w:rsid w:val="00800FD6"/>
    <w:rsid w:val="008017A0"/>
    <w:rsid w:val="008018C3"/>
    <w:rsid w:val="008033D8"/>
    <w:rsid w:val="00804ED1"/>
    <w:rsid w:val="008061C4"/>
    <w:rsid w:val="008136E2"/>
    <w:rsid w:val="00814564"/>
    <w:rsid w:val="008166DE"/>
    <w:rsid w:val="008201CA"/>
    <w:rsid w:val="00822135"/>
    <w:rsid w:val="00831097"/>
    <w:rsid w:val="00834A1B"/>
    <w:rsid w:val="00835E6B"/>
    <w:rsid w:val="00835EDC"/>
    <w:rsid w:val="00846F13"/>
    <w:rsid w:val="00855697"/>
    <w:rsid w:val="008664A7"/>
    <w:rsid w:val="00877913"/>
    <w:rsid w:val="008805F6"/>
    <w:rsid w:val="00882E15"/>
    <w:rsid w:val="008847BF"/>
    <w:rsid w:val="00891502"/>
    <w:rsid w:val="00896D53"/>
    <w:rsid w:val="008A1BE4"/>
    <w:rsid w:val="008A3FEA"/>
    <w:rsid w:val="008B3146"/>
    <w:rsid w:val="008B3EBE"/>
    <w:rsid w:val="008B67C1"/>
    <w:rsid w:val="008C1163"/>
    <w:rsid w:val="008C15C4"/>
    <w:rsid w:val="008C1E9D"/>
    <w:rsid w:val="008D0AFD"/>
    <w:rsid w:val="008E10DF"/>
    <w:rsid w:val="008E265C"/>
    <w:rsid w:val="008E266A"/>
    <w:rsid w:val="008F001D"/>
    <w:rsid w:val="008F2063"/>
    <w:rsid w:val="008F5C76"/>
    <w:rsid w:val="00912C7A"/>
    <w:rsid w:val="0091609F"/>
    <w:rsid w:val="0092217C"/>
    <w:rsid w:val="00925A9A"/>
    <w:rsid w:val="0092751F"/>
    <w:rsid w:val="0093093C"/>
    <w:rsid w:val="00933C00"/>
    <w:rsid w:val="00933FCB"/>
    <w:rsid w:val="009347B1"/>
    <w:rsid w:val="00935D87"/>
    <w:rsid w:val="009371CB"/>
    <w:rsid w:val="00937348"/>
    <w:rsid w:val="00942C75"/>
    <w:rsid w:val="0094314E"/>
    <w:rsid w:val="00956F38"/>
    <w:rsid w:val="009618FB"/>
    <w:rsid w:val="0096285E"/>
    <w:rsid w:val="009634DC"/>
    <w:rsid w:val="00963E04"/>
    <w:rsid w:val="009745DF"/>
    <w:rsid w:val="00976FA9"/>
    <w:rsid w:val="00983462"/>
    <w:rsid w:val="00984708"/>
    <w:rsid w:val="009876EF"/>
    <w:rsid w:val="009902CC"/>
    <w:rsid w:val="00992156"/>
    <w:rsid w:val="009A19AC"/>
    <w:rsid w:val="009B2EE5"/>
    <w:rsid w:val="009B3625"/>
    <w:rsid w:val="009C52F0"/>
    <w:rsid w:val="009D181D"/>
    <w:rsid w:val="009E24DC"/>
    <w:rsid w:val="009E71DB"/>
    <w:rsid w:val="009F391F"/>
    <w:rsid w:val="00A0396A"/>
    <w:rsid w:val="00A07070"/>
    <w:rsid w:val="00A1244A"/>
    <w:rsid w:val="00A12F41"/>
    <w:rsid w:val="00A13057"/>
    <w:rsid w:val="00A14400"/>
    <w:rsid w:val="00A2188D"/>
    <w:rsid w:val="00A22585"/>
    <w:rsid w:val="00A232D1"/>
    <w:rsid w:val="00A3632C"/>
    <w:rsid w:val="00A46BEA"/>
    <w:rsid w:val="00A52B38"/>
    <w:rsid w:val="00A55A74"/>
    <w:rsid w:val="00A562D7"/>
    <w:rsid w:val="00A56BB1"/>
    <w:rsid w:val="00A57BB8"/>
    <w:rsid w:val="00A66B73"/>
    <w:rsid w:val="00A67239"/>
    <w:rsid w:val="00A715F6"/>
    <w:rsid w:val="00A75280"/>
    <w:rsid w:val="00A75887"/>
    <w:rsid w:val="00A7619F"/>
    <w:rsid w:val="00A8239D"/>
    <w:rsid w:val="00A8777C"/>
    <w:rsid w:val="00A91F25"/>
    <w:rsid w:val="00A943A9"/>
    <w:rsid w:val="00A95735"/>
    <w:rsid w:val="00A95D78"/>
    <w:rsid w:val="00A965B0"/>
    <w:rsid w:val="00AB2CE2"/>
    <w:rsid w:val="00AB3C39"/>
    <w:rsid w:val="00AB6E4C"/>
    <w:rsid w:val="00AC2505"/>
    <w:rsid w:val="00AC389B"/>
    <w:rsid w:val="00AD0FF0"/>
    <w:rsid w:val="00AD3CBF"/>
    <w:rsid w:val="00AD4C74"/>
    <w:rsid w:val="00AE161E"/>
    <w:rsid w:val="00AE3AAA"/>
    <w:rsid w:val="00AE78CC"/>
    <w:rsid w:val="00AE7FE9"/>
    <w:rsid w:val="00AF1663"/>
    <w:rsid w:val="00AF17A9"/>
    <w:rsid w:val="00AF2012"/>
    <w:rsid w:val="00AF4C6E"/>
    <w:rsid w:val="00B03EB9"/>
    <w:rsid w:val="00B10945"/>
    <w:rsid w:val="00B141B2"/>
    <w:rsid w:val="00B24439"/>
    <w:rsid w:val="00B33FA2"/>
    <w:rsid w:val="00B362E5"/>
    <w:rsid w:val="00B404AC"/>
    <w:rsid w:val="00B408FC"/>
    <w:rsid w:val="00B47C6F"/>
    <w:rsid w:val="00B6099E"/>
    <w:rsid w:val="00B6257C"/>
    <w:rsid w:val="00B65739"/>
    <w:rsid w:val="00B66970"/>
    <w:rsid w:val="00B73AC6"/>
    <w:rsid w:val="00B773F1"/>
    <w:rsid w:val="00B80C2B"/>
    <w:rsid w:val="00B90D20"/>
    <w:rsid w:val="00B91806"/>
    <w:rsid w:val="00B95EE8"/>
    <w:rsid w:val="00B96F47"/>
    <w:rsid w:val="00BA0693"/>
    <w:rsid w:val="00BA1C8A"/>
    <w:rsid w:val="00BA358B"/>
    <w:rsid w:val="00BA61AD"/>
    <w:rsid w:val="00BA70DB"/>
    <w:rsid w:val="00BA7E2A"/>
    <w:rsid w:val="00BC4CF5"/>
    <w:rsid w:val="00BC6195"/>
    <w:rsid w:val="00BC7F0E"/>
    <w:rsid w:val="00BD7B99"/>
    <w:rsid w:val="00BE1214"/>
    <w:rsid w:val="00BE4E0D"/>
    <w:rsid w:val="00BE7911"/>
    <w:rsid w:val="00BF4340"/>
    <w:rsid w:val="00C12DEC"/>
    <w:rsid w:val="00C31756"/>
    <w:rsid w:val="00C4196D"/>
    <w:rsid w:val="00C41B8F"/>
    <w:rsid w:val="00C41CA9"/>
    <w:rsid w:val="00C46A01"/>
    <w:rsid w:val="00C6564B"/>
    <w:rsid w:val="00C77535"/>
    <w:rsid w:val="00C800FF"/>
    <w:rsid w:val="00C8730D"/>
    <w:rsid w:val="00C907B4"/>
    <w:rsid w:val="00C923F1"/>
    <w:rsid w:val="00C935BD"/>
    <w:rsid w:val="00C935F7"/>
    <w:rsid w:val="00C938A7"/>
    <w:rsid w:val="00C950C2"/>
    <w:rsid w:val="00C95F44"/>
    <w:rsid w:val="00CA1E1E"/>
    <w:rsid w:val="00CA2C26"/>
    <w:rsid w:val="00CA7ECE"/>
    <w:rsid w:val="00CB73CB"/>
    <w:rsid w:val="00CD02F3"/>
    <w:rsid w:val="00CD476E"/>
    <w:rsid w:val="00CD51D4"/>
    <w:rsid w:val="00CE05E7"/>
    <w:rsid w:val="00CE4A02"/>
    <w:rsid w:val="00CF13DF"/>
    <w:rsid w:val="00CF29B1"/>
    <w:rsid w:val="00CF69CC"/>
    <w:rsid w:val="00D06810"/>
    <w:rsid w:val="00D14E73"/>
    <w:rsid w:val="00D16046"/>
    <w:rsid w:val="00D20056"/>
    <w:rsid w:val="00D20A49"/>
    <w:rsid w:val="00D3317D"/>
    <w:rsid w:val="00D41365"/>
    <w:rsid w:val="00D43864"/>
    <w:rsid w:val="00D44A06"/>
    <w:rsid w:val="00D5362B"/>
    <w:rsid w:val="00D55588"/>
    <w:rsid w:val="00D61715"/>
    <w:rsid w:val="00D62433"/>
    <w:rsid w:val="00D829E6"/>
    <w:rsid w:val="00D841D2"/>
    <w:rsid w:val="00D85B25"/>
    <w:rsid w:val="00D874E5"/>
    <w:rsid w:val="00D9082F"/>
    <w:rsid w:val="00D909C9"/>
    <w:rsid w:val="00D91C61"/>
    <w:rsid w:val="00D92735"/>
    <w:rsid w:val="00DA7150"/>
    <w:rsid w:val="00DA73C1"/>
    <w:rsid w:val="00DB211A"/>
    <w:rsid w:val="00DC6358"/>
    <w:rsid w:val="00DC6900"/>
    <w:rsid w:val="00DD05F9"/>
    <w:rsid w:val="00DD5C2D"/>
    <w:rsid w:val="00DD7022"/>
    <w:rsid w:val="00DE04B8"/>
    <w:rsid w:val="00DE51C4"/>
    <w:rsid w:val="00DE5649"/>
    <w:rsid w:val="00DF0F9F"/>
    <w:rsid w:val="00DF26CC"/>
    <w:rsid w:val="00DF33E1"/>
    <w:rsid w:val="00DF57F5"/>
    <w:rsid w:val="00DF665B"/>
    <w:rsid w:val="00E04AE8"/>
    <w:rsid w:val="00E10D7D"/>
    <w:rsid w:val="00E13034"/>
    <w:rsid w:val="00E130A2"/>
    <w:rsid w:val="00E1484D"/>
    <w:rsid w:val="00E158EC"/>
    <w:rsid w:val="00E16760"/>
    <w:rsid w:val="00E1759F"/>
    <w:rsid w:val="00E17DE7"/>
    <w:rsid w:val="00E2111B"/>
    <w:rsid w:val="00E30887"/>
    <w:rsid w:val="00E30B5A"/>
    <w:rsid w:val="00E3276E"/>
    <w:rsid w:val="00E356F7"/>
    <w:rsid w:val="00E4399C"/>
    <w:rsid w:val="00E454E2"/>
    <w:rsid w:val="00E4654E"/>
    <w:rsid w:val="00E54027"/>
    <w:rsid w:val="00E55708"/>
    <w:rsid w:val="00E57535"/>
    <w:rsid w:val="00E60562"/>
    <w:rsid w:val="00E62B2C"/>
    <w:rsid w:val="00E62F6C"/>
    <w:rsid w:val="00E63EB6"/>
    <w:rsid w:val="00E64B9D"/>
    <w:rsid w:val="00E667D3"/>
    <w:rsid w:val="00E66FAB"/>
    <w:rsid w:val="00E81141"/>
    <w:rsid w:val="00E85E78"/>
    <w:rsid w:val="00E87217"/>
    <w:rsid w:val="00E90E00"/>
    <w:rsid w:val="00E92274"/>
    <w:rsid w:val="00EA6486"/>
    <w:rsid w:val="00EA7737"/>
    <w:rsid w:val="00EA79B1"/>
    <w:rsid w:val="00EB0FA2"/>
    <w:rsid w:val="00EC3EC1"/>
    <w:rsid w:val="00EC5DA4"/>
    <w:rsid w:val="00ED0DE0"/>
    <w:rsid w:val="00ED1C89"/>
    <w:rsid w:val="00ED250A"/>
    <w:rsid w:val="00ED52E3"/>
    <w:rsid w:val="00ED5548"/>
    <w:rsid w:val="00ED6788"/>
    <w:rsid w:val="00EE49B6"/>
    <w:rsid w:val="00EE7BF4"/>
    <w:rsid w:val="00EF0D07"/>
    <w:rsid w:val="00EF1B2C"/>
    <w:rsid w:val="00F1487F"/>
    <w:rsid w:val="00F20B7A"/>
    <w:rsid w:val="00F27B1C"/>
    <w:rsid w:val="00F4035A"/>
    <w:rsid w:val="00F41329"/>
    <w:rsid w:val="00F427E8"/>
    <w:rsid w:val="00F4313C"/>
    <w:rsid w:val="00F53B5A"/>
    <w:rsid w:val="00F55E6D"/>
    <w:rsid w:val="00F607E3"/>
    <w:rsid w:val="00F65EB1"/>
    <w:rsid w:val="00F6780A"/>
    <w:rsid w:val="00F70186"/>
    <w:rsid w:val="00F714BB"/>
    <w:rsid w:val="00F82060"/>
    <w:rsid w:val="00F87F26"/>
    <w:rsid w:val="00F90ECB"/>
    <w:rsid w:val="00F97C84"/>
    <w:rsid w:val="00FA0532"/>
    <w:rsid w:val="00FB2836"/>
    <w:rsid w:val="00FB3DBA"/>
    <w:rsid w:val="00FB4004"/>
    <w:rsid w:val="00FC3BD5"/>
    <w:rsid w:val="00FC440E"/>
    <w:rsid w:val="00FC5D41"/>
    <w:rsid w:val="00FC73C3"/>
    <w:rsid w:val="00FD3055"/>
    <w:rsid w:val="00FE1A81"/>
    <w:rsid w:val="00FE1E13"/>
    <w:rsid w:val="00FE7489"/>
    <w:rsid w:val="00FE7BCC"/>
    <w:rsid w:val="00FF4210"/>
    <w:rsid w:val="00FF4548"/>
    <w:rsid w:val="00FF68F1"/>
    <w:rsid w:val="00FF73E0"/>
    <w:rsid w:val="04023AE7"/>
    <w:rsid w:val="26C25D77"/>
    <w:rsid w:val="2B592EAF"/>
    <w:rsid w:val="2CE645C6"/>
    <w:rsid w:val="2DCF1999"/>
    <w:rsid w:val="33484E9D"/>
    <w:rsid w:val="356A727B"/>
    <w:rsid w:val="3C897C1E"/>
    <w:rsid w:val="3CF75088"/>
    <w:rsid w:val="40F70FAE"/>
    <w:rsid w:val="4DBF11A8"/>
    <w:rsid w:val="6377272F"/>
    <w:rsid w:val="69E9383E"/>
    <w:rsid w:val="6CC545C9"/>
    <w:rsid w:val="7B6C68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tabs>
        <w:tab w:val="center" w:pos="4153"/>
        <w:tab w:val="right" w:pos="8306"/>
      </w:tabs>
      <w:snapToGrid w:val="0"/>
      <w:jc w:val="center"/>
    </w:pPr>
    <w:rPr>
      <w:sz w:val="18"/>
      <w:szCs w:val="18"/>
    </w:rPr>
  </w:style>
  <w:style w:type="paragraph" w:styleId="5">
    <w:name w:val="footnote text"/>
    <w:basedOn w:val="1"/>
    <w:link w:val="19"/>
    <w:semiHidden/>
    <w:unhideWhenUsed/>
    <w:qFormat/>
    <w:uiPriority w:val="99"/>
    <w:pPr>
      <w:snapToGrid w:val="0"/>
      <w:jc w:val="left"/>
    </w:pPr>
    <w:rPr>
      <w:sz w:val="18"/>
      <w:szCs w:val="18"/>
    </w:rPr>
  </w:style>
  <w:style w:type="paragraph" w:styleId="6">
    <w:name w:val="annotation subject"/>
    <w:basedOn w:val="2"/>
    <w:next w:val="2"/>
    <w:link w:val="17"/>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styleId="11">
    <w:name w:val="footnote reference"/>
    <w:basedOn w:val="9"/>
    <w:semiHidden/>
    <w:unhideWhenUsed/>
    <w:qFormat/>
    <w:uiPriority w:val="99"/>
    <w:rPr>
      <w:vertAlign w:val="superscript"/>
    </w:rPr>
  </w:style>
  <w:style w:type="character" w:customStyle="1" w:styleId="12">
    <w:name w:val="页眉 字符"/>
    <w:basedOn w:val="9"/>
    <w:link w:val="4"/>
    <w:qFormat/>
    <w:uiPriority w:val="99"/>
    <w:rPr>
      <w:sz w:val="18"/>
      <w:szCs w:val="18"/>
    </w:rPr>
  </w:style>
  <w:style w:type="character" w:customStyle="1" w:styleId="13">
    <w:name w:val="页脚 字符"/>
    <w:basedOn w:val="9"/>
    <w:link w:val="3"/>
    <w:qFormat/>
    <w:uiPriority w:val="99"/>
    <w:rPr>
      <w:sz w:val="18"/>
      <w:szCs w:val="18"/>
    </w:rPr>
  </w:style>
  <w:style w:type="paragraph" w:styleId="14">
    <w:name w:val="List Paragraph"/>
    <w:basedOn w:val="1"/>
    <w:autoRedefine/>
    <w:qFormat/>
    <w:uiPriority w:val="99"/>
    <w:pPr>
      <w:widowControl/>
      <w:kinsoku w:val="0"/>
      <w:autoSpaceDE w:val="0"/>
      <w:autoSpaceDN w:val="0"/>
      <w:adjustRightInd w:val="0"/>
      <w:snapToGrid w:val="0"/>
      <w:spacing w:line="360" w:lineRule="auto"/>
      <w:textAlignment w:val="top"/>
    </w:pPr>
    <w:rPr>
      <w:rFonts w:ascii="仿宋" w:hAnsi="仿宋" w:eastAsia="仿宋"/>
      <w:sz w:val="24"/>
      <w:szCs w:val="24"/>
      <w14:ligatures w14:val="none"/>
    </w:rPr>
  </w:style>
  <w:style w:type="paragraph" w:customStyle="1" w:styleId="15">
    <w:name w:val="1"/>
    <w:basedOn w:val="1"/>
    <w:next w:val="14"/>
    <w:qFormat/>
    <w:uiPriority w:val="0"/>
    <w:pPr>
      <w:ind w:firstLine="420" w:firstLineChars="200"/>
    </w:pPr>
    <w:rPr>
      <w:rFonts w:ascii="Calibri" w:hAnsi="Calibri" w:eastAsia="宋体" w:cs="Times New Roman"/>
      <w14:ligatures w14:val="none"/>
    </w:rPr>
  </w:style>
  <w:style w:type="character" w:customStyle="1" w:styleId="16">
    <w:name w:val="批注文字 字符"/>
    <w:basedOn w:val="9"/>
    <w:link w:val="2"/>
    <w:semiHidden/>
    <w:qFormat/>
    <w:uiPriority w:val="99"/>
  </w:style>
  <w:style w:type="character" w:customStyle="1" w:styleId="17">
    <w:name w:val="批注主题 字符"/>
    <w:basedOn w:val="16"/>
    <w:link w:val="6"/>
    <w:semiHidden/>
    <w:qFormat/>
    <w:uiPriority w:val="99"/>
    <w:rPr>
      <w:b/>
      <w:bCs/>
    </w:rPr>
  </w:style>
  <w:style w:type="paragraph" w:customStyle="1" w:styleId="18">
    <w:name w:val="Revision"/>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character" w:customStyle="1" w:styleId="19">
    <w:name w:val="脚注文本 字符"/>
    <w:basedOn w:val="9"/>
    <w:link w:val="5"/>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自定义 1">
      <a:dk1>
        <a:srgbClr val="FFFFFF"/>
      </a:dk1>
      <a:lt1>
        <a:sysClr val="window" lastClr="FFFFFF"/>
      </a:lt1>
      <a:dk2>
        <a:srgbClr val="FFFFFF"/>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C66D8-1958-4D6D-8434-D123C8E15C58}">
  <ds:schemaRefs/>
</ds:datastoreItem>
</file>

<file path=docProps/app.xml><?xml version="1.0" encoding="utf-8"?>
<Properties xmlns="http://schemas.openxmlformats.org/officeDocument/2006/extended-properties" xmlns:vt="http://schemas.openxmlformats.org/officeDocument/2006/docPropsVTypes">
  <Template>Normal.dotm</Template>
  <Pages>8</Pages>
  <Words>2159</Words>
  <Characters>2159</Characters>
  <Lines>6</Lines>
  <Paragraphs>1</Paragraphs>
  <TotalTime>9</TotalTime>
  <ScaleCrop>false</ScaleCrop>
  <LinksUpToDate>false</LinksUpToDate>
  <CharactersWithSpaces>2171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2024-09-17T08:24:00Z</dcterms:created>
  <dc:creator>13918013716@163.com</dc:creator>
  <cp:lastModifiedBy>陈韵竹</cp:lastModifiedBy>
  <cp:lastPrinted>2024-07-07T14:28:00Z</cp:lastPrinted>
  <dcterms:modified xsi:type="dcterms:W3CDTF">2025-11-19T12:53:56Z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65C8AB4CD3214259823AA29765B1843F_13</vt:lpwstr>
  </property>
  <property fmtid="{D5CDD505-2E9C-101B-9397-08002B2CF9AE}" pid="4" name="KSOTemplateDocerSaveRecord">
    <vt:lpwstr>eyJoZGlkIjoiZjA2YzYwYmFjNjE1M2ZlZTg0MzJlMDRjMzZjODZiYzEiLCJ1c2VySWQiOiIxNjAxOTg2MjczIn0=</vt:lpwstr>
  </property>
</Properties>
</file>