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75E7E">
      <w:pPr>
        <w:jc w:val="center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以阅读赋能素养：核心素养导向下科学阅读策略的实践探索</w:t>
      </w:r>
    </w:p>
    <w:p w14:paraId="106308E7">
      <w:pPr>
        <w:numPr>
          <w:ilvl w:val="0"/>
          <w:numId w:val="0"/>
        </w:numPr>
        <w:jc w:val="center"/>
        <w:rPr>
          <w:rFonts w:hint="eastAsia" w:ascii="楷体_GB2312" w:hAnsi="楷体_GB2312" w:eastAsia="楷体_GB2312" w:cs="楷体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上海市徐汇区教育学院附属实验中学南部分校  朱霄卉</w:t>
      </w:r>
    </w:p>
    <w:p w14:paraId="10C35105">
      <w:pPr>
        <w:pStyle w:val="2"/>
        <w:rPr>
          <w:rFonts w:hint="eastAsia"/>
          <w:sz w:val="21"/>
          <w:szCs w:val="21"/>
          <w:lang w:eastAsia="zh-CN"/>
        </w:rPr>
      </w:pPr>
    </w:p>
    <w:p w14:paraId="33BEE92D">
      <w:pPr>
        <w:numPr>
          <w:ilvl w:val="0"/>
          <w:numId w:val="0"/>
        </w:numPr>
        <w:ind w:firstLine="420" w:firstLineChars="200"/>
        <w:jc w:val="both"/>
        <w:rPr>
          <w:rFonts w:hint="default"/>
          <w:color w:val="000000" w:themeColor="text1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科学阅读是提升全民科学素质和促进学生核心素养形成的重要途径</w:t>
      </w:r>
      <w:r>
        <w:rPr>
          <w:rFonts w:hint="default" w:ascii="Calibri" w:hAnsi="Calibri" w:cs="Calibri"/>
          <w:color w:val="000000" w:themeColor="text1"/>
          <w:vertAlign w:val="superscript"/>
          <w:lang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default"/>
          <w:color w:val="000000" w:themeColor="text1"/>
          <w:vertAlign w:val="baseli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color w:val="000000" w:themeColor="text1"/>
          <w:vertAlign w:val="baseline"/>
          <w:lang w:val="en-US" w:eastAsia="zh-CN"/>
          <w14:textFill>
            <w14:solidFill>
              <w14:schemeClr w14:val="tx1"/>
            </w14:solidFill>
          </w14:textFill>
        </w:rPr>
        <w:t>作为</w:t>
      </w:r>
      <w:r>
        <w:rPr>
          <w:rFonts w:hint="default"/>
          <w:color w:val="000000" w:themeColor="text1"/>
          <w:vertAlign w:val="baseline"/>
          <w:lang w:eastAsia="zh-CN"/>
          <w14:textFill>
            <w14:solidFill>
              <w14:schemeClr w14:val="tx1"/>
            </w14:solidFill>
          </w14:textFill>
        </w:rPr>
        <w:t>科学教育的一种基本途径，科学阅读有助于学生科学知识的积累、科学概念的准确构建，能使学生形成科学思维，提升解决问题的能力，并在此过程中逐渐形成严谨求实的科学态度，从而提升科学素质。</w:t>
      </w:r>
    </w:p>
    <w:p w14:paraId="57A1DED4">
      <w:pPr>
        <w:pStyle w:val="2"/>
        <w:jc w:val="both"/>
        <w:rPr>
          <w:rFonts w:hint="default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一、问题的提出</w:t>
      </w:r>
    </w:p>
    <w:p w14:paraId="7386AE77">
      <w:pPr>
        <w:numPr>
          <w:ilvl w:val="0"/>
          <w:numId w:val="0"/>
        </w:numPr>
        <w:ind w:firstLine="420" w:firstLineChars="200"/>
        <w:jc w:val="both"/>
        <w:rPr>
          <w:rFonts w:hint="default" w:ascii="Calibri" w:hAnsi="Calibri" w:cs="Calibri"/>
          <w:color w:val="000000" w:themeColor="text1"/>
          <w:vertAlign w:val="superscript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《义务教育科学课程标准（2022年版）》明确了科学核心素养的四个维度：科学观念、科学思维、探究实践、态度责任。科学阅读是达成核心素养的重要手段之一，</w:t>
      </w:r>
      <w:r>
        <w:rPr>
          <w:rFonts w:hint="default" w:ascii="Calibri" w:hAnsi="Calibri" w:cs="Calibri"/>
          <w:color w:val="000000" w:themeColor="text1"/>
          <w:vertAlign w:val="baseline"/>
          <w:lang w:eastAsia="zh-CN"/>
          <w14:textFill>
            <w14:solidFill>
              <w14:schemeClr w14:val="tx1"/>
            </w14:solidFill>
          </w14:textFill>
        </w:rPr>
        <w:t>学生通过阅读科技史与科普文章建构科学观念；通过分析论证文本与科学家故事发展科学思维；通过研读实验报告学习探究实践方法；通过探讨科技社会议题培育态度与责任感</w:t>
      </w:r>
      <w:r>
        <w:rPr>
          <w:rFonts w:hint="default" w:ascii="Calibri" w:hAnsi="Calibri" w:cs="Calibri"/>
          <w:color w:val="000000" w:themeColor="text1"/>
          <w:vertAlign w:val="superscript"/>
          <w:lang w:eastAsia="zh-CN"/>
          <w14:textFill>
            <w14:solidFill>
              <w14:schemeClr w14:val="tx1"/>
            </w14:solidFill>
          </w14:textFill>
        </w:rPr>
        <w:t>②</w:t>
      </w:r>
      <w:r>
        <w:rPr>
          <w:rFonts w:hint="default" w:ascii="Calibri" w:hAnsi="Calibri" w:cs="Calibri"/>
          <w:color w:val="000000" w:themeColor="text1"/>
          <w:vertAlign w:val="baseli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0C3D126">
      <w:pPr>
        <w:numPr>
          <w:ilvl w:val="0"/>
          <w:numId w:val="0"/>
        </w:numPr>
        <w:ind w:firstLine="420" w:firstLineChars="200"/>
        <w:jc w:val="both"/>
        <w:rPr>
          <w:rFonts w:hint="default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随着新版的科学课程标准的出台，各版本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教材中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呈现与科学知识相关的的图表、数据资料，或以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独立栏目呈现“科学阅读”，但在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实际教学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中常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被忽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略或流于形式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读什么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怎么读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何时读”成为亟待解决的问题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。为此，本研究立足科学课堂，尝试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依据不同阅读材料设计差异化阅读策略，旨在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提高学生的科学阅读能力，从而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促进其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核心素养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发展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EE48A57">
      <w:pPr>
        <w:numPr>
          <w:ilvl w:val="0"/>
          <w:numId w:val="0"/>
        </w:numPr>
        <w:jc w:val="both"/>
        <w:rPr>
          <w:rFonts w:hint="default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OLE_LINK2"/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二、科学阅读的育人价值</w:t>
      </w:r>
    </w:p>
    <w:p w14:paraId="13199EF1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科学阅读有助于学生积累科学知识，理解科学概念，训练科学思维，提升解决问题的能力，逐渐形成科学态度和社会责任，</w:t>
      </w: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是培育</w:t>
      </w: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核心素养</w:t>
      </w: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的关键环节</w:t>
      </w:r>
      <w:r>
        <w:rPr>
          <w:rFonts w:hint="default" w:ascii="Calibri" w:hAnsi="Calibri" w:cs="Calibri"/>
          <w:color w:val="000000" w:themeColor="text1"/>
          <w:sz w:val="21"/>
          <w:szCs w:val="21"/>
          <w:vertAlign w:val="superscript"/>
          <w:lang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default"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0735DA0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第一，</w:t>
      </w: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促进科学思维发展</w:t>
      </w: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Style w:val="10"/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科学阅读文本通常具有“问题-证据-结论”的结构。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学生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在教师引导下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梳理逻辑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辨别观点与证据，逐步学会质疑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评估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而非被动接受结论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有助于培养逻辑与批判性思维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。跨学科的科学阅读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有助于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打破教材章节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壁垒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，帮助学生建立知识联系，形成系统思维，学会多角度分析复杂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val="en-US" w:eastAsia="zh-CN"/>
          <w14:textFill>
            <w14:solidFill>
              <w14:schemeClr w14:val="tx1"/>
            </w14:solidFill>
          </w14:textFill>
        </w:rPr>
        <w:t>现实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4843102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630" w:leftChars="200" w:right="0" w:hanging="210" w:hangingChars="100"/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第二，</w:t>
      </w: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助力科学概念建构</w:t>
      </w: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。科学阅读是</w:t>
      </w: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学生以原有</w:t>
      </w: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知识经验</w:t>
      </w: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为基础，对文本信息进行主</w:t>
      </w:r>
    </w:p>
    <w:p w14:paraId="124E64A1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right="0"/>
        <w:rPr>
          <w:rFonts w:hint="default"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动再建构的过程。广泛而系统的科学阅读，是形成正确、完整科学概念的重要基础</w:t>
      </w: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并能推动学生的理解从事实记忆迈向逻辑推理阶段</w:t>
      </w:r>
      <w:r>
        <w:rPr>
          <w:rFonts w:hint="default"/>
          <w:color w:val="000000" w:themeColor="text1"/>
          <w:sz w:val="21"/>
          <w:szCs w:val="21"/>
          <w:vertAlign w:val="superscript"/>
          <w:lang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sz w:val="21"/>
          <w:szCs w:val="21"/>
          <w:vertAlign w:val="superscript"/>
          <w:lang w:eastAsia="zh-CN"/>
          <w14:textFill>
            <w14:solidFill>
              <w14:schemeClr w14:val="tx1"/>
            </w14:solidFill>
          </w14:textFill>
        </w:rPr>
        <w:instrText xml:space="preserve"> = 4 \* GB3 \* MERGEFORMAT </w:instrText>
      </w:r>
      <w:r>
        <w:rPr>
          <w:rFonts w:hint="default"/>
          <w:color w:val="000000" w:themeColor="text1"/>
          <w:sz w:val="21"/>
          <w:szCs w:val="21"/>
          <w:vertAlign w:val="superscript"/>
          <w:lang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color w:val="000000" w:themeColor="text1"/>
          <w:sz w:val="21"/>
          <w:szCs w:val="21"/>
          <w:vertAlign w:val="superscript"/>
          <w14:textFill>
            <w14:solidFill>
              <w14:schemeClr w14:val="tx1"/>
            </w14:solidFill>
          </w14:textFill>
        </w:rPr>
        <w:t>④</w:t>
      </w:r>
      <w:r>
        <w:rPr>
          <w:rFonts w:hint="default"/>
          <w:color w:val="000000" w:themeColor="text1"/>
          <w:sz w:val="21"/>
          <w:szCs w:val="21"/>
          <w:vertAlign w:val="superscript"/>
          <w:lang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sz w:val="21"/>
          <w:szCs w:val="21"/>
          <w:vertAlign w:val="baseli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0694B67D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inorEastAsia" w:hAnsiTheme="minorEastAsia" w:cs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第三，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塑造科学态度与</w:t>
      </w:r>
      <w:r>
        <w:rPr>
          <w:rFonts w:hint="eastAsia" w:asciiTheme="minorEastAsia" w:hAnsiTheme="minorEastAsia" w:eastAsiaTheme="minorEastAsia" w:cstheme="minor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社会责任</w:t>
      </w:r>
      <w:r>
        <w:rPr>
          <w:rFonts w:hint="default" w:asciiTheme="minorEastAsia" w:hAnsiTheme="minorEastAsia" w:cstheme="minor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Songti SC Regular" w:hAnsi="Songti SC Regular" w:eastAsia="Songti SC Regular" w:cs="Songti SC Regular"/>
          <w:i w:val="0"/>
          <w:caps w:val="0"/>
          <w:color w:val="000000" w:themeColor="text1"/>
          <w:spacing w:val="0"/>
          <w:kern w:val="0"/>
          <w:sz w:val="21"/>
          <w:szCs w:val="21"/>
          <w:u w:val="none"/>
          <w:shd w:val="clear" w:fill="FFFFFF"/>
          <w:lang w:val="en-US" w:eastAsia="zh-CN" w:bidi="ar"/>
          <w14:textFill>
            <w14:solidFill>
              <w14:schemeClr w14:val="tx1"/>
            </w14:solidFill>
          </w14:textFill>
        </w:rPr>
        <w:t>通过阅读科学史上成功与失败的案例，学生能体会科学的严谨性，树立求真务实、敢于质疑的精神。通过科学家故事及科技史类资料，有助于形成科技服务社会的责任意识。</w:t>
      </w:r>
      <w:bookmarkEnd w:id="0"/>
    </w:p>
    <w:p w14:paraId="1E6D68D6">
      <w:pPr>
        <w:numPr>
          <w:ilvl w:val="0"/>
          <w:numId w:val="0"/>
        </w:numPr>
        <w:jc w:val="both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三、科学阅读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策略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的实践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应用</w:t>
      </w:r>
    </w:p>
    <w:p w14:paraId="2315B98C">
      <w:pPr>
        <w:numPr>
          <w:ilvl w:val="0"/>
          <w:numId w:val="0"/>
        </w:numPr>
        <w:ind w:firstLine="420" w:firstLineChars="200"/>
        <w:jc w:val="both"/>
        <w:rPr>
          <w:rFonts w:hint="default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进行《义务教育教科书》（五.四学制）科学六年级上册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教学实践中，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针对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教材中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图文</w:t>
      </w:r>
      <w:bookmarkStart w:id="2" w:name="_GoBack"/>
      <w:bookmarkEnd w:id="2"/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类、生活现象解释类、科学家故事类等科学阅读材料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进行了相关策略的实践，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以下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配以具体案例进行说明。</w:t>
      </w:r>
    </w:p>
    <w:p w14:paraId="77F8C8E3">
      <w:pPr>
        <w:numPr>
          <w:ilvl w:val="0"/>
          <w:numId w:val="1"/>
        </w:numPr>
        <w:jc w:val="both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在主动建构中掌握核心概念---“三步阅读法”策略应用</w:t>
      </w:r>
    </w:p>
    <w:p w14:paraId="2D77DD21">
      <w:pPr>
        <w:pStyle w:val="2"/>
        <w:numPr>
          <w:ilvl w:val="0"/>
          <w:numId w:val="0"/>
        </w:numPr>
        <w:jc w:val="both"/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1.“三步阅读法”策略的内涵</w:t>
      </w:r>
    </w:p>
    <w:p w14:paraId="15B82E48">
      <w:pPr>
        <w:numPr>
          <w:ilvl w:val="0"/>
          <w:numId w:val="0"/>
        </w:numPr>
        <w:ind w:firstLine="420" w:firstLineChars="200"/>
        <w:jc w:val="both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bookmarkStart w:id="1" w:name="OLE_LINK1"/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三步阅读法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是指通过“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提问与预测、阅读与提取、推理与建模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三个环节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，引导学生像科学家一样阅读，培养学生主动构建的能力。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提问与预测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指激活背景知识，明确阅读目标；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阅读与提取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指获取关键信息，区分事实与细节；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推理与建模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指整合信息，构建逻辑模型，形成科学解释。</w:t>
      </w:r>
    </w:p>
    <w:p w14:paraId="789B6B83">
      <w:pPr>
        <w:pStyle w:val="2"/>
        <w:jc w:val="both"/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2.“三步阅读法”策略的应用</w:t>
      </w:r>
    </w:p>
    <w:p w14:paraId="7109C68B">
      <w:pPr>
        <w:numPr>
          <w:ilvl w:val="0"/>
          <w:numId w:val="0"/>
        </w:numPr>
        <w:ind w:firstLine="420" w:firstLineChars="200"/>
        <w:jc w:val="both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笔者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将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三步阅读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，系统地融入到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第3单元生命的延续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《生物体是如何一代代延续生命的》这一课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时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的教学中，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引导学生充分阅读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教材中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图文信息及补充的视频信息，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期望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提升学生处理图文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及视频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的能力，主动建构关于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生命延续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的科学模型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7BBCF9BC">
      <w:pPr>
        <w:numPr>
          <w:ilvl w:val="0"/>
          <w:numId w:val="0"/>
        </w:numPr>
        <w:jc w:val="center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表1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三步阅读法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实践案例（选取部分）</w:t>
      </w:r>
    </w:p>
    <w:tbl>
      <w:tblPr>
        <w:tblStyle w:val="8"/>
        <w:tblW w:w="86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4105"/>
        <w:gridCol w:w="2071"/>
      </w:tblGrid>
      <w:tr w14:paraId="5D66C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0" w:type="dxa"/>
          </w:tcPr>
          <w:p w14:paraId="5195CC7D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三步阅读法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的应用</w:t>
            </w:r>
          </w:p>
        </w:tc>
        <w:tc>
          <w:tcPr>
            <w:tcW w:w="4105" w:type="dxa"/>
          </w:tcPr>
          <w:p w14:paraId="582DAE5C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学生活动</w:t>
            </w:r>
          </w:p>
        </w:tc>
        <w:tc>
          <w:tcPr>
            <w:tcW w:w="2071" w:type="dxa"/>
          </w:tcPr>
          <w:p w14:paraId="6EA17928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对标核心素养</w:t>
            </w:r>
          </w:p>
        </w:tc>
      </w:tr>
      <w:tr w14:paraId="07ED9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0" w:type="dxa"/>
          </w:tcPr>
          <w:p w14:paraId="494875DF">
            <w:pPr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启动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提问与预测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  <w:tc>
          <w:tcPr>
            <w:tcW w:w="4105" w:type="dxa"/>
          </w:tcPr>
          <w:p w14:paraId="4DDE4DE5">
            <w:pPr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【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情境导入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】</w:t>
            </w:r>
          </w:p>
          <w:p w14:paraId="057A9F48">
            <w:pPr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观</w:t>
            </w: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察亲子照片，完成配对，引导主动提问“为什么你身上有何父母相似的地方？”</w:t>
            </w:r>
          </w:p>
          <w:p w14:paraId="5FDB1EFF">
            <w:pPr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预测：精子和卵子具备哪些特殊结构完成生命延续的使命。</w:t>
            </w:r>
          </w:p>
        </w:tc>
        <w:tc>
          <w:tcPr>
            <w:tcW w:w="2071" w:type="dxa"/>
          </w:tcPr>
          <w:p w14:paraId="7712D39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激活科学探究意识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，培养好奇心和问题意识。</w:t>
            </w:r>
          </w:p>
          <w:p w14:paraId="08BCA50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0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初步建立假设能力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，体现科学思维中的预测与推理。</w:t>
            </w:r>
          </w:p>
        </w:tc>
      </w:tr>
      <w:tr w14:paraId="54504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0" w:type="dxa"/>
          </w:tcPr>
          <w:p w14:paraId="5AA8A003">
            <w:pPr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实践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阅读与提取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（图像信息）</w:t>
            </w:r>
          </w:p>
          <w:p w14:paraId="29C1EDF1">
            <w:pPr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首次阅读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两种特殊细胞的真实样貌，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提取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精子和卵子的形态特征。</w:t>
            </w:r>
          </w:p>
          <w:p w14:paraId="0335612C">
            <w:pPr>
              <w:pStyle w:val="2"/>
              <w:jc w:val="both"/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9690270">
            <w:pP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0AC2FB14">
            <w:pPr>
              <w:pStyle w:val="2"/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2BF0B8F1">
            <w:pPr>
              <w:numPr>
                <w:ilvl w:val="0"/>
                <w:numId w:val="0"/>
              </w:numPr>
              <w:jc w:val="both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深度阅读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精子和卵子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结构模式图，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提取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文字或图片中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描述性信息。</w:t>
            </w:r>
          </w:p>
          <w:p w14:paraId="327051C6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5" w:type="dxa"/>
          </w:tcPr>
          <w:p w14:paraId="2DA98B86">
            <w:pPr>
              <w:numPr>
                <w:ilvl w:val="0"/>
                <w:numId w:val="0"/>
              </w:numPr>
              <w:jc w:val="left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【</w:t>
            </w: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观察精子和卵子</w:t>
            </w:r>
            <w:r>
              <w:rPr>
                <w:rFonts w:hint="eastAsia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】</w:t>
            </w:r>
          </w:p>
          <w:p w14:paraId="58D71F5B">
            <w:pPr>
              <w:numPr>
                <w:ilvl w:val="0"/>
                <w:numId w:val="0"/>
              </w:numPr>
              <w:jc w:val="left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观察显微照片，记录精子和卵子形态特征。</w:t>
            </w:r>
          </w:p>
          <w:p w14:paraId="4175525B">
            <w:pPr>
              <w:numPr>
                <w:ilvl w:val="0"/>
                <w:numId w:val="0"/>
              </w:numPr>
              <w:jc w:val="left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314575" cy="1447165"/>
                  <wp:effectExtent l="0" t="0" r="1905" b="635"/>
                  <wp:docPr id="1" name="图片 1" descr="C:\Users\admin\Desktop\微信图片_20260106090944_334_40.png微信图片_20260106090944_334_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\Desktop\微信图片_20260106090944_334_40.png微信图片_20260106090944_334_4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4575" cy="1447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64B79A">
            <w:pPr>
              <w:numPr>
                <w:ilvl w:val="0"/>
                <w:numId w:val="0"/>
              </w:numPr>
              <w:jc w:val="left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观察精子和卵子细胞结构模式图，关注细胞核、细胞质等信息，完成细胞特征对比表。</w:t>
            </w:r>
          </w:p>
          <w:p w14:paraId="7D8EB5B8">
            <w:pPr>
              <w:numPr>
                <w:ilvl w:val="0"/>
                <w:numId w:val="0"/>
              </w:numPr>
              <w:jc w:val="left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372360" cy="1207135"/>
                  <wp:effectExtent l="0" t="0" r="5080" b="12065"/>
                  <wp:docPr id="2" name="图片 2" descr="C:\Users\admin\Desktop\微信图片_20260106091006_335_40.png微信图片_20260106091006_335_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admin\Desktop\微信图片_20260106091006_335_40.png微信图片_20260106091006_335_4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360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1" w:type="dxa"/>
          </w:tcPr>
          <w:p w14:paraId="58BFD5E3">
            <w:pPr>
              <w:numPr>
                <w:ilvl w:val="0"/>
                <w:numId w:val="0"/>
              </w:numPr>
              <w:jc w:val="both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训练科学思维：通过特征比对，训练分类、比较与归纳的科学思维方法。</w:t>
            </w:r>
          </w:p>
          <w:p w14:paraId="60D01193">
            <w:pPr>
              <w:pStyle w:val="2"/>
              <w:jc w:val="both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落实探究实践：能够从图像材料中获取有效信息，并进行交流。</w:t>
            </w:r>
          </w:p>
        </w:tc>
      </w:tr>
      <w:tr w14:paraId="4A1A6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90" w:type="dxa"/>
          </w:tcPr>
          <w:p w14:paraId="0AA8F860">
            <w:pPr>
              <w:numPr>
                <w:ilvl w:val="0"/>
                <w:numId w:val="0"/>
              </w:numPr>
              <w:jc w:val="both"/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实践“阅读与提取”（动态信息）与“推理与建模”</w:t>
            </w:r>
          </w:p>
          <w:p w14:paraId="7CFFFD82">
            <w:pPr>
              <w:pStyle w:val="2"/>
              <w:jc w:val="both"/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根据问题，从视频中“提取”信息，构建过程模型。</w:t>
            </w:r>
          </w:p>
          <w:p w14:paraId="20B7FD99">
            <w:pP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8BEAC3B">
            <w:pPr>
              <w:pStyle w:val="2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基于之前提取的精子结构特点与卵子的结构特征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，进行深化推理。理解竞争与选择的自然过程。</w:t>
            </w:r>
          </w:p>
          <w:p w14:paraId="08EFFCFE">
            <w:pP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FF2E509">
            <w:pPr>
              <w:pStyle w:val="2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将提取的结构特征与推理出的功能相匹配，建构“结构与功能相适应”模型。</w:t>
            </w:r>
          </w:p>
          <w:p w14:paraId="2836554E">
            <w:pPr>
              <w:numPr>
                <w:ilvl w:val="0"/>
                <w:numId w:val="0"/>
              </w:numPr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5" w:type="dxa"/>
          </w:tcPr>
          <w:p w14:paraId="1DBD8E07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【认识受精作用】</w:t>
            </w:r>
          </w:p>
          <w:p w14:paraId="139C3520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观看受精作用视频，思考问题：</w:t>
            </w:r>
          </w:p>
          <w:p w14:paraId="4370D1FC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= 1 \* GB3 \* MERGEFORMAT </w:instrText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①</w:t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精子和卵子在哪里相遇？</w:t>
            </w:r>
          </w:p>
          <w:p w14:paraId="37CD6AA0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= 2 \* GB3 \* MERGEFORMAT </w:instrText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②</w:t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有几个精子可以进入卵子？</w:t>
            </w:r>
          </w:p>
          <w:p w14:paraId="5A73A186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instrText xml:space="preserve"> = 3 \* GB3 \* MERGEFORMAT </w:instrText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③</w:t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新生命的起点是什么？</w:t>
            </w:r>
          </w:p>
          <w:p w14:paraId="5A0CB151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构建受精过程流程图模型：</w:t>
            </w:r>
          </w:p>
          <w:p w14:paraId="3985583A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599055" cy="184785"/>
                  <wp:effectExtent l="0" t="0" r="6985" b="13335"/>
                  <wp:docPr id="3" name="图片 3" descr="截屏2026-01-05 12.46.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截屏2026-01-05 12.46.27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9055" cy="18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64818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思考问题“为什么数以亿计的精子，通常只有一个能成功？”</w:t>
            </w:r>
          </w:p>
          <w:p w14:paraId="4F0AB8A9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完成结构与功能适配连线题</w:t>
            </w:r>
            <w:r>
              <w:rPr>
                <w:rFonts w:hint="default" w:ascii="Songti SC Regular" w:hAnsi="Songti SC Regular" w:eastAsia="Songti SC Regular" w:cs="Songti SC Regular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3568195F">
            <w:pPr>
              <w:numPr>
                <w:ilvl w:val="0"/>
                <w:numId w:val="0"/>
              </w:numPr>
              <w:jc w:val="both"/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2270125" cy="1133475"/>
                  <wp:effectExtent l="0" t="0" r="15875" b="9525"/>
                  <wp:docPr id="4" name="图片 4" descr="C:\Users\admin\Desktop\微信图片_20260106091027_336_40.png微信图片_20260106091027_336_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\Users\admin\Desktop\微信图片_20260106091027_336_40.png微信图片_20260106091027_336_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01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71" w:type="dxa"/>
          </w:tcPr>
          <w:p w14:paraId="6A40E6EC">
            <w:pPr>
              <w:rPr>
                <w:rFonts w:hint="eastAsia" w:ascii="Songti SC Regular" w:hAnsi="Songti SC Regular" w:eastAsia="Songti SC Regular" w:cs="Songti SC Regular"/>
                <w:b w:val="0"/>
                <w:bCs w:val="0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Songti SC Regular" w:hAnsi="Songti SC Regular" w:eastAsia="Songti SC Regular" w:cs="Songti SC Regular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提升科学思维：通过构</w:t>
            </w:r>
            <w:r>
              <w:rPr>
                <w:rFonts w:hint="eastAsia" w:ascii="Songti SC Regular" w:hAnsi="Songti SC Regular" w:eastAsia="Songti SC Regular" w:cs="Songti SC Regular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建</w:t>
            </w:r>
            <w:r>
              <w:rPr>
                <w:rFonts w:hint="eastAsia" w:ascii="Songti SC Regular" w:hAnsi="Songti SC Regular" w:eastAsia="Songti SC Regular" w:cs="Songti SC Regular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Songti SC Regular" w:hAnsi="Songti SC Regular" w:eastAsia="Songti SC Regular" w:cs="Songti SC Regular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受精过程流程图模型</w:t>
            </w:r>
            <w:r>
              <w:rPr>
                <w:rFonts w:hint="eastAsia" w:ascii="Songti SC Regular" w:hAnsi="Songti SC Regular" w:eastAsia="Songti SC Regular" w:cs="Songti SC Regular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Songti SC Regular" w:hAnsi="Songti SC Regular" w:eastAsia="Songti SC Regular" w:cs="Songti SC Regular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Style w:val="10"/>
                <w:rFonts w:hint="eastAsia" w:ascii="Songti SC Regular" w:hAnsi="Songti SC Regular" w:eastAsia="Songti SC Regular" w:cs="Songti SC Regular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训练系统思维与过程建模能力</w:t>
            </w:r>
            <w:r>
              <w:rPr>
                <w:rStyle w:val="10"/>
                <w:rFonts w:hint="eastAsia" w:ascii="Songti SC Regular" w:hAnsi="Songti SC Regular" w:eastAsia="Songti SC Regular" w:cs="Songti SC Regular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lang w:eastAsia="zh-CN"/>
                <w14:textFill>
                  <w14:solidFill>
                    <w14:schemeClr w14:val="tx1"/>
                  </w14:solidFill>
                </w14:textFill>
              </w:rPr>
              <w:t>；完成结构与功能适配连线题，强化逻辑推理与科学解释能力。</w:t>
            </w:r>
          </w:p>
          <w:p w14:paraId="74D99A4E">
            <w:pPr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C0D3D38">
      <w:pPr>
        <w:numPr>
          <w:ilvl w:val="0"/>
          <w:numId w:val="0"/>
        </w:numPr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6B9202CF">
      <w:pPr>
        <w:keepNext w:val="0"/>
        <w:keepLines w:val="0"/>
        <w:widowControl/>
        <w:suppressLineNumbers w:val="0"/>
        <w:ind w:firstLine="420" w:firstLineChars="200"/>
        <w:jc w:val="left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此案例中“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三步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阅读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作为隐性线索，贯穿整个教学过程，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明确回应了“读什么”（图文、视频、模型）、“怎么读”（分步提取、推理建模）、“何时读”（导入、新授、深化各阶段）三大问题，引导学生不仅学习科学知识，更掌握科学阅读的方法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最终目标是让学生不仅知道精子和卵子的知识，还能学会如何阅读科学图文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信息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，建立科学模型。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这一阅读策略同样适用于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科学教材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下册第1单元人体与健康《营养物质是如何被吸收的》。</w:t>
      </w:r>
    </w:p>
    <w:p w14:paraId="1984C388">
      <w:pPr>
        <w:pStyle w:val="2"/>
        <w:numPr>
          <w:ilvl w:val="0"/>
          <w:numId w:val="0"/>
        </w:numPr>
        <w:ind w:firstLine="340"/>
        <w:jc w:val="both"/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同时，结合“三步阅读法”的三个环节，</w:t>
      </w:r>
      <w:r>
        <w:rPr>
          <w:rFonts w:hint="default" w:ascii="宋体" w:hAnsi="宋体" w:eastAsia="宋体" w:cs="宋体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强化过程评价，实现“教-学-评”一体化，关注学生在学习过程中真实表现与思维活动，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从“科学观念”“科学思维”“科学探究”“科学态度”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四个维度</w:t>
      </w:r>
      <w:r>
        <w:rPr>
          <w:rFonts w:hint="default" w:ascii="宋体" w:hAnsi="宋体" w:eastAsia="宋体" w:cs="宋体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设计评价单来</w:t>
      </w:r>
      <w:r>
        <w:rPr>
          <w:rFonts w:hint="eastAsia" w:ascii="宋体" w:hAnsi="宋体" w:eastAsia="宋体" w:cs="宋体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综合评价学生的学习效果</w:t>
      </w:r>
      <w:bookmarkEnd w:id="1"/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141F7667">
      <w:pPr>
        <w:jc w:val="center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表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2 学习评价单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5"/>
        <w:gridCol w:w="5553"/>
        <w:gridCol w:w="1554"/>
      </w:tblGrid>
      <w:tr w14:paraId="055E5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657E2D87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评价维度</w:t>
            </w:r>
          </w:p>
        </w:tc>
        <w:tc>
          <w:tcPr>
            <w:tcW w:w="5553" w:type="dxa"/>
          </w:tcPr>
          <w:p w14:paraId="3FCA97C3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评价标准</w:t>
            </w:r>
          </w:p>
        </w:tc>
        <w:tc>
          <w:tcPr>
            <w:tcW w:w="1554" w:type="dxa"/>
          </w:tcPr>
          <w:p w14:paraId="335B9D03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</w:tr>
      <w:tr w14:paraId="6F34E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5B763B83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科学观念</w:t>
            </w:r>
          </w:p>
        </w:tc>
        <w:tc>
          <w:tcPr>
            <w:tcW w:w="5553" w:type="dxa"/>
          </w:tcPr>
          <w:p w14:paraId="6FD2E981">
            <w:pPr>
              <w:numPr>
                <w:ilvl w:val="0"/>
                <w:numId w:val="0"/>
              </w:num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能正确描述精子、卵子的形态结构及功能，建立“结构与功能相适应”观点。</w:t>
            </w:r>
          </w:p>
        </w:tc>
        <w:tc>
          <w:tcPr>
            <w:tcW w:w="1554" w:type="dxa"/>
          </w:tcPr>
          <w:p w14:paraId="46D69931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★★★</w:t>
            </w:r>
          </w:p>
        </w:tc>
      </w:tr>
      <w:tr w14:paraId="5D4CD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4A65A530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科学思维</w:t>
            </w:r>
          </w:p>
        </w:tc>
        <w:tc>
          <w:tcPr>
            <w:tcW w:w="5553" w:type="dxa"/>
          </w:tcPr>
          <w:p w14:paraId="61AB076C">
            <w:pPr>
              <w:numPr>
                <w:ilvl w:val="0"/>
                <w:numId w:val="0"/>
              </w:num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能准确提取图文、视频中的关键信息，并进行比较、分类、归纳。</w:t>
            </w:r>
          </w:p>
        </w:tc>
        <w:tc>
          <w:tcPr>
            <w:tcW w:w="1554" w:type="dxa"/>
          </w:tcPr>
          <w:p w14:paraId="7090689D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★★★</w:t>
            </w:r>
          </w:p>
        </w:tc>
      </w:tr>
      <w:tr w14:paraId="664D2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726384BB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科学探究</w:t>
            </w:r>
          </w:p>
        </w:tc>
        <w:tc>
          <w:tcPr>
            <w:tcW w:w="5553" w:type="dxa"/>
          </w:tcPr>
          <w:p w14:paraId="1D5245A3">
            <w:pPr>
              <w:numPr>
                <w:ilvl w:val="0"/>
                <w:numId w:val="0"/>
              </w:num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能运用观察、记录等方法获取信息，记录清晰。</w:t>
            </w:r>
          </w:p>
        </w:tc>
        <w:tc>
          <w:tcPr>
            <w:tcW w:w="1554" w:type="dxa"/>
          </w:tcPr>
          <w:p w14:paraId="100FA47B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★★★</w:t>
            </w:r>
          </w:p>
        </w:tc>
      </w:tr>
      <w:tr w14:paraId="29519D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5" w:type="dxa"/>
          </w:tcPr>
          <w:p w14:paraId="3C6C49C5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科学态度</w:t>
            </w:r>
          </w:p>
        </w:tc>
        <w:tc>
          <w:tcPr>
            <w:tcW w:w="5553" w:type="dxa"/>
          </w:tcPr>
          <w:p w14:paraId="740DC947">
            <w:pPr>
              <w:numPr>
                <w:ilvl w:val="0"/>
                <w:numId w:val="0"/>
              </w:numPr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阅读认真、细致、信息提取准确，表现出严谨的科学态度。</w:t>
            </w:r>
          </w:p>
        </w:tc>
        <w:tc>
          <w:tcPr>
            <w:tcW w:w="1554" w:type="dxa"/>
          </w:tcPr>
          <w:p w14:paraId="77DD0929">
            <w:pPr>
              <w:numPr>
                <w:ilvl w:val="0"/>
                <w:numId w:val="0"/>
              </w:numPr>
              <w:jc w:val="center"/>
              <w:rPr>
                <w:rFonts w:hint="default"/>
                <w:color w:val="000000" w:themeColor="text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Segoe UI" w:hAnsi="Segoe UI" w:eastAsia="Segoe UI" w:cs="Segoe UI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★★★</w:t>
            </w:r>
          </w:p>
        </w:tc>
      </w:tr>
    </w:tbl>
    <w:p w14:paraId="47998D4C">
      <w:pP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F09AA86">
      <w:pPr>
        <w:pStyle w:val="2"/>
        <w:numPr>
          <w:ilvl w:val="0"/>
          <w:numId w:val="1"/>
        </w:numPr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在问题解决中贯通科学思维---“三阶互动阅读法”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策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略应用</w:t>
      </w:r>
    </w:p>
    <w:p w14:paraId="20EE1B6A">
      <w:pPr>
        <w:numPr>
          <w:ilvl w:val="0"/>
          <w:numId w:val="0"/>
        </w:numP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1.“三阶互动阅读法”策略的内涵</w:t>
      </w:r>
    </w:p>
    <w:p w14:paraId="096E385B">
      <w:pPr>
        <w:ind w:firstLine="420" w:firstLineChars="20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“三阶互动阅读法”是一种结构化的科学阅读策略，通过“锚定问题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拆解逻辑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拓展探究”三个阶段的递进设计，引导学生从被动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接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受信息转向主动建构知识，并在实践中深化理解，最终实现科学素养的全面提升。</w:t>
      </w:r>
    </w:p>
    <w:p w14:paraId="0D954361">
      <w:pPr>
        <w:pStyle w:val="2"/>
        <w:jc w:val="both"/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2.“三阶互动阅读法”策略的应用</w:t>
      </w:r>
    </w:p>
    <w:p w14:paraId="7BECC63C">
      <w:pPr>
        <w:ind w:firstLine="420" w:firstLineChars="200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针对科学教材中第1单元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《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变化的物质世界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》之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《为什么被切开的苹果会变色》阅读材料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，尝试运用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三阶互动</w:t>
      </w:r>
      <w:r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阅读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进行教学实践，围绕“读什么”（生活现象类科学解释文本）、“怎么读”（三个阶段递进）、“何时读”（贯穿课堂学习过程并延伸至课后）展开。</w:t>
      </w:r>
    </w:p>
    <w:p w14:paraId="4A8CFC45">
      <w:pPr>
        <w:numPr>
          <w:ilvl w:val="0"/>
          <w:numId w:val="0"/>
        </w:numPr>
        <w:jc w:val="center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表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3 “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阶互动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阅读法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实践案例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6"/>
        <w:gridCol w:w="3755"/>
        <w:gridCol w:w="2841"/>
      </w:tblGrid>
      <w:tr w14:paraId="68378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6" w:type="dxa"/>
          </w:tcPr>
          <w:p w14:paraId="1ED4EF9B">
            <w:pPr>
              <w:jc w:val="center"/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阅读阶段</w:t>
            </w:r>
          </w:p>
        </w:tc>
        <w:tc>
          <w:tcPr>
            <w:tcW w:w="3755" w:type="dxa"/>
          </w:tcPr>
          <w:p w14:paraId="50862674">
            <w:pPr>
              <w:jc w:val="center"/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学生活动</w:t>
            </w:r>
          </w:p>
        </w:tc>
        <w:tc>
          <w:tcPr>
            <w:tcW w:w="2841" w:type="dxa"/>
          </w:tcPr>
          <w:p w14:paraId="08E720F2">
            <w:pPr>
              <w:jc w:val="center"/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对标核心素养</w:t>
            </w:r>
          </w:p>
        </w:tc>
      </w:tr>
      <w:tr w14:paraId="46C5D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6" w:type="dxa"/>
          </w:tcPr>
          <w:p w14:paraId="57927D14">
            <w:pP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第一阶：问题锚定</w:t>
            </w:r>
          </w:p>
        </w:tc>
        <w:tc>
          <w:tcPr>
            <w:tcW w:w="3755" w:type="dxa"/>
          </w:tcPr>
          <w:p w14:paraId="786602E2">
            <w:pP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带着问题进行阅读，并圈画关键词：</w:t>
            </w:r>
          </w:p>
          <w:p w14:paraId="6F5F53AA">
            <w:pPr>
              <w:rPr>
                <w:rFonts w:hint="eastAsia" w:ascii="楷体" w:hAnsi="楷体" w:eastAsia="楷体" w:cs="楷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1.苹果切开后，为什么一开始不变色？</w:t>
            </w:r>
          </w:p>
          <w:p w14:paraId="053E0849">
            <w:pPr>
              <w:rPr>
                <w:rFonts w:hint="eastAsia" w:ascii="楷体" w:hAnsi="楷体" w:eastAsia="楷体" w:cs="楷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2.变色的苹果能不能吃？</w:t>
            </w:r>
          </w:p>
          <w:p w14:paraId="60F7BCDB">
            <w:pPr>
              <w:pStyle w:val="2"/>
              <w:jc w:val="both"/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</w:tcPr>
          <w:p w14:paraId="77E145FB">
            <w:pP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激活科学观念：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从生活现象出发，</w:t>
            </w: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初步建立“苹果变色=酚类物质与氧气氧化”的科学观念。</w:t>
            </w:r>
          </w:p>
        </w:tc>
      </w:tr>
      <w:tr w14:paraId="512CB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6" w:type="dxa"/>
          </w:tcPr>
          <w:p w14:paraId="0348DC7C">
            <w:pP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第二阶：逻辑拆解</w:t>
            </w:r>
          </w:p>
        </w:tc>
        <w:tc>
          <w:tcPr>
            <w:tcW w:w="3755" w:type="dxa"/>
          </w:tcPr>
          <w:p w14:paraId="7D139296">
            <w:pP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梳理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因果链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7DB52AF7">
            <w:pPr>
              <w:pStyle w:val="2"/>
              <w:jc w:val="both"/>
              <w:rPr>
                <w:rFonts w:hint="eastAsia" w:ascii="楷体" w:hAnsi="楷体" w:eastAsia="楷体" w:cs="楷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因为苹果里有（     ），切开后和（    ）结合，所以会被（     ）变成褐色。</w:t>
            </w:r>
          </w:p>
          <w:p w14:paraId="0B16E54A">
            <w:pPr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辨析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条件差异</w:t>
            </w:r>
            <w:r>
              <w:rPr>
                <w:rFonts w:hint="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 w14:paraId="090E9C8D">
            <w:pPr>
              <w:pStyle w:val="2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对比“切开的苹果”和“放置很久的苹果”，完成表格梳理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tbl>
            <w:tblPr>
              <w:tblStyle w:val="8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79"/>
              <w:gridCol w:w="1178"/>
              <w:gridCol w:w="1272"/>
            </w:tblGrid>
            <w:tr w14:paraId="478320D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79" w:type="dxa"/>
                </w:tcPr>
                <w:p w14:paraId="141D0917">
                  <w:pPr>
                    <w:jc w:val="center"/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楷体" w:hAnsi="楷体" w:eastAsia="楷体" w:cs="楷体"/>
                      <w:color w:val="000000" w:themeColor="text1"/>
                      <w:sz w:val="21"/>
                      <w:szCs w:val="21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放置时间</w:t>
                  </w:r>
                </w:p>
              </w:tc>
              <w:tc>
                <w:tcPr>
                  <w:tcW w:w="1178" w:type="dxa"/>
                </w:tcPr>
                <w:p w14:paraId="262C3740">
                  <w:pPr>
                    <w:jc w:val="center"/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营养变化</w:t>
                  </w:r>
                </w:p>
              </w:tc>
              <w:tc>
                <w:tcPr>
                  <w:tcW w:w="1272" w:type="dxa"/>
                </w:tcPr>
                <w:p w14:paraId="565915B1">
                  <w:pPr>
                    <w:jc w:val="center"/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是否可食用</w:t>
                  </w:r>
                </w:p>
              </w:tc>
            </w:tr>
            <w:tr w14:paraId="0FC2396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79" w:type="dxa"/>
                </w:tcPr>
                <w:p w14:paraId="2AFCA52C">
                  <w:pPr>
                    <w:jc w:val="center"/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时间短</w:t>
                  </w:r>
                </w:p>
              </w:tc>
              <w:tc>
                <w:tcPr>
                  <w:tcW w:w="1178" w:type="dxa"/>
                </w:tcPr>
                <w:p w14:paraId="2214400F">
                  <w:pP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2" w:type="dxa"/>
                </w:tcPr>
                <w:p w14:paraId="2F832369">
                  <w:pP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  <w:tr w14:paraId="35E9ED7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79" w:type="dxa"/>
                </w:tcPr>
                <w:p w14:paraId="7DADB42D">
                  <w:pPr>
                    <w:jc w:val="center"/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>时间长</w:t>
                  </w:r>
                </w:p>
              </w:tc>
              <w:tc>
                <w:tcPr>
                  <w:tcW w:w="1178" w:type="dxa"/>
                </w:tcPr>
                <w:p w14:paraId="58FE3C29">
                  <w:pP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  <w:tc>
                <w:tcPr>
                  <w:tcW w:w="1272" w:type="dxa"/>
                </w:tcPr>
                <w:p w14:paraId="6239D09E">
                  <w:pPr>
                    <w:rPr>
                      <w:rFonts w:hint="eastAsia" w:ascii="楷体" w:hAnsi="楷体" w:eastAsia="楷体" w:cs="楷体"/>
                      <w:color w:val="000000" w:themeColor="text1"/>
                      <w:vertAlign w:val="baseline"/>
                      <w:lang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</w:p>
              </w:tc>
            </w:tr>
          </w:tbl>
          <w:p w14:paraId="778EBD14">
            <w:pPr>
              <w:pStyle w:val="2"/>
              <w:jc w:val="both"/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41" w:type="dxa"/>
          </w:tcPr>
          <w:p w14:paraId="4D5061FF">
            <w:pP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训练科学思维：基于阅读材料中的证据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进行推理，做出判断，</w:t>
            </w: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得出结论。</w:t>
            </w:r>
          </w:p>
        </w:tc>
      </w:tr>
      <w:tr w14:paraId="39357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6" w:type="dxa"/>
          </w:tcPr>
          <w:p w14:paraId="2876E8D7">
            <w:pP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第三阶：拓展探究</w:t>
            </w:r>
          </w:p>
        </w:tc>
        <w:tc>
          <w:tcPr>
            <w:tcW w:w="3755" w:type="dxa"/>
          </w:tcPr>
          <w:p w14:paraId="68A1E98A">
            <w:pP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基于阅读内容，设计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延缓苹果变色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的实验方案，课后完成实验，并做好记录。</w:t>
            </w:r>
          </w:p>
        </w:tc>
        <w:tc>
          <w:tcPr>
            <w:tcW w:w="2841" w:type="dxa"/>
          </w:tcPr>
          <w:p w14:paraId="4849CBE0">
            <w:pP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落实探究实践：通过设计实验，进行实验，记录实验现象，</w:t>
            </w:r>
            <w:r>
              <w:rPr>
                <w:rFonts w:hint="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分析</w:t>
            </w: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得出实验结论，进一步将课内科学阅读延伸至课后探究实践，提升科学探究能力。</w:t>
            </w:r>
          </w:p>
        </w:tc>
      </w:tr>
    </w:tbl>
    <w:p w14:paraId="30A50EA1">
      <w:pP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</w:p>
    <w:p w14:paraId="6E31D792">
      <w:pPr>
        <w:ind w:firstLine="420" w:firstLineChars="200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在此案例实践中，运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前置提问+关键词批注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的方式，把抽象的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酚类物质、氧化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等科学概念，和学生熟悉的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苹果变色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现象绑定，让科学阅读从被动看文字变成主动找答案，符合六年级学生的具象思维特点。从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找因果逻辑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到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辨析条件差异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，再到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设计实验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，是从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理解信息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分析对比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实践验证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的思维进阶，既训练了逻辑推理能力，也把阅读内容转化为可操作的探究实践，契合科学素养中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科学思维+探究实践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的培养目标。阅读后延伸的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苹果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食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用安全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延缓变色实验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，让学生把科学知识和生活场景(吃苹果、保存水果)挂钩，既理解了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科学有用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，也培养了理性判断(比如“不是所有变色苹果都不能吃”)的科学态度。</w:t>
      </w:r>
    </w:p>
    <w:p w14:paraId="53DB0E9A">
      <w:pPr>
        <w:numPr>
          <w:ilvl w:val="0"/>
          <w:numId w:val="1"/>
        </w:numPr>
        <w:jc w:val="both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在关联分析中体悟责任态度---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“对比梳理法”策略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应用</w:t>
      </w:r>
    </w:p>
    <w:p w14:paraId="5871D122">
      <w:pPr>
        <w:pStyle w:val="2"/>
        <w:numPr>
          <w:ilvl w:val="0"/>
          <w:numId w:val="2"/>
        </w:numPr>
        <w:jc w:val="both"/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“对比梳理法”策略的内涵</w:t>
      </w:r>
    </w:p>
    <w:p w14:paraId="03B5C54C">
      <w:pPr>
        <w:ind w:firstLine="420" w:firstLineChars="200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“对比梳理法”是一种适用于并列、互补或递进性科学文本（如多位科学家传记等）阅读材料的深度阅读策略，通过结构化的比较框架，引导学生超越单篇信息的获取，在分析、对照与整合中，建立更本质的科学理解。</w:t>
      </w:r>
    </w:p>
    <w:p w14:paraId="5DEDB99C">
      <w:pPr>
        <w:numPr>
          <w:ilvl w:val="0"/>
          <w:numId w:val="2"/>
        </w:numP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“对比梳理法”策略的应用</w:t>
      </w:r>
    </w:p>
    <w:p w14:paraId="163918C9">
      <w:pPr>
        <w:pStyle w:val="2"/>
        <w:numPr>
          <w:ilvl w:val="0"/>
          <w:numId w:val="0"/>
        </w:numPr>
        <w:ind w:firstLine="380" w:firstLineChars="200"/>
        <w:jc w:val="both"/>
        <w:rPr>
          <w:rFonts w:hint="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教材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第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单元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《生物的进化》中的“多种多样的生物”教材内容后附有两篇科学阅读《杂交水稻》和《谈家桢对异色瓢虫色斑变异的研究》，可以借助对比梳理的思维工具，引导学生探索两位中国科学巨匠-袁隆平和谈家桢的世界。</w:t>
      </w:r>
    </w:p>
    <w:p w14:paraId="44AE6AB5">
      <w:pPr>
        <w:pStyle w:val="2"/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第一步：信息捕捉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基础事实梳理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2000"/>
        <w:gridCol w:w="2000"/>
        <w:gridCol w:w="2903"/>
      </w:tblGrid>
      <w:tr w14:paraId="5D7EA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1B199E6E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Theme="minorEastAsia" w:hAnsiTheme="minorEastAsia" w:cstheme="min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对比维度</w:t>
            </w:r>
          </w:p>
        </w:tc>
        <w:tc>
          <w:tcPr>
            <w:tcW w:w="2000" w:type="dxa"/>
          </w:tcPr>
          <w:p w14:paraId="3ACD0738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袁隆平（杂交水稻）</w:t>
            </w:r>
          </w:p>
        </w:tc>
        <w:tc>
          <w:tcPr>
            <w:tcW w:w="2000" w:type="dxa"/>
          </w:tcPr>
          <w:p w14:paraId="1004B5D4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谈家桢（异色瓢虫）</w:t>
            </w:r>
          </w:p>
        </w:tc>
        <w:tc>
          <w:tcPr>
            <w:tcW w:w="2903" w:type="dxa"/>
          </w:tcPr>
          <w:p w14:paraId="5665D1D7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对标核心素养</w:t>
            </w:r>
          </w:p>
        </w:tc>
      </w:tr>
      <w:tr w14:paraId="65CEA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1DFC905D">
            <w:pPr>
              <w:jc w:val="center"/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研究对象</w:t>
            </w:r>
          </w:p>
        </w:tc>
        <w:tc>
          <w:tcPr>
            <w:tcW w:w="2000" w:type="dxa"/>
          </w:tcPr>
          <w:p w14:paraId="5D812106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0" w:type="dxa"/>
          </w:tcPr>
          <w:p w14:paraId="5F3E5084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3" w:type="dxa"/>
            <w:vMerge w:val="restart"/>
          </w:tcPr>
          <w:p w14:paraId="477C07AD">
            <w:pP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形成科学观念：建立“科学研究源于对自然现象的观察与提问”“科学知识可应用于解决社会问题”的跨学科概念。</w:t>
            </w:r>
          </w:p>
          <w:p w14:paraId="75368360">
            <w:pPr>
              <w:pStyle w:val="2"/>
              <w:jc w:val="both"/>
              <w:rPr>
                <w:rFonts w:hint="default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sz w:val="21"/>
                <w:szCs w:val="2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训练科学思维：形成比较与分类、归纳与概括的科学思维。</w:t>
            </w:r>
          </w:p>
        </w:tc>
      </w:tr>
      <w:tr w14:paraId="6460F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5C1EEB21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研究起点</w:t>
            </w:r>
          </w:p>
        </w:tc>
        <w:tc>
          <w:tcPr>
            <w:tcW w:w="2000" w:type="dxa"/>
          </w:tcPr>
          <w:p w14:paraId="4EC6BD3A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0" w:type="dxa"/>
          </w:tcPr>
          <w:p w14:paraId="0E5D3494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3" w:type="dxa"/>
            <w:vMerge w:val="continue"/>
          </w:tcPr>
          <w:p w14:paraId="47134599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200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1B2B2A6B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关键发现</w:t>
            </w:r>
          </w:p>
        </w:tc>
        <w:tc>
          <w:tcPr>
            <w:tcW w:w="2000" w:type="dxa"/>
          </w:tcPr>
          <w:p w14:paraId="17B778C3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0" w:type="dxa"/>
          </w:tcPr>
          <w:p w14:paraId="4503172E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3" w:type="dxa"/>
            <w:vMerge w:val="continue"/>
          </w:tcPr>
          <w:p w14:paraId="157762E9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9BD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21EF6AC2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核心工作</w:t>
            </w:r>
          </w:p>
        </w:tc>
        <w:tc>
          <w:tcPr>
            <w:tcW w:w="2000" w:type="dxa"/>
          </w:tcPr>
          <w:p w14:paraId="191F8AAD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0" w:type="dxa"/>
          </w:tcPr>
          <w:p w14:paraId="59CEA965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3" w:type="dxa"/>
            <w:vMerge w:val="continue"/>
          </w:tcPr>
          <w:p w14:paraId="7496C401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B8A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61CFD6DE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最终贡献</w:t>
            </w:r>
          </w:p>
        </w:tc>
        <w:tc>
          <w:tcPr>
            <w:tcW w:w="2000" w:type="dxa"/>
          </w:tcPr>
          <w:p w14:paraId="7E63AAF2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0" w:type="dxa"/>
          </w:tcPr>
          <w:p w14:paraId="382CB96D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3" w:type="dxa"/>
            <w:vMerge w:val="continue"/>
          </w:tcPr>
          <w:p w14:paraId="6DB7161E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B66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16" w:type="dxa"/>
          </w:tcPr>
          <w:p w14:paraId="21A9A189">
            <w:pPr>
              <w:jc w:val="center"/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获得荣誉</w:t>
            </w:r>
          </w:p>
        </w:tc>
        <w:tc>
          <w:tcPr>
            <w:tcW w:w="2000" w:type="dxa"/>
          </w:tcPr>
          <w:p w14:paraId="42142DD9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00" w:type="dxa"/>
          </w:tcPr>
          <w:p w14:paraId="701C3040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03" w:type="dxa"/>
            <w:vMerge w:val="continue"/>
          </w:tcPr>
          <w:p w14:paraId="7532F9AC">
            <w:pPr>
              <w:rPr>
                <w:rFonts w:hint="default"/>
                <w:color w:val="000000" w:themeColor="text1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DA61DE3">
      <w:pPr>
        <w:pStyle w:val="2"/>
        <w:numPr>
          <w:ilvl w:val="0"/>
          <w:numId w:val="0"/>
        </w:numPr>
        <w:jc w:val="both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第二步：深思关联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探寻科学共性</w:t>
      </w:r>
    </w:p>
    <w:p w14:paraId="6ECA0561">
      <w:pP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问题驱动学生深入思考：</w:t>
      </w:r>
    </w:p>
    <w:p w14:paraId="214E3098">
      <w:pPr>
        <w:pStyle w:val="2"/>
        <w:numPr>
          <w:ilvl w:val="0"/>
          <w:numId w:val="0"/>
        </w:numPr>
        <w:jc w:val="both"/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问题1 “大海捞针”与“实验室破解”的共同点是什么？-需要大量实验、反复验证、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严谨的记录。</w:t>
      </w:r>
    </w:p>
    <w:p w14:paraId="2884D061">
      <w:pP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</w:pP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问题2 “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让稻穗变大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和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eastAsia="zh-CN"/>
          <w14:textFill>
            <w14:solidFill>
              <w14:schemeClr w14:val="tx1"/>
            </w14:solidFill>
          </w14:textFill>
        </w:rPr>
        <w:t>“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弄清色斑规律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之间有何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关联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eastAsia="zh-CN"/>
          <w14:textFill>
            <w14:solidFill>
              <w14:schemeClr w14:val="tx1"/>
            </w14:solidFill>
          </w14:textFill>
        </w:rPr>
        <w:t>？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他们研究的核心其实都是生物的</w:t>
      </w:r>
      <w:r>
        <w:rPr>
          <w:rStyle w:val="10"/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遗传性状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000000" w:themeColor="text1"/>
          <w:spacing w:val="0"/>
          <w:sz w:val="21"/>
          <w:szCs w:val="21"/>
          <w:shd w:val="clear" w:fill="FFFFFF"/>
          <w14:textFill>
            <w14:solidFill>
              <w14:schemeClr w14:val="tx1"/>
            </w14:solidFill>
          </w14:textFill>
        </w:rPr>
        <w:t>（水稻的产量、瓢虫的色斑）。</w:t>
      </w:r>
    </w:p>
    <w:p w14:paraId="3108F4F4">
      <w:pPr>
        <w:pStyle w:val="2"/>
        <w:jc w:val="both"/>
        <w:rPr>
          <w:rFonts w:hint="eastAsia"/>
          <w:sz w:val="21"/>
          <w:szCs w:val="21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CN"/>
        </w:rPr>
        <w:t>问题3</w:t>
      </w:r>
      <w:r>
        <w:rPr>
          <w:rFonts w:hint="default"/>
          <w:sz w:val="21"/>
          <w:szCs w:val="21"/>
          <w:lang w:eastAsia="zh-CN"/>
        </w:rPr>
        <w:t xml:space="preserve"> 袁隆平对于杂交水稻的研究，为中国粮食解决了什么问题？谈家桢对异色瓢虫色斑的研究，为我们理解生物多样性保护及物种演化有什么意义？</w:t>
      </w:r>
    </w:p>
    <w:p w14:paraId="5408271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-360" w:leftChars="0" w:right="0" w:rightChars="0" w:firstLine="840" w:firstLineChars="400"/>
        <w:textAlignment w:val="auto"/>
        <w:outlineLvl w:val="9"/>
        <w:rPr>
          <w:rFonts w:hint="default"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此案例中，通过对比梳理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和</w:t>
      </w:r>
      <w:r>
        <w:rPr>
          <w:rFonts w:hint="default"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思考，引导学生感受科学探究中实证思维的重要性，感受</w:t>
      </w:r>
    </w:p>
    <w:p w14:paraId="06F104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right="0" w:rightChars="0"/>
        <w:textAlignment w:val="auto"/>
        <w:outlineLvl w:val="9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Theme="minorEastAsia" w:hAnsi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两位科学家严谨求实的科学态度，进一步感知科学研究要服务社会，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同时亲身实践比较、分析、归纳、关联的科学思维方法。</w:t>
      </w:r>
      <w:r>
        <w:rPr>
          <w:rFonts w:hint="default" w:asciiTheme="minorEastAsia" w:hAnsi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>通过表格梳理，将阅读结构化，再通过问题驱动引向深入思维，有效培养学生系统思维、批判性思维和对科学本质的理解，更是在理解科学如何从实验室和田间走向生活、影响社会，从而在科学阅读中自然渗透“态度责任”素养。同时，表格的形式也明确了“读什么”（两位科学家故事）、“怎么读”（定向阅读与信息提取），有效引导阅读。</w:t>
      </w:r>
    </w:p>
    <w:p w14:paraId="41A36A4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ind w:right="0" w:rightChars="0"/>
        <w:jc w:val="left"/>
        <w:textAlignment w:val="auto"/>
        <w:outlineLvl w:val="9"/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四、 </w:t>
      </w:r>
      <w:r>
        <w:rPr>
          <w:rFonts w:hint="default" w:asciiTheme="minorEastAsia" w:hAnsiTheme="minorEastAsia" w:eastAsiaTheme="minorEastAsia" w:cstheme="minorEastAsia"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实践成效及反思</w:t>
      </w:r>
    </w:p>
    <w:p w14:paraId="56D451A7">
      <w:pP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（一）科学阅读意识与兴趣显著增强</w:t>
      </w:r>
      <w:r>
        <w:rPr>
          <w:rFonts w:hint="eastAsia" w:asciiTheme="minorEastAsia" w:hAnsiTheme="minorEastAsia" w:cstheme="minor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Theme="minorEastAsia" w:hAnsiTheme="minorEastAsia" w:cstheme="minorEastAsia"/>
          <w:color w:val="000000" w:themeColor="text1"/>
          <w:sz w:val="21"/>
          <w:szCs w:val="21"/>
          <w:lang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策略化的科学阅读教学改变了学生被动接受文本信息的习惯。通过问题引导、任务驱动和互动探究，学生逐渐从“要我读”转向“我要读”，阅读科学文本的主动性和目的性明显提升。</w:t>
      </w:r>
    </w:p>
    <w:p w14:paraId="423BAC5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60" w:leftChars="0" w:right="0" w:rightChars="0"/>
        <w:jc w:val="both"/>
        <w:textAlignment w:val="auto"/>
        <w:outlineLvl w:val="9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科学信息处理与逻辑建模能力得到发展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default" w:asciiTheme="minorEastAsia" w:hAnsiTheme="minorEastAsia" w:cstheme="minorEastAsia"/>
          <w:color w:val="000000" w:themeColor="text1"/>
          <w:kern w:val="2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“三步阅读法”和“三阶互动阅读法”引导学生系统经历“提取信息—分析推理—构建模型”的思维过程。学生在处理图文、视频等多模态科学信息时，逐步学会区分事实与观点、梳理因果链条、建立科学解释模型，逻辑思维与信息整合能力在阅读过程中得到扎实训练。</w:t>
      </w:r>
    </w:p>
    <w:p w14:paraId="279B6DB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420" w:right="0" w:rightChars="0" w:hanging="420" w:hanging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（三）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科学探究与实践能力实现课内外衔接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阅读教学不仅停留在文本理解层面，更通过“拓展探究”环节（如设计延缓苹果变色的</w:t>
      </w:r>
    </w:p>
    <w:p w14:paraId="27E66C8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420" w:right="0" w:rightChars="0" w:hanging="420" w:hanging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实验），将阅读所得迁移至实践操作，实现了从“读科学”到“做科学”的跨越，探究实践</w:t>
      </w:r>
    </w:p>
    <w:p w14:paraId="01705E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420" w:right="0" w:rightChars="0" w:hanging="420" w:hanging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素养得到有效提升。</w:t>
      </w:r>
    </w:p>
    <w:p w14:paraId="24B3AA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420" w:right="0" w:rightChars="0" w:hanging="420" w:hanging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（四）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科学态度与社会责任在阅读中自然渗透</w:t>
      </w:r>
      <w:r>
        <w:rPr>
          <w:rFonts w:hint="eastAsia" w:asciiTheme="minorEastAsia" w:hAnsi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通过对比梳理科学家故事，学生在阅读中不仅学习科学知识，更潜移默化地感受科学家</w:t>
      </w:r>
    </w:p>
    <w:p w14:paraId="1803898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420" w:right="0" w:rightChars="0" w:hanging="420" w:hangingChars="20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严谨求实、服务社会的精神品质。</w:t>
      </w:r>
    </w:p>
    <w:p w14:paraId="7B7AC780">
      <w:pPr>
        <w:pStyle w:val="2"/>
        <w:jc w:val="both"/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 当然，在实践过程中，也有一些问题有待改进，如阅读策略需与学情深度适配，学生认知基础差异要求教师灵活调整提问方式、任务难度与支撑支架，</w:t>
      </w:r>
      <w:r>
        <w:rPr>
          <w:rFonts w:hint="eastAsia" w:ascii="宋体" w:hAnsi="宋体" w:eastAsia="宋体" w:cs="宋体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实现因材施读。评价方式有待系统探索，如何设计能够真实反映学生阅读过程、思维品质及素养提升的评价工具，是未来研究与实践的重要方向。</w:t>
      </w:r>
    </w:p>
    <w:p w14:paraId="406D8BD8">
      <w:pPr>
        <w:pStyle w:val="2"/>
        <w:jc w:val="both"/>
        <w:rPr>
          <w:rFonts w:hint="default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五、结语</w:t>
      </w:r>
    </w:p>
    <w:p w14:paraId="2E64BE29">
      <w:pPr>
        <w:pStyle w:val="6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 w:firstLineChars="200"/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科学阅读不仅是知识的输入过程，更是学生与科学对话、建构意义、发展素养的认知与情感历程。本文所述策略</w:t>
      </w:r>
      <w:r>
        <w:rPr>
          <w:rFonts w:hint="default" w:asciiTheme="minorEastAsia" w:hAnsiTheme="minorEastAsia" w:cstheme="minorEastAsia"/>
          <w:color w:val="000000" w:themeColor="text1"/>
          <w:kern w:val="2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，是对科学阅读中的“读什么”“怎么读”“何时读”的回应。通过“三步阅读法”，系统回答在主动建构概念时应读什么材料（图文、视频、模型等）、如何分步阅读（提问-提取-建模）以及在何时介入阅读（导入、新授、深化各环节）；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通过“三阶互动阅读法”，构建了从问题锚定到拓展探究的阅读路径，引导学生</w:t>
      </w:r>
      <w:r>
        <w:rPr>
          <w:rStyle w:val="10"/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在真实问题中学习如何阅读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，并将阅读自然延伸至课后实践；通过“对比梳理法”，则展示了</w:t>
      </w:r>
      <w:r>
        <w:rPr>
          <w:rStyle w:val="10"/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在关联分析与价值体悟环节如何阅读科学家故事</w:t>
      </w:r>
      <w:r>
        <w:rPr>
          <w:rFonts w:hint="eastAsia" w:ascii="Songti SC Regular" w:hAnsi="Songti SC Regular" w:eastAsia="Songti SC Regular" w:cs="Songti SC Regular"/>
          <w:b w:val="0"/>
          <w:i w:val="0"/>
          <w:caps w:val="0"/>
          <w:color w:val="000000" w:themeColor="text1"/>
          <w:spacing w:val="0"/>
          <w:sz w:val="21"/>
          <w:szCs w:val="21"/>
          <w:u w:val="none"/>
          <w14:textFill>
            <w14:solidFill>
              <w14:schemeClr w14:val="tx1"/>
            </w14:solidFill>
          </w14:textFill>
        </w:rPr>
        <w:t>，从而在比较中深化对科学本质与责任的理解。</w:t>
      </w:r>
      <w:r>
        <w:rPr>
          <w:rFonts w:hint="default" w:asciiTheme="minorEastAsia" w:hAnsiTheme="minorEastAsia" w:cstheme="minorEastAsia"/>
          <w:color w:val="000000" w:themeColor="text1"/>
          <w:kern w:val="2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这些策略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仅为初步探索，未来应在更广泛的课型与主题中持续深化实践，推动科学阅读从</w:t>
      </w:r>
      <w:r>
        <w:rPr>
          <w:rFonts w:hint="default" w:asciiTheme="minorEastAsia" w:hAnsiTheme="minorEastAsia" w:cstheme="minorEastAsia"/>
          <w:color w:val="000000" w:themeColor="text1"/>
          <w:kern w:val="2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教学点缀</w:t>
      </w:r>
      <w:r>
        <w:rPr>
          <w:rFonts w:hint="default" w:asciiTheme="minorEastAsia" w:hAnsiTheme="minorEastAsia" w:cstheme="minorEastAsia"/>
          <w:color w:val="000000" w:themeColor="text1"/>
          <w:kern w:val="2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走向</w:t>
      </w:r>
      <w:r>
        <w:rPr>
          <w:rFonts w:hint="default" w:asciiTheme="minorEastAsia" w:hAnsiTheme="minorEastAsia" w:cstheme="minorEastAsia"/>
          <w:color w:val="000000" w:themeColor="text1"/>
          <w:kern w:val="2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“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素养引擎</w:t>
      </w:r>
      <w:r>
        <w:rPr>
          <w:rFonts w:hint="default" w:asciiTheme="minorEastAsia" w:hAnsiTheme="minorEastAsia" w:cstheme="minorEastAsia"/>
          <w:color w:val="000000" w:themeColor="text1"/>
          <w:kern w:val="2"/>
          <w:sz w:val="21"/>
          <w:szCs w:val="21"/>
          <w:lang w:eastAsia="zh-CN" w:bidi="ar-SA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Theme="minorEastAsia" w:hAnsiTheme="minorEastAsia" w:eastAsiaTheme="minorEastAsia" w:cstheme="minorEastAsia"/>
          <w:color w:val="000000" w:themeColor="text1"/>
          <w:kern w:val="2"/>
          <w:sz w:val="21"/>
          <w:szCs w:val="21"/>
          <w:lang w:val="en-US" w:eastAsia="zh-CN" w:bidi="ar-SA"/>
          <w14:textFill>
            <w14:solidFill>
              <w14:schemeClr w14:val="tx1"/>
            </w14:solidFill>
          </w14:textFill>
        </w:rPr>
        <w:t>，真正赋能学生科学核心素养的全面发展。</w:t>
      </w:r>
    </w:p>
    <w:p w14:paraId="7FA3E5CB">
      <w:pPr>
        <w:numPr>
          <w:ilvl w:val="0"/>
          <w:numId w:val="0"/>
        </w:numPr>
        <w:jc w:val="both"/>
        <w:rPr>
          <w:rFonts w:hint="eastAsia" w:ascii="Songti SC Regular" w:hAnsi="Songti SC Regular" w:eastAsia="Songti SC Regular" w:cs="Songti SC Regular"/>
          <w:b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1305DDC8">
      <w:pPr>
        <w:numPr>
          <w:ilvl w:val="0"/>
          <w:numId w:val="0"/>
        </w:numPr>
        <w:jc w:val="both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73CD1CBF">
      <w:pPr>
        <w:numPr>
          <w:ilvl w:val="0"/>
          <w:numId w:val="0"/>
        </w:numPr>
        <w:jc w:val="both"/>
        <w:rPr>
          <w:rFonts w:hint="defaul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参考文献</w:t>
      </w:r>
    </w:p>
    <w:p w14:paraId="22836C71">
      <w:pPr>
        <w:numPr>
          <w:ilvl w:val="0"/>
          <w:numId w:val="0"/>
        </w:numPr>
        <w:jc w:val="both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①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王伟群，郝京华，朱永新.构建科学教育合理的理论与实践研究[J].中小学科学教育，2024（1）：46-55.</w:t>
      </w:r>
    </w:p>
    <w:p w14:paraId="7886458D">
      <w:pPr>
        <w:numPr>
          <w:ilvl w:val="0"/>
          <w:numId w:val="0"/>
        </w:numPr>
        <w:jc w:val="both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②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中华人民共和国教育部.义务教育科学课程标准（2022年版）[S].北京：北京师范大学出版社，2022.</w:t>
      </w:r>
    </w:p>
    <w:p w14:paraId="34DE65F7">
      <w:pPr>
        <w:numPr>
          <w:ilvl w:val="0"/>
          <w:numId w:val="0"/>
        </w:numPr>
        <w:jc w:val="both"/>
        <w:rPr>
          <w:rFonts w:hint="default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Calibri" w:hAnsi="Calibri" w:cs="Calibri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③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李铸衡，王海，丁浩然，等.基于科学素质提升的科学阅读教学模式实证研究[J].课程.教材.教法，2020（11）：129-135</w:t>
      </w:r>
      <w:r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.</w:t>
      </w:r>
    </w:p>
    <w:p w14:paraId="7338E13C">
      <w:pPr>
        <w:numPr>
          <w:ilvl w:val="0"/>
          <w:numId w:val="0"/>
        </w:numPr>
        <w:jc w:val="both"/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instrText xml:space="preserve"> = 4 \* GB3 \* MERGEFORMAT </w:instrTex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④</w:t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徐杰. 加强科学阅读 提升科学素养[J]. 海峡科学，2012（3）：25-26.</w:t>
      </w:r>
    </w:p>
    <w:p w14:paraId="7850A7A9">
      <w:pPr>
        <w:numPr>
          <w:ilvl w:val="0"/>
          <w:numId w:val="0"/>
        </w:numPr>
        <w:jc w:val="both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E234417">
      <w:pPr>
        <w:rPr>
          <w:rFonts w:hint="default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DejaVu Sans">
    <w:altName w:val="Times New Roman"/>
    <w:panose1 w:val="02020603050405020304"/>
    <w:charset w:val="00"/>
    <w:family w:val="roman"/>
    <w:pitch w:val="default"/>
    <w:sig w:usb0="00000000" w:usb1="00000000" w:usb2="00000008" w:usb3="00000000" w:csb0="000001FF" w:csb1="00000000"/>
  </w:font>
  <w:font w:name="楷体_GB2312">
    <w:altName w:val="楷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ongti SC Regular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97DBFD0"/>
    <w:multiLevelType w:val="singleLevel"/>
    <w:tmpl w:val="697DBFD0"/>
    <w:lvl w:ilvl="0" w:tentative="0">
      <w:start w:val="1"/>
      <w:numFmt w:val="chineseCounting"/>
      <w:suff w:val="space"/>
      <w:lvlText w:val="（%1）"/>
      <w:lvlJc w:val="left"/>
    </w:lvl>
  </w:abstractNum>
  <w:abstractNum w:abstractNumId="1">
    <w:nsid w:val="697DC6E4"/>
    <w:multiLevelType w:val="singleLevel"/>
    <w:tmpl w:val="697DC6E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A7AF2"/>
    <w:rsid w:val="00687A37"/>
    <w:rsid w:val="021638D2"/>
    <w:rsid w:val="045745C6"/>
    <w:rsid w:val="04C54360"/>
    <w:rsid w:val="05F92C5C"/>
    <w:rsid w:val="08510EF1"/>
    <w:rsid w:val="086F3665"/>
    <w:rsid w:val="0ADF72AF"/>
    <w:rsid w:val="0FF75CEE"/>
    <w:rsid w:val="11D130F2"/>
    <w:rsid w:val="12871EC7"/>
    <w:rsid w:val="12AC7863"/>
    <w:rsid w:val="12E80A5C"/>
    <w:rsid w:val="140A0BD5"/>
    <w:rsid w:val="167D044F"/>
    <w:rsid w:val="168D3A3C"/>
    <w:rsid w:val="1A756A52"/>
    <w:rsid w:val="1AC319A2"/>
    <w:rsid w:val="1AF5021C"/>
    <w:rsid w:val="1C867103"/>
    <w:rsid w:val="1C9E0082"/>
    <w:rsid w:val="1EFDF350"/>
    <w:rsid w:val="21583244"/>
    <w:rsid w:val="22CA6D3D"/>
    <w:rsid w:val="2324165F"/>
    <w:rsid w:val="23476453"/>
    <w:rsid w:val="27A753C5"/>
    <w:rsid w:val="2BDFC64E"/>
    <w:rsid w:val="2BFEBE75"/>
    <w:rsid w:val="2C516945"/>
    <w:rsid w:val="2C5D297D"/>
    <w:rsid w:val="2CDD3D1D"/>
    <w:rsid w:val="2D7BF5C4"/>
    <w:rsid w:val="2EF9006F"/>
    <w:rsid w:val="2F15AC03"/>
    <w:rsid w:val="2F3FA5D8"/>
    <w:rsid w:val="2FDFDC58"/>
    <w:rsid w:val="312B4495"/>
    <w:rsid w:val="32C103D2"/>
    <w:rsid w:val="34CF3EE0"/>
    <w:rsid w:val="367B609A"/>
    <w:rsid w:val="36A37DAB"/>
    <w:rsid w:val="36A739EF"/>
    <w:rsid w:val="38C42846"/>
    <w:rsid w:val="397E855F"/>
    <w:rsid w:val="3BDF3785"/>
    <w:rsid w:val="3BEF5E1E"/>
    <w:rsid w:val="3CBDCD11"/>
    <w:rsid w:val="3D623F2A"/>
    <w:rsid w:val="3DBF0C10"/>
    <w:rsid w:val="3DCE4D4E"/>
    <w:rsid w:val="3DFDDECC"/>
    <w:rsid w:val="3F1F0098"/>
    <w:rsid w:val="3F7F9027"/>
    <w:rsid w:val="3F9D9F30"/>
    <w:rsid w:val="3FCBA5AD"/>
    <w:rsid w:val="42FA2AA4"/>
    <w:rsid w:val="434A7AF2"/>
    <w:rsid w:val="439CD79C"/>
    <w:rsid w:val="43FA1CDE"/>
    <w:rsid w:val="4478394F"/>
    <w:rsid w:val="45053FCB"/>
    <w:rsid w:val="46220F1F"/>
    <w:rsid w:val="467DA864"/>
    <w:rsid w:val="468D2784"/>
    <w:rsid w:val="46BF5964"/>
    <w:rsid w:val="473F0793"/>
    <w:rsid w:val="47CD5F0A"/>
    <w:rsid w:val="48E035CC"/>
    <w:rsid w:val="490C3DF9"/>
    <w:rsid w:val="4C4D192C"/>
    <w:rsid w:val="4E71B40F"/>
    <w:rsid w:val="4E8A2C58"/>
    <w:rsid w:val="4E932DF9"/>
    <w:rsid w:val="4EAFB72A"/>
    <w:rsid w:val="4F678D66"/>
    <w:rsid w:val="4FDFB4F9"/>
    <w:rsid w:val="4FEC071A"/>
    <w:rsid w:val="508F56DF"/>
    <w:rsid w:val="53217097"/>
    <w:rsid w:val="53EF551D"/>
    <w:rsid w:val="542A794E"/>
    <w:rsid w:val="550316D8"/>
    <w:rsid w:val="55904383"/>
    <w:rsid w:val="55CD1571"/>
    <w:rsid w:val="5676E676"/>
    <w:rsid w:val="569E7F40"/>
    <w:rsid w:val="5A685350"/>
    <w:rsid w:val="5CBE37D8"/>
    <w:rsid w:val="5CC460F4"/>
    <w:rsid w:val="5D7706E8"/>
    <w:rsid w:val="5DD94F09"/>
    <w:rsid w:val="5DF86DCC"/>
    <w:rsid w:val="5EEE3486"/>
    <w:rsid w:val="5F77C978"/>
    <w:rsid w:val="5FFBE499"/>
    <w:rsid w:val="604906BA"/>
    <w:rsid w:val="61D136D0"/>
    <w:rsid w:val="63454D1A"/>
    <w:rsid w:val="63B7F074"/>
    <w:rsid w:val="659F5A24"/>
    <w:rsid w:val="65AD1091"/>
    <w:rsid w:val="65EB0386"/>
    <w:rsid w:val="66BE141F"/>
    <w:rsid w:val="6736F4EE"/>
    <w:rsid w:val="67494B8E"/>
    <w:rsid w:val="67580AC9"/>
    <w:rsid w:val="686B23DF"/>
    <w:rsid w:val="6C0A5CD1"/>
    <w:rsid w:val="6D1E38E0"/>
    <w:rsid w:val="6D8679AC"/>
    <w:rsid w:val="6DE16718"/>
    <w:rsid w:val="6F6651DC"/>
    <w:rsid w:val="6F9FA46E"/>
    <w:rsid w:val="6FA795B2"/>
    <w:rsid w:val="6FB82FC6"/>
    <w:rsid w:val="6FCE7C34"/>
    <w:rsid w:val="6FD76D1B"/>
    <w:rsid w:val="6FE9FFE9"/>
    <w:rsid w:val="6FEFBD6C"/>
    <w:rsid w:val="718844D0"/>
    <w:rsid w:val="735B5238"/>
    <w:rsid w:val="73794114"/>
    <w:rsid w:val="74C63F7C"/>
    <w:rsid w:val="750E6C6B"/>
    <w:rsid w:val="754EF52C"/>
    <w:rsid w:val="756F58AF"/>
    <w:rsid w:val="76A453DF"/>
    <w:rsid w:val="777DE307"/>
    <w:rsid w:val="777E13B3"/>
    <w:rsid w:val="779F5305"/>
    <w:rsid w:val="77B68C83"/>
    <w:rsid w:val="77F74B79"/>
    <w:rsid w:val="77FD494D"/>
    <w:rsid w:val="787A48A7"/>
    <w:rsid w:val="787FEBD6"/>
    <w:rsid w:val="79D0507E"/>
    <w:rsid w:val="79DA4CFA"/>
    <w:rsid w:val="79FEA1A7"/>
    <w:rsid w:val="7AFE0F72"/>
    <w:rsid w:val="7B9F637C"/>
    <w:rsid w:val="7BCF21F5"/>
    <w:rsid w:val="7CF7A179"/>
    <w:rsid w:val="7CFBEE62"/>
    <w:rsid w:val="7D174530"/>
    <w:rsid w:val="7D4865B7"/>
    <w:rsid w:val="7D698307"/>
    <w:rsid w:val="7D7BAD8D"/>
    <w:rsid w:val="7D7F7C76"/>
    <w:rsid w:val="7D98100A"/>
    <w:rsid w:val="7DC7013F"/>
    <w:rsid w:val="7DFBC032"/>
    <w:rsid w:val="7E6F15C5"/>
    <w:rsid w:val="7E7BD9CD"/>
    <w:rsid w:val="7E981F3E"/>
    <w:rsid w:val="7EDB91F4"/>
    <w:rsid w:val="7F1F5509"/>
    <w:rsid w:val="7F575324"/>
    <w:rsid w:val="7F75CED5"/>
    <w:rsid w:val="7F7939B1"/>
    <w:rsid w:val="7F7ECE21"/>
    <w:rsid w:val="7FAB0AA6"/>
    <w:rsid w:val="7FDFFC1A"/>
    <w:rsid w:val="7FE78C08"/>
    <w:rsid w:val="7FFFDD78"/>
    <w:rsid w:val="7FFFFB10"/>
    <w:rsid w:val="8BA87CD5"/>
    <w:rsid w:val="9FBE924F"/>
    <w:rsid w:val="A6F987AD"/>
    <w:rsid w:val="AEC6BA30"/>
    <w:rsid w:val="AF7F2E31"/>
    <w:rsid w:val="AFFFCC6F"/>
    <w:rsid w:val="B3BB069A"/>
    <w:rsid w:val="B7591676"/>
    <w:rsid w:val="B7FD8F67"/>
    <w:rsid w:val="BBF703C2"/>
    <w:rsid w:val="BFA710E2"/>
    <w:rsid w:val="BFEF04C3"/>
    <w:rsid w:val="D3FF5C2A"/>
    <w:rsid w:val="D6FD886C"/>
    <w:rsid w:val="D7BA7295"/>
    <w:rsid w:val="D7BF8938"/>
    <w:rsid w:val="DED25246"/>
    <w:rsid w:val="DF5B7AE3"/>
    <w:rsid w:val="DF90D419"/>
    <w:rsid w:val="DFDBC37F"/>
    <w:rsid w:val="DFE85A9B"/>
    <w:rsid w:val="DFEA7322"/>
    <w:rsid w:val="E3FF47AD"/>
    <w:rsid w:val="E6F4D402"/>
    <w:rsid w:val="EDEEFC3C"/>
    <w:rsid w:val="EEBB77B7"/>
    <w:rsid w:val="EF7BDF15"/>
    <w:rsid w:val="EFDD377B"/>
    <w:rsid w:val="F2DF5FC9"/>
    <w:rsid w:val="F3DBF47B"/>
    <w:rsid w:val="F3E83AE5"/>
    <w:rsid w:val="F3F7E892"/>
    <w:rsid w:val="F4FE3C58"/>
    <w:rsid w:val="F57F0CC3"/>
    <w:rsid w:val="F6FD6E45"/>
    <w:rsid w:val="F6FF9AB9"/>
    <w:rsid w:val="F73FB831"/>
    <w:rsid w:val="F7DAFAE4"/>
    <w:rsid w:val="F7E0B58A"/>
    <w:rsid w:val="F7EF96EC"/>
    <w:rsid w:val="F9FB9637"/>
    <w:rsid w:val="FA5FE6C2"/>
    <w:rsid w:val="FAFF4C97"/>
    <w:rsid w:val="FAFFDA1C"/>
    <w:rsid w:val="FBFB01BC"/>
    <w:rsid w:val="FBFB2274"/>
    <w:rsid w:val="FBFFBE67"/>
    <w:rsid w:val="FD4F90E9"/>
    <w:rsid w:val="FD6DB84C"/>
    <w:rsid w:val="FE3E29BB"/>
    <w:rsid w:val="FE6CF0A7"/>
    <w:rsid w:val="FEFAB061"/>
    <w:rsid w:val="FEFB7F26"/>
    <w:rsid w:val="FF6BC23F"/>
    <w:rsid w:val="FF7B19D0"/>
    <w:rsid w:val="FF7C67B5"/>
    <w:rsid w:val="FF9A85E6"/>
    <w:rsid w:val="FFBC13BF"/>
    <w:rsid w:val="FFBF792A"/>
    <w:rsid w:val="FFD57D9C"/>
    <w:rsid w:val="FFEC7F8C"/>
    <w:rsid w:val="FFEF7834"/>
    <w:rsid w:val="FFFF3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HTML Code"/>
    <w:basedOn w:val="9"/>
    <w:qFormat/>
    <w:uiPriority w:val="0"/>
    <w:rPr>
      <w:rFonts w:ascii="DejaVu Sans" w:hAnsi="DejaVu Sans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上海市分公司</Company>
  <Pages>5</Pages>
  <Words>2797</Words>
  <Characters>2815</Characters>
  <Lines>0</Lines>
  <Paragraphs>0</Paragraphs>
  <TotalTime>7</TotalTime>
  <ScaleCrop>false</ScaleCrop>
  <LinksUpToDate>false</LinksUpToDate>
  <CharactersWithSpaces>2819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2026-01-08T07:31:00Z</dcterms:created>
  <dc:creator>admin</dc:creator>
  <cp:lastModifiedBy>李秀滋</cp:lastModifiedBy>
  <dcterms:modified xsi:type="dcterms:W3CDTF">2026-02-04T09:31:58Z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87A603D38E6C4C2B807FBE43F2FE52A2</vt:lpwstr>
  </property>
  <property fmtid="{D5CDD505-2E9C-101B-9397-08002B2CF9AE}" pid="4" name="KSOTemplateDocerSaveRecord">
    <vt:lpwstr>eyJoZGlkIjoiM2ZiYTJmMGIzZDRjZDc0ZDRjNWJmYTQyN2VlMzA4M2YiLCJ1c2VySWQiOiIxNjAyMzc5Mzg1In0=</vt:lpwstr>
  </property>
</Properties>
</file>