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90B6E">
      <w:pPr>
        <w:spacing w:line="360" w:lineRule="auto"/>
        <w:jc w:val="center"/>
        <w:rPr>
          <w:b/>
          <w:bCs/>
          <w:sz w:val="28"/>
          <w:szCs w:val="28"/>
        </w:rPr>
      </w:pPr>
      <w:r>
        <w:rPr>
          <w:rFonts w:hint="eastAsia"/>
          <w:b/>
          <w:bCs/>
          <w:sz w:val="28"/>
          <w:szCs w:val="28"/>
        </w:rPr>
        <w:t>基于语言迁移性运用的学科实践支架的建构研究</w:t>
      </w:r>
    </w:p>
    <w:p w14:paraId="21D43B1D">
      <w:pPr>
        <w:spacing w:line="360" w:lineRule="auto"/>
        <w:ind w:firstLine="480" w:firstLineChars="200"/>
        <w:jc w:val="center"/>
        <w:rPr>
          <w:rFonts w:ascii="黑体" w:hAnsi="黑体" w:eastAsia="黑体"/>
          <w:sz w:val="24"/>
        </w:rPr>
      </w:pPr>
      <w:r>
        <w:rPr>
          <w:rFonts w:hint="eastAsia" w:ascii="黑体" w:hAnsi="黑体" w:eastAsia="黑体"/>
          <w:sz w:val="24"/>
        </w:rPr>
        <w:t>上海市徐汇区汇师小学 顾雨</w:t>
      </w:r>
    </w:p>
    <w:p w14:paraId="6CCAB62C">
      <w:pPr>
        <w:spacing w:line="360" w:lineRule="auto"/>
        <w:ind w:firstLine="482" w:firstLineChars="200"/>
        <w:rPr>
          <w:rFonts w:ascii="黑体" w:hAnsi="黑体" w:eastAsia="黑体"/>
          <w:b/>
          <w:bCs/>
          <w:sz w:val="24"/>
        </w:rPr>
      </w:pPr>
    </w:p>
    <w:p w14:paraId="43B35AE4">
      <w:pPr>
        <w:spacing w:line="360" w:lineRule="auto"/>
        <w:ind w:firstLine="482" w:firstLineChars="200"/>
        <w:rPr>
          <w:rFonts w:ascii="楷体" w:hAnsi="楷体" w:eastAsia="楷体"/>
          <w:sz w:val="24"/>
        </w:rPr>
      </w:pPr>
      <w:r>
        <w:rPr>
          <w:rFonts w:hint="eastAsia" w:ascii="黑体" w:hAnsi="黑体" w:eastAsia="黑体"/>
          <w:b/>
          <w:bCs/>
          <w:sz w:val="24"/>
        </w:rPr>
        <w:t>【</w:t>
      </w:r>
      <w:r>
        <w:rPr>
          <w:rFonts w:hint="eastAsia" w:ascii="黑体" w:hAnsi="黑体" w:eastAsia="黑体"/>
          <w:sz w:val="24"/>
        </w:rPr>
        <w:t>摘  要</w:t>
      </w:r>
      <w:r>
        <w:rPr>
          <w:rFonts w:hint="eastAsia" w:ascii="黑体" w:hAnsi="黑体" w:eastAsia="黑体"/>
          <w:b/>
          <w:bCs/>
          <w:sz w:val="24"/>
        </w:rPr>
        <w:t>】</w:t>
      </w:r>
      <w:r>
        <w:rPr>
          <w:rFonts w:hint="eastAsia" w:ascii="楷体" w:hAnsi="楷体" w:eastAsia="楷体"/>
          <w:sz w:val="24"/>
        </w:rPr>
        <w:t>为了响应新课标提出的“践行学思结合、用创为本的英语学习活动观”的要求，解决小学英语课堂教学中“迁移创新”有效性不足的问题，笔者结合学校生态课堂的研究，基于“支架理论”，聚焦“语言迁移性运用”这一关键问题，使小学英语课堂教学从语言知识的静态传递转向动态创生。通过对牛津英语（上海版）5A</w:t>
      </w:r>
      <w:r>
        <w:rPr>
          <w:rFonts w:ascii="楷体" w:hAnsi="楷体" w:eastAsia="楷体"/>
          <w:sz w:val="24"/>
        </w:rPr>
        <w:t xml:space="preserve"> M2U2 Period 2 What makes a like-minded friend?</w:t>
      </w:r>
      <w:r>
        <w:rPr>
          <w:rFonts w:hint="eastAsia" w:ascii="楷体" w:hAnsi="楷体" w:eastAsia="楷体"/>
          <w:sz w:val="24"/>
        </w:rPr>
        <w:t>的教学实践研究，在语言迁移性运用的过程中搭建并形成完整的支架体系，为素养导向下的小学英语教学转型提供实践范例。</w:t>
      </w:r>
    </w:p>
    <w:p w14:paraId="13854F58">
      <w:pPr>
        <w:spacing w:line="360" w:lineRule="auto"/>
        <w:ind w:firstLine="482" w:firstLineChars="200"/>
        <w:rPr>
          <w:rFonts w:ascii="楷体" w:hAnsi="楷体" w:eastAsia="楷体"/>
          <w:sz w:val="24"/>
        </w:rPr>
      </w:pPr>
      <w:r>
        <w:rPr>
          <w:rFonts w:hint="eastAsia" w:ascii="黑体" w:hAnsi="黑体" w:eastAsia="黑体"/>
          <w:b/>
          <w:bCs/>
          <w:sz w:val="24"/>
        </w:rPr>
        <w:t>【</w:t>
      </w:r>
      <w:r>
        <w:rPr>
          <w:rFonts w:hint="eastAsia" w:ascii="黑体" w:hAnsi="黑体" w:eastAsia="黑体"/>
          <w:sz w:val="24"/>
        </w:rPr>
        <w:t>关键词</w:t>
      </w:r>
      <w:r>
        <w:rPr>
          <w:rFonts w:hint="eastAsia" w:ascii="黑体" w:hAnsi="黑体" w:eastAsia="黑体"/>
          <w:b/>
          <w:bCs/>
          <w:sz w:val="24"/>
        </w:rPr>
        <w:t>】</w:t>
      </w:r>
      <w:r>
        <w:rPr>
          <w:rFonts w:hint="eastAsia" w:ascii="楷体" w:hAnsi="楷体" w:eastAsia="楷体"/>
          <w:sz w:val="24"/>
        </w:rPr>
        <w:t>语言迁移，迁移性运用，学科实践，支架建构</w:t>
      </w:r>
    </w:p>
    <w:p w14:paraId="4574389B">
      <w:pPr>
        <w:spacing w:line="360" w:lineRule="auto"/>
        <w:rPr>
          <w:b/>
          <w:bCs/>
        </w:rPr>
      </w:pPr>
    </w:p>
    <w:p w14:paraId="40499B9B">
      <w:pPr>
        <w:spacing w:line="360" w:lineRule="auto"/>
        <w:rPr>
          <w:b/>
          <w:bCs/>
        </w:rPr>
      </w:pPr>
      <w:r>
        <w:rPr>
          <w:rFonts w:hint="eastAsia"/>
          <w:b/>
          <w:bCs/>
        </w:rPr>
        <w:t>一、研究背景</w:t>
      </w:r>
    </w:p>
    <w:p w14:paraId="7F9E6599">
      <w:pPr>
        <w:spacing w:line="360" w:lineRule="auto"/>
        <w:ind w:firstLine="420"/>
      </w:pPr>
      <w:r>
        <w:rPr>
          <w:rFonts w:hint="eastAsia"/>
        </w:rPr>
        <w:t>《义务教育英语课程标准（2022年版）》明确提出“践行学思结合、用创为本的英语学习活动观”。要求秉持在体验中学习、在实践中运用、在迁移中创新的学习理念，围绕真实情境和真实问题，开展指向主题意义探究的语言学习和运用活动。在学思结合中理解知识、建立关联；在学用结合中加深理解、初步运用；在学创结合中，联系实际，解决问题，形成正确的态度和价值判断。</w:t>
      </w:r>
    </w:p>
    <w:p w14:paraId="4AC385BB">
      <w:pPr>
        <w:spacing w:line="360" w:lineRule="auto"/>
        <w:ind w:firstLine="420"/>
      </w:pPr>
      <w:r>
        <w:rPr>
          <w:rFonts w:hint="eastAsia"/>
        </w:rPr>
        <w:t>然而，在实际教学中，英语学习活动观中“迁移创新”的有效落地仍面临三大阻碍：其一、意义探究“标签化”。表现为主题意义探究脱离语篇内容与学习活动，缺乏联系自我的深层思维活动。其二、活动实践性与探究性不足，未能创设综合运用所学内容的真实问题情境，导致学生体验不深，探究流于表面。其三、情境创设“失真”，导致迁移失败。具体表现为问题情境不适合学生认知水平，不符合学生兴趣发展，不贴近学生生活经验。无法激发学生用语言解决真问题的需求，学生无法实现灵活迁移。</w:t>
      </w:r>
    </w:p>
    <w:p w14:paraId="12B4E27B">
      <w:pPr>
        <w:spacing w:line="360" w:lineRule="auto"/>
        <w:ind w:firstLine="420"/>
      </w:pPr>
      <w:r>
        <w:rPr>
          <w:rFonts w:hint="eastAsia"/>
        </w:rPr>
        <w:t>2018年以来，上海市徐汇区汇师小学致力于“生态课堂”的研究。先后以“教学评一致”为突破，以“支架理论”深化赋能，以“学科实践”为抓手，打造“共生共长，自然发展”的美好教育生态，使学习从知识的静态传递转向动态创生。</w:t>
      </w:r>
    </w:p>
    <w:p w14:paraId="2C947B8A">
      <w:pPr>
        <w:spacing w:line="360" w:lineRule="auto"/>
        <w:ind w:firstLine="420" w:firstLineChars="200"/>
      </w:pPr>
      <w:r>
        <w:rPr>
          <w:rFonts w:hint="eastAsia"/>
        </w:rPr>
        <w:t>在此背景下，本研究以发展学生的语言迁移性运用能力为目标，通过系统建构并运用学科实践支架作为主要手段，探索一条提升小学英语教学实效性与素养导向性的有效路径。本文将以《牛津英语（上海版）》五年级第一学期</w:t>
      </w:r>
      <w:r>
        <w:t xml:space="preserve">M2U2 Period 2 </w:t>
      </w:r>
      <w:r>
        <w:rPr>
          <w:rFonts w:hint="eastAsia"/>
        </w:rPr>
        <w:t>What</w:t>
      </w:r>
      <w:r>
        <w:t xml:space="preserve"> makes a like-minded friend?</w:t>
      </w:r>
      <w:r>
        <w:rPr>
          <w:rFonts w:hint="eastAsia"/>
        </w:rPr>
        <w:t>为例，系统阐释学科实践支架的建构帮助学生达成语言迁移性运用的设计与实施路径，为一线教师提供实践样例。</w:t>
      </w:r>
    </w:p>
    <w:p w14:paraId="2EF55D70">
      <w:pPr>
        <w:spacing w:line="360" w:lineRule="auto"/>
        <w:ind w:firstLine="420" w:firstLineChars="200"/>
      </w:pPr>
    </w:p>
    <w:p w14:paraId="5E05FFE3">
      <w:pPr>
        <w:spacing w:line="360" w:lineRule="auto"/>
        <w:rPr>
          <w:b/>
          <w:bCs/>
        </w:rPr>
      </w:pPr>
      <w:r>
        <w:rPr>
          <w:rFonts w:hint="eastAsia"/>
          <w:b/>
          <w:bCs/>
        </w:rPr>
        <w:t>二、概念界定</w:t>
      </w:r>
    </w:p>
    <w:p w14:paraId="60D766C9">
      <w:pPr>
        <w:spacing w:line="360" w:lineRule="auto"/>
      </w:pPr>
      <w:r>
        <w:tab/>
      </w:r>
      <w:r>
        <w:rPr>
          <w:rFonts w:hint="eastAsia"/>
          <w:b/>
          <w:bCs/>
        </w:rPr>
        <w:t>语言迁移性运用</w:t>
      </w:r>
      <w:r>
        <w:rPr>
          <w:rFonts w:hint="eastAsia"/>
        </w:rPr>
        <w:t>由“语言迁移”和“迁移性运用”两个概念复合而成。前者源于二语习得理论，指学习者已掌握的语言对学习新语言产生的影响。后者则超越“迁移”这一现象，强调教学过程中有意识、有策略地将所学内容有效、灵活地运用到新的、相似或相关的语言任务和真实情境中。</w:t>
      </w:r>
    </w:p>
    <w:p w14:paraId="62AA41B7">
      <w:pPr>
        <w:spacing w:line="360" w:lineRule="auto"/>
        <w:ind w:firstLine="420"/>
      </w:pPr>
      <w:r>
        <w:rPr>
          <w:rFonts w:hint="eastAsia"/>
        </w:rPr>
        <w:t>本课题中，“语言迁移性运用”指的是，在小学英语教学中，教师引导学生主动激活并利用其已有的语言知识，认知经验及学习策略，通过有设计的比较、类比、转换和创造，促进其对英语的准确理解、得体表达以及在真实或模拟情境中灵活解决问题的能力，实现从“学会语言内容”到“会用语言做事”的跨越。</w:t>
      </w:r>
    </w:p>
    <w:p w14:paraId="7AAB80D9">
      <w:pPr>
        <w:spacing w:line="360" w:lineRule="auto"/>
      </w:pPr>
      <w:r>
        <w:tab/>
      </w:r>
      <w:r>
        <w:rPr>
          <w:rFonts w:hint="eastAsia"/>
          <w:b/>
          <w:bCs/>
        </w:rPr>
        <w:t>学科实践支架</w:t>
      </w:r>
      <w:r>
        <w:rPr>
          <w:rFonts w:hint="eastAsia"/>
        </w:rPr>
        <w:t>融合了“学科实践”与“支架”两个概念。</w:t>
      </w:r>
      <w:r>
        <w:rPr>
          <w:rFonts w:hint="eastAsia"/>
          <w:b/>
          <w:bCs/>
        </w:rPr>
        <w:t>学科实践</w:t>
      </w:r>
      <w:r>
        <w:rPr>
          <w:rFonts w:hint="eastAsia"/>
        </w:rPr>
        <w:t>强调在“做中学”中体会学科思想方法，回归学科本质。英语学科的实践活动涉及感知、体验、积累和运用。</w:t>
      </w:r>
      <w:r>
        <w:rPr>
          <w:rFonts w:hint="eastAsia"/>
          <w:b/>
          <w:bCs/>
        </w:rPr>
        <w:t>支架</w:t>
      </w:r>
      <w:r>
        <w:rPr>
          <w:rFonts w:hint="eastAsia"/>
        </w:rPr>
        <w:t>源于</w:t>
      </w:r>
      <w:r>
        <w:t>维果茨基的“最近发展区”理论和布鲁纳的“支架式教学”。指为帮助学习者跨越当前水平、达成潜在发展水平而提供的临时性、适应性支持。</w:t>
      </w:r>
      <w:r>
        <w:rPr>
          <w:rFonts w:hint="eastAsia"/>
        </w:rPr>
        <w:t>常见支架类型有：范例支架、问题支架、图表/工具支架、策略支架等。</w:t>
      </w:r>
    </w:p>
    <w:p w14:paraId="056873FC">
      <w:pPr>
        <w:spacing w:line="360" w:lineRule="auto"/>
      </w:pPr>
      <w:r>
        <w:tab/>
      </w:r>
      <w:r>
        <w:rPr>
          <w:rStyle w:val="18"/>
        </w:rPr>
        <w:t>“学科实践支架”</w:t>
      </w:r>
      <w:r>
        <w:t xml:space="preserve"> 特指在小学英语的学科实践活动中，教师为了有效促进学生完成具有挑战性的语言</w:t>
      </w:r>
      <w:r>
        <w:rPr>
          <w:rFonts w:hint="eastAsia"/>
        </w:rPr>
        <w:t>学习</w:t>
      </w:r>
      <w:r>
        <w:t>任务、实现“语言迁移性运用”而设计并提供的一系列</w:t>
      </w:r>
      <w:r>
        <w:rPr>
          <w:rStyle w:val="18"/>
          <w:b w:val="0"/>
          <w:bCs w:val="0"/>
        </w:rPr>
        <w:t>结构化的、动态调整的、可视或可操作的教学支持工具、策略、流程与情境</w:t>
      </w:r>
      <w:r>
        <w:rPr>
          <w:b/>
          <w:bCs/>
        </w:rPr>
        <w:t>。</w:t>
      </w:r>
      <w:r>
        <w:t>它像一个“脚手架”，帮助学生从“依赖支持”到“独立运用”，最终在真实的语言实践中自主、灵活、创造性地</w:t>
      </w:r>
      <w:r>
        <w:rPr>
          <w:rFonts w:hint="eastAsia"/>
        </w:rPr>
        <w:t>运用语言。</w:t>
      </w:r>
    </w:p>
    <w:p w14:paraId="3F6E6C2D">
      <w:pPr>
        <w:spacing w:line="360" w:lineRule="auto"/>
      </w:pPr>
    </w:p>
    <w:p w14:paraId="1B7F861F">
      <w:pPr>
        <w:spacing w:line="360" w:lineRule="auto"/>
        <w:rPr>
          <w:b/>
          <w:bCs/>
        </w:rPr>
      </w:pPr>
      <w:r>
        <w:rPr>
          <w:rFonts w:hint="eastAsia"/>
          <w:b/>
          <w:bCs/>
        </w:rPr>
        <w:t>三、设计思路</w:t>
      </w:r>
    </w:p>
    <w:p w14:paraId="59BF78ED">
      <w:pPr>
        <w:spacing w:line="360" w:lineRule="auto"/>
        <w:ind w:firstLine="420" w:firstLineChars="200"/>
      </w:pPr>
      <w:r>
        <w:rPr>
          <w:rFonts w:hint="eastAsia"/>
        </w:rPr>
        <w:t>本研究在主题育人意义探究的情境中，重点研究学科实践支架的设计和运用如何帮助学生真正达成语言迁移性运用。接下来，我们将以牛津（上海版）五年级第一学期</w:t>
      </w:r>
      <w:r>
        <w:t>M2U2 Period 2 What makes a like-minded friend?</w:t>
      </w:r>
      <w:r>
        <w:rPr>
          <w:rFonts w:hint="eastAsia"/>
        </w:rPr>
        <w:t>一课为例，从语言迁移性运用的本质出发，围绕迁移性运用的典型特征，阐释学科实践支架的建构。</w:t>
      </w:r>
    </w:p>
    <w:p w14:paraId="650E0A81">
      <w:pPr>
        <w:spacing w:line="360" w:lineRule="auto"/>
        <w:ind w:firstLine="420" w:firstLineChars="200"/>
      </w:pPr>
      <w:r>
        <w:rPr>
          <w:rFonts w:hint="eastAsia"/>
        </w:rPr>
        <w:t>语言迁移性运用能力的终极体现为“迁移创新”，它也是</w:t>
      </w:r>
      <w:r>
        <w:rPr>
          <w:rFonts w:hint="eastAsia"/>
          <w:color w:val="0000FF"/>
        </w:rPr>
        <w:t>英语学习活动观的最高目标</w:t>
      </w:r>
      <w:r>
        <w:rPr>
          <w:rFonts w:hint="eastAsia"/>
        </w:rPr>
        <w:t>。语言迁移性运用绝非一个简单的输出过程，而是一个复杂的、内隐的认知重构与创造性产出的学习过程。它是学生在新情境、新任务中，主动调动并重构已学知识、技能和策略，解决新问题或创造新意义的深度学习过程。学生达成迁移性运用需要经历内在认知重构过程，从解构原有认知，到识别提取相关知识，直至最后在新情境中进行筛选、整合、重组，进而创造性地进行语言和意义的产出，形成深度理解和价值认同。那么，如何借助学科实践支架帮助学生顺利进行解构，提取，重组成为了达成语言迁移性运用的关键。</w:t>
      </w:r>
    </w:p>
    <w:p w14:paraId="15E4BA7B">
      <w:pPr>
        <w:spacing w:line="360" w:lineRule="auto"/>
        <w:ind w:firstLine="420"/>
        <w:rPr>
          <w:rFonts w:hint="eastAsia" w:eastAsiaTheme="minorEastAsia"/>
          <w:lang w:eastAsia="zh-CN"/>
        </w:rPr>
      </w:pPr>
      <w:r>
        <w:rPr>
          <w:rFonts w:hint="eastAsia"/>
        </w:rPr>
        <w:t>我们</w:t>
      </w:r>
      <w:r>
        <w:t>综合借鉴了情境认知理论、高阶思维理论、二语习得输出理论、交际教学法原则以及元认知理论，</w:t>
      </w:r>
      <w:r>
        <w:rPr>
          <w:rFonts w:hint="eastAsia"/>
        </w:rPr>
        <w:t>将迁移创新的发生过程从五维特征进行归纳，依次为</w:t>
      </w:r>
      <w:r>
        <w:rPr>
          <w:rFonts w:hint="eastAsia"/>
          <w:color w:val="0000FF"/>
        </w:rPr>
        <w:t>“情境陌生度”“思维综合性”“语言转化性”“产出意义性”“认知升华性”</w:t>
      </w:r>
      <w:r>
        <w:rPr>
          <w:color w:val="0000FF"/>
        </w:rPr>
        <w:t xml:space="preserve"> </w:t>
      </w:r>
      <w:r>
        <w:rPr>
          <w:rFonts w:hint="eastAsia"/>
        </w:rPr>
        <w:t>，从而</w:t>
      </w:r>
      <w:r>
        <w:t>揭示</w:t>
      </w:r>
      <w:r>
        <w:rPr>
          <w:rFonts w:hint="eastAsia"/>
        </w:rPr>
        <w:t>其</w:t>
      </w:r>
      <w:r>
        <w:t>内在机制</w:t>
      </w:r>
      <w:r>
        <w:rPr>
          <w:rFonts w:hint="eastAsia"/>
        </w:rPr>
        <w:t>。这五个维度构成了驱动学生迁移创新的动态循环系统，从触发认知需求，到内部认知重构，到思维外化呈现，再到提供语用价值，再到建构深层理解，最终形成更高阶的认知与语言储备进入新一轮的迁移创新。因此，在单课的教学设计中，我们借助学科实践支架，同时作用于这五个维度，推动语言迁移性运用的有效达成。</w:t>
      </w:r>
      <w:r>
        <w:rPr>
          <w:rFonts w:hint="eastAsia"/>
          <w:lang w:eastAsia="zh-CN"/>
        </w:rPr>
        <w:t>（</w:t>
      </w:r>
      <w:r>
        <w:rPr>
          <w:rFonts w:hint="eastAsia"/>
          <w:lang w:val="en-US" w:eastAsia="zh-CN"/>
        </w:rPr>
        <w:t>建议给出图表名称</w:t>
      </w:r>
      <w:r>
        <w:rPr>
          <w:rFonts w:hint="eastAsia"/>
          <w:lang w:eastAsia="zh-CN"/>
        </w:rPr>
        <w:t>）</w:t>
      </w:r>
    </w:p>
    <w:p w14:paraId="6B05792D">
      <w:pPr>
        <w:spacing w:line="360" w:lineRule="auto"/>
        <w:ind w:firstLine="420"/>
        <w:jc w:val="center"/>
      </w:pPr>
      <w:r>
        <w:drawing>
          <wp:inline distT="0" distB="0" distL="0" distR="0">
            <wp:extent cx="4102100" cy="2306955"/>
            <wp:effectExtent l="0" t="0" r="0" b="4445"/>
            <wp:docPr id="3074827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82742" name="图片 1"/>
                    <pic:cNvPicPr>
                      <a:picLocks noChangeAspect="1"/>
                    </pic:cNvPicPr>
                  </pic:nvPicPr>
                  <pic:blipFill>
                    <a:blip r:embed="rId6"/>
                    <a:stretch>
                      <a:fillRect/>
                    </a:stretch>
                  </pic:blipFill>
                  <pic:spPr>
                    <a:xfrm>
                      <a:off x="0" y="0"/>
                      <a:ext cx="4142798" cy="2329993"/>
                    </a:xfrm>
                    <a:prstGeom prst="rect">
                      <a:avLst/>
                    </a:prstGeom>
                  </pic:spPr>
                </pic:pic>
              </a:graphicData>
            </a:graphic>
          </wp:inline>
        </w:drawing>
      </w:r>
    </w:p>
    <w:p w14:paraId="7BBA1306">
      <w:pPr>
        <w:spacing w:line="360" w:lineRule="auto"/>
        <w:rPr>
          <w:b/>
          <w:bCs/>
        </w:rPr>
      </w:pPr>
      <w:r>
        <w:rPr>
          <w:rFonts w:hint="eastAsia"/>
          <w:b/>
          <w:bCs/>
        </w:rPr>
        <w:t>（一）情境支架的建构——语言迁移性运用的触发按钮</w:t>
      </w:r>
    </w:p>
    <w:p w14:paraId="17802CA3">
      <w:pPr>
        <w:spacing w:line="360" w:lineRule="auto"/>
        <w:ind w:firstLine="420" w:firstLineChars="200"/>
      </w:pPr>
      <w:r>
        <w:rPr>
          <w:rFonts w:hint="eastAsia"/>
        </w:rPr>
        <w:t>“情境陌生度”创设认知冲突与需求，是迁移的起点。当学生身处完全熟悉的情境时，只需自动调用已有模式。而当情境出现“陌生”元素时，大脑的自动模式被中断，主动的认知加工便启动了。因此，教师借助情境支架调整情境变量，从而在学生的“最近发展区”内制造恰当的陌生感与挑战。</w:t>
      </w:r>
    </w:p>
    <w:p w14:paraId="72064250">
      <w:pPr>
        <w:spacing w:line="360" w:lineRule="auto"/>
        <w:ind w:firstLine="420" w:firstLineChars="200"/>
      </w:pPr>
      <w:r>
        <w:rPr>
          <w:rFonts w:hint="eastAsia"/>
        </w:rPr>
        <w:t>以牛津（上海版）五年级第一学期</w:t>
      </w:r>
      <w:r>
        <w:t>M2U2 Friends</w:t>
      </w:r>
      <w:r>
        <w:rPr>
          <w:rFonts w:hint="eastAsia"/>
        </w:rPr>
        <w:t>中</w:t>
      </w:r>
      <w:r>
        <w:t>Look and say</w:t>
      </w:r>
      <w:r>
        <w:rPr>
          <w:rFonts w:hint="eastAsia"/>
        </w:rPr>
        <w:t>板块的教学为例，该语篇讲述了</w:t>
      </w:r>
      <w:r>
        <w:t>Kitty</w:t>
      </w:r>
      <w:r>
        <w:rPr>
          <w:rFonts w:hint="eastAsia"/>
        </w:rPr>
        <w:t>与自己的好朋友</w:t>
      </w:r>
      <w:r>
        <w:t>Alice</w:t>
      </w:r>
      <w:r>
        <w:rPr>
          <w:rFonts w:hint="eastAsia"/>
        </w:rPr>
        <w:t>在学校信息、运动、为人处事等方面的异同。表达了好朋友之间既有相同之处，也有不同之处。好朋友的关键在于彼此喜欢，互相认可。为了使情境在学生的“最近发展区”内产生一定的陌生感和挑战，同时符合学生的审美情趣和认知水平，教师建构了以下2个情境支架。</w:t>
      </w:r>
    </w:p>
    <w:p w14:paraId="518A29BA">
      <w:pPr>
        <w:spacing w:line="360" w:lineRule="auto"/>
        <w:ind w:firstLine="420" w:firstLineChars="200"/>
      </w:pPr>
      <w:r>
        <w:rPr>
          <w:rFonts w:hint="eastAsia"/>
        </w:rPr>
        <w:t>支架1: 观看介绍《哪吒》电影中典型人物间关系的视频，判断他们是否是朋友。</w:t>
      </w:r>
    </w:p>
    <w:p w14:paraId="5949CD81">
      <w:pPr>
        <w:spacing w:line="360" w:lineRule="auto"/>
        <w:ind w:firstLine="420" w:firstLineChars="200"/>
      </w:pPr>
      <w:r>
        <w:rPr>
          <w:rFonts w:hint="eastAsia"/>
        </w:rPr>
        <w:t>教师通过《哪吒》宣传海报介绍引入情境，并提出问题。</w:t>
      </w:r>
    </w:p>
    <w:p w14:paraId="75857124">
      <w:pPr>
        <w:spacing w:line="360" w:lineRule="auto"/>
        <w:ind w:firstLine="420" w:firstLineChars="200"/>
      </w:pPr>
      <w:r>
        <w:rPr>
          <w:rFonts w:hint="eastAsia"/>
        </w:rPr>
        <w:t>Q</w:t>
      </w:r>
      <w:r>
        <w:t>: There are many characters. Are they friends?</w:t>
      </w:r>
    </w:p>
    <w:p w14:paraId="47A3B803">
      <w:pPr>
        <w:spacing w:line="360" w:lineRule="auto"/>
        <w:ind w:firstLine="420" w:firstLineChars="200"/>
      </w:pPr>
      <w:r>
        <w:rPr>
          <w:rFonts w:hint="eastAsia"/>
        </w:rPr>
        <w:t>学生观看视频后作出判断。教师引导学生阅读文本，寻找关键信息，发现人物间的特点，即哪吒与敖丙虽是朋友但</w:t>
      </w:r>
      <w:r>
        <w:rPr>
          <w:rFonts w:hint="eastAsia"/>
          <w:color w:val="0000FF"/>
          <w:lang w:val="en-US" w:eastAsia="zh-CN"/>
        </w:rPr>
        <w:t>他</w:t>
      </w:r>
      <w:r>
        <w:rPr>
          <w:rFonts w:hint="eastAsia"/>
        </w:rPr>
        <w:t>们却大不相同；太乙真人和申公豹虽师出同门但却并非朋友。</w:t>
      </w:r>
    </w:p>
    <w:p w14:paraId="5D205078">
      <w:pPr>
        <w:spacing w:line="360" w:lineRule="auto"/>
        <w:ind w:firstLine="420" w:firstLineChars="200"/>
        <w:rPr>
          <w:rFonts w:hint="eastAsia" w:eastAsiaTheme="minorEastAsia"/>
          <w:lang w:eastAsia="zh-CN"/>
        </w:rPr>
      </w:pPr>
      <w:r>
        <w:rPr>
          <w:rFonts w:hint="eastAsia"/>
        </w:rPr>
        <w:t>支架2: 视听哪吒与太乙真人的独白，探究朋友与否的背后缘由。</w:t>
      </w:r>
      <w:bookmarkStart w:id="0" w:name="_GoBack"/>
      <w:bookmarkEnd w:id="0"/>
    </w:p>
    <w:p w14:paraId="5C7B333B">
      <w:pPr>
        <w:spacing w:line="360" w:lineRule="auto"/>
        <w:ind w:firstLine="420" w:firstLineChars="200"/>
      </w:pPr>
      <w:r>
        <w:rPr>
          <w:rFonts w:hint="eastAsia"/>
        </w:rPr>
        <w:t>学生观看视频后，在教师的引导下阅读文本，寻找关键信息，并在学习的过程中逐步得出结论，即哪吒与敖丙虽大不相同，但他们却拥有相同的志向和相同的选择，所谓“志同道合”；太乙真人与申公豹虽师出同门，他们原本志向虽同却选择不同，最终成不了朋友，所谓“道不同不相为谋”。</w:t>
      </w:r>
    </w:p>
    <w:p w14:paraId="25F33DDB">
      <w:pPr>
        <w:spacing w:line="360" w:lineRule="auto"/>
        <w:ind w:firstLine="420" w:firstLineChars="200"/>
      </w:pPr>
      <w:r>
        <w:rPr>
          <w:rFonts w:hint="eastAsia"/>
        </w:rPr>
        <w:t>借助“情境支架”，将育人情境融入真实世界的问题。通过引入开放性、复杂性的现实问题这一方式调整情境变量，使学生既熟悉又陌生。熟悉的是“朋友与自己的同与不同”，陌生的是对“不同特点却是朋友，师出同门却不相为谋”的新思考。</w:t>
      </w:r>
    </w:p>
    <w:p w14:paraId="402B0B78">
      <w:pPr>
        <w:spacing w:line="360" w:lineRule="auto"/>
      </w:pPr>
    </w:p>
    <w:p w14:paraId="0D231474">
      <w:pPr>
        <w:spacing w:line="360" w:lineRule="auto"/>
        <w:rPr>
          <w:b/>
          <w:bCs/>
        </w:rPr>
      </w:pPr>
      <w:r>
        <w:rPr>
          <w:rFonts w:hint="eastAsia"/>
          <w:b/>
          <w:bCs/>
        </w:rPr>
        <w:t>（二）问题支架的建构——语言迁移性运用的启动引擎</w:t>
      </w:r>
    </w:p>
    <w:p w14:paraId="58DB39BB">
      <w:pPr>
        <w:spacing w:line="360" w:lineRule="auto"/>
        <w:ind w:firstLine="420" w:firstLineChars="200"/>
      </w:pPr>
      <w:r>
        <w:rPr>
          <w:rFonts w:hint="eastAsia"/>
        </w:rPr>
        <w:t>当学生在面对语言迁移性运用的挑战时，“综合性思维”将对信息展开逐层加工。首先，通过筛选与提取，识别新旧间的关联；接着，通过关联与整合建立联系；最后，通过转化与重组改造原有知识结构。它要求学生在分析新旧情境间关联的基础上进行“信息整合”与“策略调用”，从而实现高阶思维的活动，达成内部认知的重构。正是“思维的综合性”使语言的迁移性运用得以体现适切、创新、有深度。</w:t>
      </w:r>
    </w:p>
    <w:p w14:paraId="2E4B55F9">
      <w:pPr>
        <w:spacing w:line="360" w:lineRule="auto"/>
        <w:ind w:firstLine="420" w:firstLineChars="200"/>
      </w:pPr>
      <w:r>
        <w:rPr>
          <w:rFonts w:hint="eastAsia"/>
        </w:rPr>
        <w:t>问题支架就是引导思维加工的工具。为了使“问题支架”助力综合性思维的发展，教师在问题链的设计时应指向“筛选与提取”“关联与整合”“转化与重组”的思维加工层次。</w:t>
      </w:r>
    </w:p>
    <w:p w14:paraId="73CF5673">
      <w:pPr>
        <w:spacing w:line="360" w:lineRule="auto"/>
        <w:ind w:firstLine="420"/>
      </w:pPr>
      <w:r>
        <w:rPr>
          <w:rFonts w:hint="eastAsia"/>
        </w:rPr>
        <w:t>在本课例中，教师设计了“问题链”作为问题支架，由表及里，由易到难，联系情境的同时，指向思维加工的不同层次，串联整个思维的过程。</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2268"/>
        <w:gridCol w:w="5571"/>
      </w:tblGrid>
      <w:tr w14:paraId="1DA95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3D4D2459">
            <w:pPr>
              <w:spacing w:line="360" w:lineRule="auto"/>
              <w:jc w:val="center"/>
              <w:rPr>
                <w:b/>
                <w:bCs/>
              </w:rPr>
            </w:pPr>
            <w:r>
              <w:rPr>
                <w:rFonts w:hint="eastAsia"/>
                <w:b/>
                <w:bCs/>
              </w:rPr>
              <w:t>思维加工层次</w:t>
            </w:r>
          </w:p>
        </w:tc>
        <w:tc>
          <w:tcPr>
            <w:tcW w:w="2268" w:type="dxa"/>
          </w:tcPr>
          <w:p w14:paraId="53783D6D">
            <w:pPr>
              <w:spacing w:line="360" w:lineRule="auto"/>
              <w:jc w:val="center"/>
              <w:rPr>
                <w:b/>
                <w:bCs/>
              </w:rPr>
            </w:pPr>
            <w:r>
              <w:rPr>
                <w:rFonts w:hint="eastAsia"/>
                <w:b/>
                <w:bCs/>
              </w:rPr>
              <w:t>问题支架的用途</w:t>
            </w:r>
          </w:p>
        </w:tc>
        <w:tc>
          <w:tcPr>
            <w:tcW w:w="5571" w:type="dxa"/>
          </w:tcPr>
          <w:p w14:paraId="46D9694C">
            <w:pPr>
              <w:spacing w:line="360" w:lineRule="auto"/>
              <w:jc w:val="center"/>
              <w:rPr>
                <w:b/>
                <w:bCs/>
              </w:rPr>
            </w:pPr>
            <w:r>
              <w:rPr>
                <w:rFonts w:hint="eastAsia"/>
                <w:b/>
                <w:bCs/>
              </w:rPr>
              <w:t>问题链的设计</w:t>
            </w:r>
          </w:p>
        </w:tc>
      </w:tr>
      <w:tr w14:paraId="3F85E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0438BE37">
            <w:pPr>
              <w:spacing w:line="360" w:lineRule="auto"/>
              <w:jc w:val="center"/>
            </w:pPr>
            <w:r>
              <w:rPr>
                <w:rFonts w:hint="eastAsia"/>
              </w:rPr>
              <w:t>筛选与提取</w:t>
            </w:r>
          </w:p>
        </w:tc>
        <w:tc>
          <w:tcPr>
            <w:tcW w:w="2268" w:type="dxa"/>
            <w:vAlign w:val="center"/>
          </w:tcPr>
          <w:p w14:paraId="0FE5F36A">
            <w:pPr>
              <w:spacing w:line="360" w:lineRule="auto"/>
              <w:jc w:val="center"/>
            </w:pPr>
            <w:r>
              <w:rPr>
                <w:rFonts w:hint="eastAsia"/>
              </w:rPr>
              <w:t>激活背景知识，建立初步联系。</w:t>
            </w:r>
          </w:p>
        </w:tc>
        <w:tc>
          <w:tcPr>
            <w:tcW w:w="5571" w:type="dxa"/>
          </w:tcPr>
          <w:p w14:paraId="68BA6E5A">
            <w:pPr>
              <w:spacing w:line="360" w:lineRule="auto"/>
              <w:jc w:val="left"/>
            </w:pPr>
            <w:r>
              <w:t xml:space="preserve">1. </w:t>
            </w:r>
            <w:r>
              <w:rPr>
                <w:rFonts w:hint="eastAsia"/>
              </w:rPr>
              <w:t>W</w:t>
            </w:r>
            <w:r>
              <w:t xml:space="preserve">ho are friends? </w:t>
            </w:r>
          </w:p>
          <w:p w14:paraId="03B7DC2A">
            <w:pPr>
              <w:spacing w:line="360" w:lineRule="auto"/>
              <w:jc w:val="left"/>
            </w:pPr>
            <w:r>
              <w:t>2. Who are not friends?</w:t>
            </w:r>
          </w:p>
        </w:tc>
      </w:tr>
      <w:tr w14:paraId="67BF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0E548DF0">
            <w:pPr>
              <w:spacing w:line="360" w:lineRule="auto"/>
              <w:jc w:val="center"/>
            </w:pPr>
            <w:r>
              <w:rPr>
                <w:rFonts w:hint="eastAsia"/>
              </w:rPr>
              <w:t>关联与整合</w:t>
            </w:r>
          </w:p>
        </w:tc>
        <w:tc>
          <w:tcPr>
            <w:tcW w:w="2268" w:type="dxa"/>
            <w:vAlign w:val="center"/>
          </w:tcPr>
          <w:p w14:paraId="5CD5FA4A">
            <w:pPr>
              <w:spacing w:line="360" w:lineRule="auto"/>
              <w:jc w:val="center"/>
            </w:pPr>
            <w:r>
              <w:rPr>
                <w:rFonts w:hint="eastAsia"/>
              </w:rPr>
              <w:t>建立知识间、知识与情境间的深度联系。</w:t>
            </w:r>
          </w:p>
        </w:tc>
        <w:tc>
          <w:tcPr>
            <w:tcW w:w="5571" w:type="dxa"/>
          </w:tcPr>
          <w:p w14:paraId="0071A4EF">
            <w:pPr>
              <w:spacing w:line="360" w:lineRule="auto"/>
              <w:jc w:val="left"/>
            </w:pPr>
            <w:r>
              <w:t>3. Why can Nezha and Aobing be friends?</w:t>
            </w:r>
          </w:p>
          <w:p w14:paraId="17EFDB60">
            <w:pPr>
              <w:spacing w:line="360" w:lineRule="auto"/>
              <w:jc w:val="left"/>
            </w:pPr>
            <w:r>
              <w:t>4. Why can’t Taiyi and Shen Gongbao be friends?</w:t>
            </w:r>
          </w:p>
        </w:tc>
      </w:tr>
      <w:tr w14:paraId="4866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6526036C">
            <w:pPr>
              <w:spacing w:line="360" w:lineRule="auto"/>
              <w:jc w:val="center"/>
            </w:pPr>
            <w:r>
              <w:rPr>
                <w:rFonts w:hint="eastAsia"/>
              </w:rPr>
              <w:t>转化与重组</w:t>
            </w:r>
          </w:p>
        </w:tc>
        <w:tc>
          <w:tcPr>
            <w:tcW w:w="2268" w:type="dxa"/>
            <w:vAlign w:val="center"/>
          </w:tcPr>
          <w:p w14:paraId="7E5E3174">
            <w:pPr>
              <w:spacing w:line="360" w:lineRule="auto"/>
              <w:jc w:val="center"/>
            </w:pPr>
            <w:r>
              <w:rPr>
                <w:rFonts w:hint="eastAsia"/>
              </w:rPr>
              <w:t>突破原有框架，创造性地产出新成果。</w:t>
            </w:r>
          </w:p>
        </w:tc>
        <w:tc>
          <w:tcPr>
            <w:tcW w:w="5571" w:type="dxa"/>
          </w:tcPr>
          <w:p w14:paraId="03B4F1D4">
            <w:pPr>
              <w:spacing w:line="360" w:lineRule="auto"/>
              <w:jc w:val="left"/>
            </w:pPr>
            <w:r>
              <w:t>5. What do you know about “FRIENDS”?</w:t>
            </w:r>
          </w:p>
          <w:p w14:paraId="7C56D954">
            <w:pPr>
              <w:spacing w:line="360" w:lineRule="auto"/>
              <w:jc w:val="left"/>
            </w:pPr>
            <w:r>
              <w:t>6. Does Jiaozi have like-minded friends?</w:t>
            </w:r>
          </w:p>
          <w:p w14:paraId="7E9C2C91">
            <w:pPr>
              <w:spacing w:line="360" w:lineRule="auto"/>
              <w:jc w:val="left"/>
            </w:pPr>
            <w:r>
              <w:t>7. Do you have a like-minded friend?</w:t>
            </w:r>
          </w:p>
        </w:tc>
      </w:tr>
    </w:tbl>
    <w:p w14:paraId="689CD494">
      <w:pPr>
        <w:spacing w:line="360" w:lineRule="auto"/>
        <w:ind w:firstLine="420"/>
      </w:pPr>
      <w:r>
        <w:rPr>
          <w:rFonts w:hint="eastAsia"/>
        </w:rPr>
        <w:t>教师通过W</w:t>
      </w:r>
      <w:r>
        <w:t>ho are friends? Who are not friends?</w:t>
      </w:r>
      <w:r>
        <w:rPr>
          <w:rFonts w:hint="eastAsia"/>
        </w:rPr>
        <w:t xml:space="preserve"> 这两个问题帮助学生激活对《哪吒》电影的已有认知，并将学习的视角从电影内容聚焦到对</w:t>
      </w:r>
      <w:r>
        <w:t>friend</w:t>
      </w:r>
      <w:r>
        <w:rPr>
          <w:rFonts w:hint="eastAsia"/>
        </w:rPr>
        <w:t>s这一主题的学习中来，建立起初步的联系。紧接着，教师提出指向主题意义理解的关键问题</w:t>
      </w:r>
      <w:r>
        <w:t xml:space="preserve">Why can Nezha and Aobing be friends? Why can’t Taiyi and Shen Gongbao be friends? </w:t>
      </w:r>
      <w:r>
        <w:rPr>
          <w:rFonts w:hint="eastAsia"/>
        </w:rPr>
        <w:t>围绕</w:t>
      </w:r>
      <w:r>
        <w:t>What makes a like-minded friend?</w:t>
      </w:r>
      <w:r>
        <w:rPr>
          <w:rFonts w:hint="eastAsia"/>
        </w:rPr>
        <w:t>这一课时话题进行深入的探究。哪吒和敖丙不同却成为朋友，太乙真人和申公豹师出同门却不相为谋，教师以此引导学生从正反两方面进行对主题意义进行理解论证，将</w:t>
      </w:r>
      <w:r>
        <w:t>the same ambitions (</w:t>
      </w:r>
      <w:r>
        <w:rPr>
          <w:rFonts w:hint="eastAsia"/>
        </w:rPr>
        <w:t>志同)和</w:t>
      </w:r>
      <w:r>
        <w:t>the same choices</w:t>
      </w:r>
      <w:r>
        <w:rPr>
          <w:rFonts w:hint="eastAsia"/>
        </w:rPr>
        <w:t>（道和）建立起深度关联。最后，教师联系生活实际，突破学习内容的局限，提出</w:t>
      </w:r>
      <w:r>
        <w:t>What do you know about “FRIENDS”? Does Jiaozi have like-minded friends? Do you have a like-minded friend?</w:t>
      </w:r>
      <w:r>
        <w:rPr>
          <w:rFonts w:hint="eastAsia"/>
        </w:rPr>
        <w:t>三个问题，基于对本课主题育人意义的理解指导学生对生活的思考，通过语言迁移性运用创造产出新成果。</w:t>
      </w:r>
    </w:p>
    <w:p w14:paraId="666F1CC7">
      <w:pPr>
        <w:spacing w:line="360" w:lineRule="auto"/>
      </w:pPr>
    </w:p>
    <w:p w14:paraId="756A7B8E">
      <w:pPr>
        <w:spacing w:line="360" w:lineRule="auto"/>
        <w:rPr>
          <w:b/>
          <w:bCs/>
        </w:rPr>
      </w:pPr>
      <w:r>
        <w:rPr>
          <w:rFonts w:hint="eastAsia"/>
          <w:b/>
          <w:bCs/>
        </w:rPr>
        <w:t>（三）图表工具支架的建构——语言迁移性运用的外显载体</w:t>
      </w:r>
    </w:p>
    <w:p w14:paraId="467078DB">
      <w:pPr>
        <w:spacing w:line="360" w:lineRule="auto"/>
        <w:ind w:firstLine="420" w:firstLineChars="200"/>
      </w:pPr>
      <w:r>
        <w:rPr>
          <w:rFonts w:hint="eastAsia"/>
        </w:rPr>
        <w:t>“语言的转化性”是学生在新情境的语言学习任务中主动对所学内容进行调整重组，通过创造性地运用来适配新情境中学习任务的要求。在语言迁移性运用的过程中，它承担着思维外化，创造性表达的桥梁作用。没有语言的转化，任何思维、想法都无法通过英语得以有效表达。转化的本身也意味着学生从学习理解语言真正转向迁移运用语言。</w:t>
      </w:r>
    </w:p>
    <w:p w14:paraId="7B3C7084">
      <w:pPr>
        <w:spacing w:line="360" w:lineRule="auto"/>
        <w:ind w:firstLine="420" w:firstLineChars="200"/>
      </w:pPr>
      <w:r>
        <w:rPr>
          <w:rFonts w:hint="eastAsia"/>
        </w:rPr>
        <w:t>板书是课堂教学中最直观呈现语言内容与表达思维的工具，其作为一种图表工具支架更是引导学生进行语言转化的脚手架，贯穿学习理解、实践应用和迁移创新的整个过程。在学习理解阶段，板书清晰地呈现出课时的核心内容及内在的逻辑关系，帮助学生解构原有认知。学生通过板书内容明确“我有怎样的语言内容”，进而才能在新情境新问题中思考“我能如何运用语言表达思想”，为迁移创新打牢基础。在应用实践阶段，教师通过增补、调整向学生直观展示语言迁移运用的过程，辅助学生看清语言迁移性运用的过程。而在迁移创新阶段，教师可以保留板书的核心内容，通过留白转化为学生自主达成语言迁移性运用的脚手架。</w:t>
      </w:r>
    </w:p>
    <w:p w14:paraId="44D7BAAA">
      <w:pPr>
        <w:spacing w:line="360" w:lineRule="auto"/>
        <w:ind w:firstLine="420" w:firstLineChars="200"/>
      </w:pPr>
      <w:r>
        <w:rPr>
          <w:rFonts w:hint="eastAsia"/>
        </w:rPr>
        <w:t>在本课例中，为了使学生最终达成语言迁移性运用，教师充分借助板书在三类学习活动中帮助学生解构认知、辅助转化、搭建支架。</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130"/>
        <w:gridCol w:w="4756"/>
        <w:gridCol w:w="709"/>
        <w:gridCol w:w="1177"/>
      </w:tblGrid>
      <w:tr w14:paraId="225A6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gridSpan w:val="2"/>
          </w:tcPr>
          <w:p w14:paraId="5738DDCF">
            <w:pPr>
              <w:spacing w:line="360" w:lineRule="auto"/>
              <w:jc w:val="center"/>
              <w:rPr>
                <w:b/>
                <w:bCs/>
              </w:rPr>
            </w:pPr>
            <w:r>
              <w:rPr>
                <w:rFonts w:hint="eastAsia"/>
                <w:b/>
                <w:bCs/>
              </w:rPr>
              <w:t>学习活动</w:t>
            </w:r>
          </w:p>
        </w:tc>
        <w:tc>
          <w:tcPr>
            <w:tcW w:w="6560" w:type="dxa"/>
            <w:gridSpan w:val="3"/>
          </w:tcPr>
          <w:p w14:paraId="3F6F0D34">
            <w:pPr>
              <w:spacing w:line="360" w:lineRule="auto"/>
              <w:jc w:val="center"/>
              <w:rPr>
                <w:b/>
                <w:bCs/>
              </w:rPr>
            </w:pPr>
            <w:r>
              <w:rPr>
                <w:rFonts w:hint="eastAsia"/>
                <w:b/>
                <w:bCs/>
              </w:rPr>
              <w:t>板书设计</w:t>
            </w:r>
          </w:p>
        </w:tc>
      </w:tr>
      <w:tr w14:paraId="6B91E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F01176D">
            <w:pPr>
              <w:spacing w:line="360" w:lineRule="auto"/>
              <w:jc w:val="center"/>
              <w:rPr>
                <w:b/>
                <w:bCs/>
              </w:rPr>
            </w:pPr>
            <w:r>
              <w:rPr>
                <w:rFonts w:hint="eastAsia"/>
                <w:b/>
                <w:bCs/>
              </w:rPr>
              <w:t>活动类型</w:t>
            </w:r>
          </w:p>
        </w:tc>
        <w:tc>
          <w:tcPr>
            <w:tcW w:w="2130" w:type="dxa"/>
            <w:vAlign w:val="center"/>
          </w:tcPr>
          <w:p w14:paraId="07EC863F">
            <w:pPr>
              <w:spacing w:line="360" w:lineRule="auto"/>
              <w:jc w:val="center"/>
              <w:rPr>
                <w:b/>
                <w:bCs/>
              </w:rPr>
            </w:pPr>
            <w:r>
              <w:rPr>
                <w:rFonts w:hint="eastAsia"/>
                <w:b/>
                <w:bCs/>
              </w:rPr>
              <w:t>活动内容</w:t>
            </w:r>
          </w:p>
        </w:tc>
        <w:tc>
          <w:tcPr>
            <w:tcW w:w="4674" w:type="dxa"/>
            <w:vAlign w:val="center"/>
          </w:tcPr>
          <w:p w14:paraId="17E6C39B">
            <w:pPr>
              <w:spacing w:line="360" w:lineRule="auto"/>
              <w:jc w:val="center"/>
              <w:rPr>
                <w:b/>
                <w:bCs/>
              </w:rPr>
            </w:pPr>
            <w:r>
              <w:rPr>
                <w:rFonts w:hint="eastAsia"/>
                <w:b/>
                <w:bCs/>
              </w:rPr>
              <w:t>呈现内容</w:t>
            </w:r>
          </w:p>
        </w:tc>
        <w:tc>
          <w:tcPr>
            <w:tcW w:w="709" w:type="dxa"/>
            <w:vAlign w:val="center"/>
          </w:tcPr>
          <w:p w14:paraId="0AEAC4F0">
            <w:pPr>
              <w:spacing w:line="360" w:lineRule="auto"/>
              <w:jc w:val="center"/>
              <w:rPr>
                <w:b/>
                <w:bCs/>
              </w:rPr>
            </w:pPr>
            <w:r>
              <w:rPr>
                <w:rFonts w:hint="eastAsia"/>
                <w:b/>
                <w:bCs/>
              </w:rPr>
              <w:t>呈现特征</w:t>
            </w:r>
          </w:p>
        </w:tc>
        <w:tc>
          <w:tcPr>
            <w:tcW w:w="1177" w:type="dxa"/>
            <w:vAlign w:val="center"/>
          </w:tcPr>
          <w:p w14:paraId="50BB3DE7">
            <w:pPr>
              <w:spacing w:line="360" w:lineRule="auto"/>
              <w:jc w:val="center"/>
              <w:rPr>
                <w:b/>
                <w:bCs/>
              </w:rPr>
            </w:pPr>
            <w:r>
              <w:rPr>
                <w:rFonts w:hint="eastAsia"/>
                <w:b/>
                <w:bCs/>
              </w:rPr>
              <w:t>呈现作用</w:t>
            </w:r>
          </w:p>
        </w:tc>
      </w:tr>
      <w:tr w14:paraId="41C5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0EFB4DE">
            <w:pPr>
              <w:spacing w:line="360" w:lineRule="auto"/>
              <w:jc w:val="center"/>
            </w:pPr>
            <w:r>
              <w:rPr>
                <w:rFonts w:hint="eastAsia"/>
              </w:rPr>
              <w:t>学习理解</w:t>
            </w:r>
          </w:p>
        </w:tc>
        <w:tc>
          <w:tcPr>
            <w:tcW w:w="2130" w:type="dxa"/>
          </w:tcPr>
          <w:p w14:paraId="56FA615E">
            <w:pPr>
              <w:spacing w:line="360" w:lineRule="auto"/>
            </w:pPr>
            <w:r>
              <w:rPr>
                <w:rFonts w:hint="eastAsia"/>
              </w:rPr>
              <w:t>学生对哪吒独白进行视听和阅读，学习理解他们不同却能成为朋友的原因。</w:t>
            </w:r>
          </w:p>
        </w:tc>
        <w:tc>
          <w:tcPr>
            <w:tcW w:w="4674" w:type="dxa"/>
            <w:vAlign w:val="center"/>
          </w:tcPr>
          <w:p w14:paraId="5E76403E">
            <w:pPr>
              <w:spacing w:line="360" w:lineRule="auto"/>
              <w:jc w:val="center"/>
            </w:pPr>
            <w:r>
              <w:drawing>
                <wp:inline distT="0" distB="0" distL="0" distR="0">
                  <wp:extent cx="2879725" cy="1618615"/>
                  <wp:effectExtent l="0" t="0" r="3175" b="0"/>
                  <wp:docPr id="10076813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81399" name="图片 1"/>
                          <pic:cNvPicPr>
                            <a:picLocks noChangeAspect="1"/>
                          </pic:cNvPicPr>
                        </pic:nvPicPr>
                        <pic:blipFill>
                          <a:blip r:embed="rId7"/>
                          <a:stretch>
                            <a:fillRect/>
                          </a:stretch>
                        </pic:blipFill>
                        <pic:spPr>
                          <a:xfrm>
                            <a:off x="0" y="0"/>
                            <a:ext cx="2880000" cy="1618852"/>
                          </a:xfrm>
                          <a:prstGeom prst="rect">
                            <a:avLst/>
                          </a:prstGeom>
                        </pic:spPr>
                      </pic:pic>
                    </a:graphicData>
                  </a:graphic>
                </wp:inline>
              </w:drawing>
            </w:r>
          </w:p>
        </w:tc>
        <w:tc>
          <w:tcPr>
            <w:tcW w:w="709" w:type="dxa"/>
            <w:vAlign w:val="center"/>
          </w:tcPr>
          <w:p w14:paraId="798B7658">
            <w:pPr>
              <w:spacing w:line="360" w:lineRule="auto"/>
              <w:jc w:val="center"/>
            </w:pPr>
            <w:r>
              <w:rPr>
                <w:rFonts w:hint="eastAsia"/>
              </w:rPr>
              <w:t>动态生成</w:t>
            </w:r>
          </w:p>
        </w:tc>
        <w:tc>
          <w:tcPr>
            <w:tcW w:w="1177" w:type="dxa"/>
          </w:tcPr>
          <w:p w14:paraId="7647F66A">
            <w:pPr>
              <w:spacing w:line="360" w:lineRule="auto"/>
            </w:pPr>
            <w:r>
              <w:rPr>
                <w:rFonts w:hint="eastAsia"/>
              </w:rPr>
              <w:t>将学生思考后的回答提炼、重组并呈现，使思维过程可视化。</w:t>
            </w:r>
          </w:p>
        </w:tc>
      </w:tr>
      <w:tr w14:paraId="2EB73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vAlign w:val="center"/>
          </w:tcPr>
          <w:p w14:paraId="6BB93FAB">
            <w:pPr>
              <w:spacing w:line="360" w:lineRule="auto"/>
              <w:jc w:val="center"/>
            </w:pPr>
            <w:r>
              <w:rPr>
                <w:rFonts w:hint="eastAsia"/>
              </w:rPr>
              <w:t>实践运用</w:t>
            </w:r>
          </w:p>
        </w:tc>
        <w:tc>
          <w:tcPr>
            <w:tcW w:w="2130" w:type="dxa"/>
          </w:tcPr>
          <w:p w14:paraId="3CCC6E6B">
            <w:pPr>
              <w:spacing w:line="360" w:lineRule="auto"/>
            </w:pPr>
            <w:r>
              <w:rPr>
                <w:rFonts w:hint="eastAsia"/>
              </w:rPr>
              <w:t>学生对太乙真人独白进行视听和阅读，运用核心语言</w:t>
            </w:r>
            <w:r>
              <w:t>... both ...</w:t>
            </w:r>
            <w:r>
              <w:rPr>
                <w:rFonts w:hint="eastAsia"/>
              </w:rPr>
              <w:t>对他们的“志同道不和”进行表达运用。</w:t>
            </w:r>
          </w:p>
        </w:tc>
        <w:tc>
          <w:tcPr>
            <w:tcW w:w="4674" w:type="dxa"/>
          </w:tcPr>
          <w:p w14:paraId="09B4DCE9">
            <w:pPr>
              <w:spacing w:line="360" w:lineRule="auto"/>
              <w:jc w:val="center"/>
            </w:pPr>
            <w:r>
              <w:drawing>
                <wp:inline distT="0" distB="0" distL="0" distR="0">
                  <wp:extent cx="2879725" cy="1622425"/>
                  <wp:effectExtent l="0" t="0" r="3175" b="3175"/>
                  <wp:docPr id="11092860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286006" name="图片 1"/>
                          <pic:cNvPicPr>
                            <a:picLocks noChangeAspect="1"/>
                          </pic:cNvPicPr>
                        </pic:nvPicPr>
                        <pic:blipFill>
                          <a:blip r:embed="rId8"/>
                          <a:stretch>
                            <a:fillRect/>
                          </a:stretch>
                        </pic:blipFill>
                        <pic:spPr>
                          <a:xfrm>
                            <a:off x="0" y="0"/>
                            <a:ext cx="2880000" cy="1622527"/>
                          </a:xfrm>
                          <a:prstGeom prst="rect">
                            <a:avLst/>
                          </a:prstGeom>
                        </pic:spPr>
                      </pic:pic>
                    </a:graphicData>
                  </a:graphic>
                </wp:inline>
              </w:drawing>
            </w:r>
          </w:p>
        </w:tc>
        <w:tc>
          <w:tcPr>
            <w:tcW w:w="709" w:type="dxa"/>
            <w:vAlign w:val="center"/>
          </w:tcPr>
          <w:p w14:paraId="7A8B888B">
            <w:pPr>
              <w:spacing w:line="360" w:lineRule="auto"/>
              <w:jc w:val="center"/>
            </w:pPr>
            <w:r>
              <w:rPr>
                <w:rFonts w:hint="eastAsia"/>
              </w:rPr>
              <w:t>完善结构</w:t>
            </w:r>
          </w:p>
        </w:tc>
        <w:tc>
          <w:tcPr>
            <w:tcW w:w="1177" w:type="dxa"/>
            <w:vMerge w:val="restart"/>
            <w:vAlign w:val="center"/>
          </w:tcPr>
          <w:p w14:paraId="56023BA6">
            <w:pPr>
              <w:spacing w:line="360" w:lineRule="auto"/>
              <w:jc w:val="center"/>
            </w:pPr>
            <w:r>
              <w:rPr>
                <w:rFonts w:hint="eastAsia"/>
              </w:rPr>
              <w:t>围绕主题意义完善思维框架，为学生模仿、运用提供支持。</w:t>
            </w:r>
          </w:p>
        </w:tc>
      </w:tr>
      <w:tr w14:paraId="50D53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37ACADDA">
            <w:pPr>
              <w:spacing w:line="360" w:lineRule="auto"/>
              <w:jc w:val="center"/>
            </w:pPr>
          </w:p>
        </w:tc>
        <w:tc>
          <w:tcPr>
            <w:tcW w:w="2130" w:type="dxa"/>
          </w:tcPr>
          <w:p w14:paraId="76965EC8">
            <w:pPr>
              <w:spacing w:line="360" w:lineRule="auto"/>
            </w:pPr>
            <w:r>
              <w:rPr>
                <w:rFonts w:hint="eastAsia"/>
              </w:rPr>
              <w:t>学生再读哪吒独白，进一步深入思考他们是否真正志同道合，并运用语言进行表达。</w:t>
            </w:r>
          </w:p>
        </w:tc>
        <w:tc>
          <w:tcPr>
            <w:tcW w:w="4674" w:type="dxa"/>
          </w:tcPr>
          <w:p w14:paraId="01BF0FA7">
            <w:pPr>
              <w:spacing w:line="360" w:lineRule="auto"/>
              <w:jc w:val="center"/>
            </w:pPr>
            <w:r>
              <w:drawing>
                <wp:inline distT="0" distB="0" distL="0" distR="0">
                  <wp:extent cx="2879725" cy="1620520"/>
                  <wp:effectExtent l="0" t="0" r="3175" b="5080"/>
                  <wp:docPr id="11061146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114687" name="图片 1"/>
                          <pic:cNvPicPr>
                            <a:picLocks noChangeAspect="1"/>
                          </pic:cNvPicPr>
                        </pic:nvPicPr>
                        <pic:blipFill>
                          <a:blip r:embed="rId9"/>
                          <a:stretch>
                            <a:fillRect/>
                          </a:stretch>
                        </pic:blipFill>
                        <pic:spPr>
                          <a:xfrm>
                            <a:off x="0" y="0"/>
                            <a:ext cx="2880000" cy="1620995"/>
                          </a:xfrm>
                          <a:prstGeom prst="rect">
                            <a:avLst/>
                          </a:prstGeom>
                        </pic:spPr>
                      </pic:pic>
                    </a:graphicData>
                  </a:graphic>
                </wp:inline>
              </w:drawing>
            </w:r>
          </w:p>
        </w:tc>
        <w:tc>
          <w:tcPr>
            <w:tcW w:w="709" w:type="dxa"/>
            <w:vAlign w:val="center"/>
          </w:tcPr>
          <w:p w14:paraId="19C829D9">
            <w:pPr>
              <w:spacing w:line="360" w:lineRule="auto"/>
              <w:jc w:val="center"/>
            </w:pPr>
            <w:r>
              <w:rPr>
                <w:rFonts w:hint="eastAsia"/>
              </w:rPr>
              <w:t>呈现范例</w:t>
            </w:r>
          </w:p>
        </w:tc>
        <w:tc>
          <w:tcPr>
            <w:tcW w:w="1177" w:type="dxa"/>
            <w:vMerge w:val="continue"/>
            <w:vAlign w:val="center"/>
          </w:tcPr>
          <w:p w14:paraId="2EFA3BCF">
            <w:pPr>
              <w:spacing w:line="360" w:lineRule="auto"/>
              <w:jc w:val="center"/>
            </w:pPr>
          </w:p>
        </w:tc>
      </w:tr>
      <w:tr w14:paraId="5B61B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70E552D">
            <w:pPr>
              <w:spacing w:line="360" w:lineRule="auto"/>
              <w:jc w:val="center"/>
            </w:pPr>
            <w:r>
              <w:rPr>
                <w:rFonts w:hint="eastAsia"/>
              </w:rPr>
              <w:t>迁移创新</w:t>
            </w:r>
          </w:p>
        </w:tc>
        <w:tc>
          <w:tcPr>
            <w:tcW w:w="2130" w:type="dxa"/>
          </w:tcPr>
          <w:p w14:paraId="4BE64EA1">
            <w:pPr>
              <w:spacing w:line="360" w:lineRule="auto"/>
            </w:pPr>
            <w:r>
              <w:rPr>
                <w:rFonts w:hint="eastAsia"/>
              </w:rPr>
              <w:t>学生阅读导演饺子关于朋友的独白，围绕</w:t>
            </w:r>
            <w:r>
              <w:t>Are they like-minded friend</w:t>
            </w:r>
            <w:r>
              <w:rPr>
                <w:rFonts w:hint="eastAsia"/>
              </w:rPr>
              <w:t>s</w:t>
            </w:r>
            <w:r>
              <w:t>?</w:t>
            </w:r>
            <w:r>
              <w:rPr>
                <w:rFonts w:hint="eastAsia"/>
              </w:rPr>
              <w:t>一问进行深入思考，并运用语言进行迁移表达。</w:t>
            </w:r>
          </w:p>
        </w:tc>
        <w:tc>
          <w:tcPr>
            <w:tcW w:w="4674" w:type="dxa"/>
          </w:tcPr>
          <w:p w14:paraId="5D634191">
            <w:pPr>
              <w:spacing w:line="360" w:lineRule="auto"/>
            </w:pPr>
            <w:r>
              <w:drawing>
                <wp:inline distT="0" distB="0" distL="0" distR="0">
                  <wp:extent cx="2879725" cy="1618615"/>
                  <wp:effectExtent l="0" t="0" r="3175" b="0"/>
                  <wp:docPr id="17829103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910340" name="图片 1"/>
                          <pic:cNvPicPr>
                            <a:picLocks noChangeAspect="1"/>
                          </pic:cNvPicPr>
                        </pic:nvPicPr>
                        <pic:blipFill>
                          <a:blip r:embed="rId10"/>
                          <a:stretch>
                            <a:fillRect/>
                          </a:stretch>
                        </pic:blipFill>
                        <pic:spPr>
                          <a:xfrm>
                            <a:off x="0" y="0"/>
                            <a:ext cx="2880000" cy="1618852"/>
                          </a:xfrm>
                          <a:prstGeom prst="rect">
                            <a:avLst/>
                          </a:prstGeom>
                        </pic:spPr>
                      </pic:pic>
                    </a:graphicData>
                  </a:graphic>
                </wp:inline>
              </w:drawing>
            </w:r>
          </w:p>
        </w:tc>
        <w:tc>
          <w:tcPr>
            <w:tcW w:w="709" w:type="dxa"/>
            <w:vAlign w:val="center"/>
          </w:tcPr>
          <w:p w14:paraId="43D731AA">
            <w:pPr>
              <w:spacing w:line="360" w:lineRule="auto"/>
              <w:jc w:val="center"/>
            </w:pPr>
            <w:r>
              <w:rPr>
                <w:rFonts w:hint="eastAsia"/>
              </w:rPr>
              <w:t>自主建构</w:t>
            </w:r>
          </w:p>
        </w:tc>
        <w:tc>
          <w:tcPr>
            <w:tcW w:w="1177" w:type="dxa"/>
          </w:tcPr>
          <w:p w14:paraId="3199265E">
            <w:pPr>
              <w:spacing w:line="360" w:lineRule="auto"/>
            </w:pPr>
            <w:r>
              <w:rPr>
                <w:rFonts w:hint="eastAsia"/>
              </w:rPr>
              <w:t>留出空白让学生填写，将复杂任务分解，搭建迁移性运用的阶梯。</w:t>
            </w:r>
          </w:p>
        </w:tc>
      </w:tr>
    </w:tbl>
    <w:p w14:paraId="4528C178">
      <w:pPr>
        <w:spacing w:line="360" w:lineRule="auto"/>
        <w:ind w:firstLine="420" w:firstLineChars="200"/>
      </w:pPr>
      <w:r>
        <w:rPr>
          <w:rFonts w:hint="eastAsia"/>
        </w:rPr>
        <w:t>“语言的转化性”确保语言迁移性运用的达成，板书是教师引导这一转化最直观、最有力、最灵活的图表工具支架。精心设计的板书让隐形思维过程显性化，让语言转化路径可视化，最终使学生从学习理解、实践运用最终走向迁移创新。</w:t>
      </w:r>
    </w:p>
    <w:p w14:paraId="2D8C8244">
      <w:pPr>
        <w:spacing w:line="360" w:lineRule="auto"/>
      </w:pPr>
    </w:p>
    <w:p w14:paraId="23332839">
      <w:pPr>
        <w:spacing w:line="360" w:lineRule="auto"/>
        <w:rPr>
          <w:b/>
          <w:bCs/>
        </w:rPr>
      </w:pPr>
      <w:r>
        <w:rPr>
          <w:rFonts w:hint="eastAsia"/>
          <w:b/>
          <w:bCs/>
        </w:rPr>
        <w:t>（四）范例支架的建构——语言迁移性运用的意义锚点</w:t>
      </w:r>
    </w:p>
    <w:p w14:paraId="687D709D">
      <w:pPr>
        <w:spacing w:line="360" w:lineRule="auto"/>
        <w:ind w:firstLine="420" w:firstLineChars="200"/>
      </w:pPr>
      <w:r>
        <w:rPr>
          <w:rFonts w:hint="eastAsia"/>
        </w:rPr>
        <w:t>什么是“产出的意义性”？它是指学生在语言迁移性运用的过程中产出的口头或书面的语言成品。它并非机械的语言操练，而涵盖了个人观点、真实情感，价值认同，对自己或他人产生真实的影响，其重要性不言而喻。一方面“意义性”强化了学生语用动机，使学生从任务驱动真正转向内在表达。另一方面，意义赋予了表达真实性，进一步在深度思考中强化了语用价值。因此， “产出的意义性”使语言迁移性运用指向真实的交流、思维的表达，问题的解决。</w:t>
      </w:r>
    </w:p>
    <w:p w14:paraId="7DE82E05">
      <w:pPr>
        <w:spacing w:line="360" w:lineRule="auto"/>
        <w:ind w:firstLine="420" w:firstLineChars="200"/>
      </w:pPr>
      <w:r>
        <w:rPr>
          <w:rFonts w:hint="eastAsia"/>
        </w:rPr>
        <w:t>“范例支架”是一种通过展示高质量、可模仿的成果样本帮助学生理解学习内容，降低认知要求，激发创作灵感的支持工具。一个优秀的范例是思维和意义建构过程的可视化导航。我们借助范例支架进一步提升产出的意义性，通过范本向学生展示如何达成语言迁移性运用的过程。</w:t>
      </w:r>
    </w:p>
    <w:p w14:paraId="13072B1E">
      <w:pPr>
        <w:spacing w:line="360" w:lineRule="auto"/>
        <w:ind w:firstLine="420" w:firstLineChars="200"/>
      </w:pPr>
      <w:r>
        <w:rPr>
          <w:rFonts w:hint="eastAsia"/>
        </w:rPr>
        <w:t>在本课例中，教师依据教材内容，围绕课时话题，结合学生学情对教学内容进行整合，凸显语言的意义性，支持学生主题育人意义的探究。</w:t>
      </w:r>
    </w:p>
    <w:p w14:paraId="71A6870F">
      <w:pPr>
        <w:spacing w:line="360" w:lineRule="auto"/>
        <w:ind w:firstLine="420" w:firstLineChars="200"/>
      </w:pPr>
      <w:r>
        <w:rPr>
          <w:rFonts w:hint="eastAsia"/>
        </w:rPr>
        <w:t>支架1: 学生视听并阅读哪吒与太乙真人的独白，理解“志同道合”的含义。</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7"/>
        <w:gridCol w:w="4707"/>
      </w:tblGrid>
      <w:tr w14:paraId="7BE7D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7" w:type="dxa"/>
          </w:tcPr>
          <w:p w14:paraId="52642207">
            <w:pPr>
              <w:spacing w:line="360" w:lineRule="auto"/>
              <w:jc w:val="center"/>
              <w:rPr>
                <w:b/>
                <w:bCs/>
              </w:rPr>
            </w:pPr>
            <w:r>
              <w:rPr>
                <w:rFonts w:hint="eastAsia"/>
                <w:b/>
                <w:bCs/>
              </w:rPr>
              <w:t>教材内容</w:t>
            </w:r>
          </w:p>
        </w:tc>
        <w:tc>
          <w:tcPr>
            <w:tcW w:w="4707" w:type="dxa"/>
          </w:tcPr>
          <w:p w14:paraId="667A464D">
            <w:pPr>
              <w:spacing w:line="360" w:lineRule="auto"/>
              <w:jc w:val="center"/>
              <w:rPr>
                <w:b/>
                <w:bCs/>
              </w:rPr>
            </w:pPr>
            <w:r>
              <w:rPr>
                <w:rFonts w:hint="eastAsia"/>
                <w:b/>
                <w:bCs/>
              </w:rPr>
              <w:t>整合内容</w:t>
            </w:r>
          </w:p>
        </w:tc>
      </w:tr>
      <w:tr w14:paraId="72EC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7" w:type="dxa"/>
          </w:tcPr>
          <w:p w14:paraId="0832212F">
            <w:pPr>
              <w:spacing w:line="360" w:lineRule="auto"/>
            </w:pPr>
            <w:r>
              <w:rPr>
                <w:rFonts w:ascii="微软雅黑" w:hAnsi="微软雅黑" w:eastAsia="微软雅黑" w:cs="微软雅黑"/>
                <w:b/>
                <w:bCs/>
                <w:sz w:val="24"/>
              </w:rPr>
              <w:drawing>
                <wp:anchor distT="0" distB="0" distL="114300" distR="114300" simplePos="0" relativeHeight="251660288" behindDoc="0" locked="0" layoutInCell="1" allowOverlap="1">
                  <wp:simplePos x="0" y="0"/>
                  <wp:positionH relativeFrom="column">
                    <wp:posOffset>318770</wp:posOffset>
                  </wp:positionH>
                  <wp:positionV relativeFrom="paragraph">
                    <wp:posOffset>86360</wp:posOffset>
                  </wp:positionV>
                  <wp:extent cx="2089150" cy="3045460"/>
                  <wp:effectExtent l="152400" t="152400" r="323850" b="345440"/>
                  <wp:wrapNone/>
                  <wp:docPr id="1252866771" name="图片 38" descr="图片包含 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66771" name="图片 38" descr="图片包含 图形用户界面&#10;&#10;AI 生成的内容可能不正确。"/>
                          <pic:cNvPicPr>
                            <a:picLocks noChangeAspect="1"/>
                          </pic:cNvPicPr>
                        </pic:nvPicPr>
                        <pic:blipFill>
                          <a:blip r:embed="rId11" cstate="print">
                            <a:extLst>
                              <a:ext uri="{28A0092B-C50C-407E-A947-70E740481C1C}">
                                <a14:useLocalDpi xmlns:a14="http://schemas.microsoft.com/office/drawing/2010/main" val="0"/>
                              </a:ext>
                            </a:extLst>
                          </a:blip>
                          <a:srcRect l="6719" t="6968" r="6495" b="5536"/>
                          <a:stretch>
                            <a:fillRect/>
                          </a:stretch>
                        </pic:blipFill>
                        <pic:spPr>
                          <a:xfrm>
                            <a:off x="0" y="0"/>
                            <a:ext cx="2089150" cy="3045664"/>
                          </a:xfrm>
                          <a:prstGeom prst="rect">
                            <a:avLst/>
                          </a:prstGeom>
                          <a:ln>
                            <a:noFill/>
                          </a:ln>
                          <a:effectLst>
                            <a:outerShdw blurRad="292100" dist="139700" dir="2700000" algn="tl" rotWithShape="0">
                              <a:srgbClr val="333333">
                                <a:alpha val="65000"/>
                              </a:srgbClr>
                            </a:outerShdw>
                          </a:effectLst>
                        </pic:spPr>
                      </pic:pic>
                    </a:graphicData>
                  </a:graphic>
                </wp:anchor>
              </w:drawing>
            </w:r>
          </w:p>
        </w:tc>
        <w:tc>
          <w:tcPr>
            <w:tcW w:w="4707" w:type="dxa"/>
          </w:tcPr>
          <w:p w14:paraId="6B9F2923">
            <w:pPr>
              <w:spacing w:line="360" w:lineRule="auto"/>
            </w:pPr>
            <w:r>
              <w:drawing>
                <wp:anchor distT="0" distB="0" distL="114300" distR="114300" simplePos="0" relativeHeight="251659264" behindDoc="0" locked="0" layoutInCell="1" allowOverlap="1">
                  <wp:simplePos x="0" y="0"/>
                  <wp:positionH relativeFrom="column">
                    <wp:posOffset>-2540</wp:posOffset>
                  </wp:positionH>
                  <wp:positionV relativeFrom="paragraph">
                    <wp:posOffset>92710</wp:posOffset>
                  </wp:positionV>
                  <wp:extent cx="2851785" cy="1422400"/>
                  <wp:effectExtent l="0" t="0" r="5715" b="0"/>
                  <wp:wrapNone/>
                  <wp:docPr id="10103572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357265" name="图片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51785" cy="1422400"/>
                          </a:xfrm>
                          <a:prstGeom prst="rect">
                            <a:avLst/>
                          </a:prstGeom>
                        </pic:spPr>
                      </pic:pic>
                    </a:graphicData>
                  </a:graphic>
                </wp:anchor>
              </w:drawing>
            </w:r>
          </w:p>
          <w:p w14:paraId="3B835FAD">
            <w:pPr>
              <w:spacing w:line="360" w:lineRule="auto"/>
            </w:pPr>
          </w:p>
          <w:p w14:paraId="4E5A7F9B">
            <w:pPr>
              <w:spacing w:line="360" w:lineRule="auto"/>
            </w:pPr>
          </w:p>
          <w:p w14:paraId="6832DBC2">
            <w:pPr>
              <w:spacing w:line="360" w:lineRule="auto"/>
            </w:pPr>
          </w:p>
          <w:p w14:paraId="55E1C87E">
            <w:pPr>
              <w:spacing w:line="360" w:lineRule="auto"/>
            </w:pPr>
          </w:p>
          <w:p w14:paraId="062FCD89">
            <w:pPr>
              <w:spacing w:line="360" w:lineRule="auto"/>
            </w:pPr>
            <w:r>
              <w:drawing>
                <wp:inline distT="0" distB="0" distL="0" distR="0">
                  <wp:extent cx="2851785" cy="1661795"/>
                  <wp:effectExtent l="0" t="0" r="0" b="1905"/>
                  <wp:docPr id="8904822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482237" name="图片 1"/>
                          <pic:cNvPicPr>
                            <a:picLocks noChangeAspect="1"/>
                          </pic:cNvPicPr>
                        </pic:nvPicPr>
                        <pic:blipFill>
                          <a:blip r:embed="rId13"/>
                          <a:stretch>
                            <a:fillRect/>
                          </a:stretch>
                        </pic:blipFill>
                        <pic:spPr>
                          <a:xfrm>
                            <a:off x="0" y="0"/>
                            <a:ext cx="2881427" cy="1679626"/>
                          </a:xfrm>
                          <a:prstGeom prst="rect">
                            <a:avLst/>
                          </a:prstGeom>
                        </pic:spPr>
                      </pic:pic>
                    </a:graphicData>
                  </a:graphic>
                </wp:inline>
              </w:drawing>
            </w:r>
          </w:p>
        </w:tc>
      </w:tr>
    </w:tbl>
    <w:p w14:paraId="56BB8A45">
      <w:pPr>
        <w:spacing w:line="360" w:lineRule="auto"/>
        <w:ind w:firstLine="420" w:firstLineChars="200"/>
      </w:pPr>
      <w:r>
        <w:rPr>
          <w:rFonts w:hint="eastAsia"/>
        </w:rPr>
        <w:t>教师强化范例的对比性，从正反两方面，围绕“哪吒与敖丙的志同道合”及“太乙真人和申公豹的道不同不相为谋”直指课时话题</w:t>
      </w:r>
      <w:r>
        <w:t>What makes a like-minded friend?</w:t>
      </w:r>
      <w:r>
        <w:rPr>
          <w:rFonts w:hint="eastAsia"/>
        </w:rPr>
        <w:t xml:space="preserve"> 通过对比，让学生感知 “意义性”。</w:t>
      </w:r>
    </w:p>
    <w:p w14:paraId="4DD4073F">
      <w:pPr>
        <w:spacing w:line="360" w:lineRule="auto"/>
        <w:ind w:firstLine="420" w:firstLineChars="200"/>
      </w:pPr>
      <w:r>
        <w:rPr>
          <w:rFonts w:hint="eastAsia"/>
        </w:rPr>
        <w:t>支架2: 学生阅读导演饺子关于朋友的独白，分析判断他们是否“志同道合”，并基于理解说说他们志同道合的原因，达成语言迁移性运用。</w:t>
      </w:r>
    </w:p>
    <w:p w14:paraId="7D983D3A">
      <w:pPr>
        <w:spacing w:line="360" w:lineRule="auto"/>
        <w:ind w:firstLine="420" w:firstLineChars="200"/>
      </w:pPr>
      <w:r>
        <w:drawing>
          <wp:anchor distT="0" distB="0" distL="114300" distR="114300" simplePos="0" relativeHeight="251662336" behindDoc="0" locked="0" layoutInCell="1" allowOverlap="1">
            <wp:simplePos x="0" y="0"/>
            <wp:positionH relativeFrom="column">
              <wp:posOffset>3051175</wp:posOffset>
            </wp:positionH>
            <wp:positionV relativeFrom="paragraph">
              <wp:posOffset>22860</wp:posOffset>
            </wp:positionV>
            <wp:extent cx="2966085" cy="1671320"/>
            <wp:effectExtent l="0" t="0" r="5715" b="5080"/>
            <wp:wrapNone/>
            <wp:docPr id="20855235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523585" name="图片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66085" cy="1671320"/>
                    </a:xfrm>
                    <a:prstGeom prst="rect">
                      <a:avLst/>
                    </a:prstGeom>
                  </pic:spPr>
                </pic:pic>
              </a:graphicData>
            </a:graphic>
          </wp:anchor>
        </w:drawing>
      </w:r>
      <w:r>
        <w:rPr>
          <w:b/>
          <w:bCs/>
        </w:rPr>
        <w:drawing>
          <wp:anchor distT="0" distB="0" distL="114300" distR="114300" simplePos="0" relativeHeight="251661312" behindDoc="0" locked="0" layoutInCell="1" allowOverlap="1">
            <wp:simplePos x="0" y="0"/>
            <wp:positionH relativeFrom="column">
              <wp:posOffset>-34925</wp:posOffset>
            </wp:positionH>
            <wp:positionV relativeFrom="paragraph">
              <wp:posOffset>22860</wp:posOffset>
            </wp:positionV>
            <wp:extent cx="2979420" cy="1671320"/>
            <wp:effectExtent l="0" t="0" r="2540" b="0"/>
            <wp:wrapNone/>
            <wp:docPr id="251176883" name="图片 1"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176883" name="图片 1" descr="文本&#10;&#10;AI 生成的内容可能不正确。"/>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79696" cy="1671320"/>
                    </a:xfrm>
                    <a:prstGeom prst="rect">
                      <a:avLst/>
                    </a:prstGeom>
                  </pic:spPr>
                </pic:pic>
              </a:graphicData>
            </a:graphic>
          </wp:anchor>
        </w:drawing>
      </w:r>
    </w:p>
    <w:p w14:paraId="2F5707F5">
      <w:pPr>
        <w:spacing w:line="360" w:lineRule="auto"/>
        <w:ind w:firstLine="420" w:firstLineChars="200"/>
      </w:pPr>
    </w:p>
    <w:p w14:paraId="7895C719">
      <w:pPr>
        <w:spacing w:line="360" w:lineRule="auto"/>
        <w:ind w:firstLine="420" w:firstLineChars="200"/>
      </w:pPr>
    </w:p>
    <w:p w14:paraId="6C229242">
      <w:pPr>
        <w:spacing w:line="360" w:lineRule="auto"/>
        <w:ind w:firstLine="420" w:firstLineChars="200"/>
      </w:pPr>
    </w:p>
    <w:p w14:paraId="2E264631">
      <w:pPr>
        <w:spacing w:line="360" w:lineRule="auto"/>
        <w:ind w:firstLine="420" w:firstLineChars="200"/>
      </w:pPr>
    </w:p>
    <w:p w14:paraId="3568AC16">
      <w:pPr>
        <w:spacing w:line="360" w:lineRule="auto"/>
      </w:pPr>
    </w:p>
    <w:p w14:paraId="2816B82A">
      <w:pPr>
        <w:spacing w:line="360" w:lineRule="auto"/>
        <w:ind w:firstLine="420" w:firstLineChars="200"/>
      </w:pPr>
      <w:r>
        <w:rPr>
          <w:rFonts w:hint="eastAsia"/>
        </w:rPr>
        <w:t>教师在学习内容的基础上，进一步进行语篇内容的拓展，搭建范例支架，架起从学习理解、实践运用到迁移创新的桥梁。学生基于对</w:t>
      </w:r>
      <w:r>
        <w:t>What makes a like-minded friend?</w:t>
      </w:r>
      <w:r>
        <w:rPr>
          <w:rFonts w:hint="eastAsia"/>
        </w:rPr>
        <w:t>的理解以及所学的核心语言进行迁移，围绕</w:t>
      </w:r>
      <w:r>
        <w:t>Are they like-minded friend</w:t>
      </w:r>
      <w:r>
        <w:rPr>
          <w:rFonts w:hint="eastAsia"/>
        </w:rPr>
        <w:t>s</w:t>
      </w:r>
      <w:r>
        <w:t>?</w:t>
      </w:r>
      <w:r>
        <w:rPr>
          <w:rFonts w:hint="eastAsia"/>
        </w:rPr>
        <w:t>的真实问题，实现“产出的意义性”。通过小组合作、创意表达实现语言迁移性运用。</w:t>
      </w:r>
    </w:p>
    <w:p w14:paraId="68941EB7">
      <w:pPr>
        <w:spacing w:line="360" w:lineRule="auto"/>
        <w:ind w:firstLine="420" w:firstLineChars="200"/>
      </w:pPr>
      <w:r>
        <w:rPr>
          <w:rFonts w:hint="eastAsia"/>
        </w:rPr>
        <w:t>教师通过精心设计的有意义的范例支架，拆解主题意义生成的过程，并不断引领学生踏入高阶思维的门槛，通过有意义的认知与创造实现语言的迁移性运用。</w:t>
      </w:r>
    </w:p>
    <w:p w14:paraId="5B73783A">
      <w:pPr>
        <w:spacing w:line="360" w:lineRule="auto"/>
      </w:pPr>
    </w:p>
    <w:p w14:paraId="169B12FA">
      <w:pPr>
        <w:spacing w:line="360" w:lineRule="auto"/>
        <w:rPr>
          <w:b/>
          <w:bCs/>
        </w:rPr>
      </w:pPr>
      <w:r>
        <w:rPr>
          <w:rFonts w:hint="eastAsia"/>
          <w:b/>
          <w:bCs/>
        </w:rPr>
        <w:t>（五）评价支架的建构——语言迁移性运用的终极价值</w:t>
      </w:r>
    </w:p>
    <w:p w14:paraId="23372C15">
      <w:pPr>
        <w:spacing w:line="360" w:lineRule="auto"/>
        <w:ind w:firstLine="420" w:firstLineChars="200"/>
      </w:pPr>
      <w:r>
        <w:rPr>
          <w:rFonts w:hint="eastAsia"/>
        </w:rPr>
        <w:t>“认知的升华性”是迁移创新的最后一个维度。它具体表现为学生通过语言迁移性运用，对主题意义、学习策略、自我认知、价值认同产生了新的、深层次的理解与建构。学生从“我学会了什么”转为“通过学习，我变成了一个怎样的学习者”。从这个意义上而言，评价支架应从评价达标与否的工具转向引导学生反思总结的元认知工具。</w:t>
      </w:r>
    </w:p>
    <w:p w14:paraId="45D944B8">
      <w:pPr>
        <w:spacing w:line="360" w:lineRule="auto"/>
        <w:ind w:firstLine="420" w:firstLineChars="200"/>
      </w:pPr>
      <w:r>
        <w:rPr>
          <w:rFonts w:hint="eastAsia"/>
        </w:rPr>
        <w:t>在本课例中，教师设计了以下的评价指标，指向不同的元认知维度。</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6"/>
        <w:gridCol w:w="2878"/>
      </w:tblGrid>
      <w:tr w14:paraId="27BB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14:paraId="718FF251">
            <w:pPr>
              <w:spacing w:line="360" w:lineRule="auto"/>
              <w:jc w:val="center"/>
              <w:rPr>
                <w:b/>
                <w:bCs/>
              </w:rPr>
            </w:pPr>
            <w:r>
              <w:rPr>
                <w:rFonts w:hint="eastAsia"/>
                <w:b/>
                <w:bCs/>
              </w:rPr>
              <w:t>评价指标</w:t>
            </w:r>
          </w:p>
        </w:tc>
        <w:tc>
          <w:tcPr>
            <w:tcW w:w="2878" w:type="dxa"/>
          </w:tcPr>
          <w:p w14:paraId="3A4FF01B">
            <w:pPr>
              <w:spacing w:line="360" w:lineRule="auto"/>
              <w:jc w:val="center"/>
              <w:rPr>
                <w:b/>
                <w:bCs/>
              </w:rPr>
            </w:pPr>
            <w:r>
              <w:rPr>
                <w:rFonts w:hint="eastAsia"/>
                <w:b/>
                <w:bCs/>
              </w:rPr>
              <w:t>元认知维度</w:t>
            </w:r>
          </w:p>
        </w:tc>
      </w:tr>
      <w:tr w14:paraId="652A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14:paraId="6126AD49">
            <w:pPr>
              <w:spacing w:line="360" w:lineRule="auto"/>
            </w:pPr>
            <w:r>
              <w:rPr>
                <w:rFonts w:hint="eastAsia"/>
              </w:rPr>
              <w:t>1</w:t>
            </w:r>
            <w:r>
              <w:t>. I understand what makes a like-minded friend.</w:t>
            </w:r>
          </w:p>
        </w:tc>
        <w:tc>
          <w:tcPr>
            <w:tcW w:w="2878" w:type="dxa"/>
          </w:tcPr>
          <w:p w14:paraId="23D2B305">
            <w:pPr>
              <w:spacing w:line="360" w:lineRule="auto"/>
            </w:pPr>
            <w:r>
              <w:rPr>
                <w:rFonts w:hint="eastAsia"/>
              </w:rPr>
              <w:t>对主题意义的深度理解</w:t>
            </w:r>
          </w:p>
        </w:tc>
      </w:tr>
      <w:tr w14:paraId="2B3B7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14:paraId="409DB175">
            <w:pPr>
              <w:spacing w:line="360" w:lineRule="auto"/>
            </w:pPr>
            <w:r>
              <w:rPr>
                <w:rFonts w:hint="eastAsia"/>
              </w:rPr>
              <w:t>2</w:t>
            </w:r>
            <w:r>
              <w:t>. I can introduce people and their like-minded friends.</w:t>
            </w:r>
          </w:p>
        </w:tc>
        <w:tc>
          <w:tcPr>
            <w:tcW w:w="2878" w:type="dxa"/>
          </w:tcPr>
          <w:p w14:paraId="7CAD9BB5">
            <w:pPr>
              <w:spacing w:line="360" w:lineRule="auto"/>
            </w:pPr>
            <w:r>
              <w:rPr>
                <w:rFonts w:hint="eastAsia"/>
              </w:rPr>
              <w:t>对自我能力的意识和信心</w:t>
            </w:r>
          </w:p>
        </w:tc>
      </w:tr>
      <w:tr w14:paraId="6C7A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14:paraId="6637C1FC">
            <w:pPr>
              <w:spacing w:line="360" w:lineRule="auto"/>
            </w:pPr>
            <w:r>
              <w:rPr>
                <w:rFonts w:hint="eastAsia"/>
              </w:rPr>
              <w:t>3.. I</w:t>
            </w:r>
            <w:r>
              <w:t xml:space="preserve"> know </w:t>
            </w:r>
            <w:r>
              <w:rPr>
                <w:rFonts w:hint="eastAsia"/>
              </w:rPr>
              <w:t>mo</w:t>
            </w:r>
            <w:r>
              <w:t>re about “FRIENDS”.</w:t>
            </w:r>
          </w:p>
        </w:tc>
        <w:tc>
          <w:tcPr>
            <w:tcW w:w="2878" w:type="dxa"/>
          </w:tcPr>
          <w:p w14:paraId="0419CA80">
            <w:pPr>
              <w:spacing w:line="360" w:lineRule="auto"/>
            </w:pPr>
            <w:r>
              <w:rPr>
                <w:rFonts w:hint="eastAsia"/>
              </w:rPr>
              <w:t>对新旧知识的重构</w:t>
            </w:r>
          </w:p>
        </w:tc>
      </w:tr>
    </w:tbl>
    <w:p w14:paraId="5917F20A">
      <w:pPr>
        <w:spacing w:line="360" w:lineRule="auto"/>
        <w:ind w:firstLine="420" w:firstLineChars="200"/>
      </w:pPr>
      <w:r>
        <w:rPr>
          <w:rFonts w:hint="eastAsia"/>
        </w:rPr>
        <w:t>评价指标一指向“对主题意义的深度理解”，引导学生在语言迁移性运用中不断调整对主题意义</w:t>
      </w:r>
      <w:r>
        <w:t>friends</w:t>
      </w:r>
      <w:r>
        <w:rPr>
          <w:rFonts w:hint="eastAsia"/>
        </w:rPr>
        <w:t>的理解，从理解语篇内容，逐步内化、形成对主题意义的情感态度价值观。评价指标二指向“对自我能力的意识和信心”。学生通过成功的迁移运用经验获得的效能感，引导学生愿意主动迎接新挑战，解决新问题。评价指标三指向“对新旧知识的重构”。通过语言的迁移性运用，学生对</w:t>
      </w:r>
      <w:r>
        <w:t>Friends</w:t>
      </w:r>
      <w:r>
        <w:rPr>
          <w:rFonts w:hint="eastAsia"/>
        </w:rPr>
        <w:t>这一主题的认识从最初“朋友就是拥有相同的兴趣爱好的人”，到 “朋友间有相同也有不同之处”，再到本课时“朋友间虽各有特点，但志同道合才是真朋友”。 不断赋予</w:t>
      </w:r>
      <w:r>
        <w:t>Friends</w:t>
      </w:r>
      <w:r>
        <w:rPr>
          <w:rFonts w:hint="eastAsia"/>
        </w:rPr>
        <w:t>这一话题新的意义，使学生对新旧知识不断融合、迭代。</w:t>
      </w:r>
    </w:p>
    <w:p w14:paraId="40E92A58">
      <w:pPr>
        <w:spacing w:line="360" w:lineRule="auto"/>
      </w:pPr>
    </w:p>
    <w:p w14:paraId="3FAEEE61">
      <w:pPr>
        <w:spacing w:line="360" w:lineRule="auto"/>
        <w:rPr>
          <w:b/>
          <w:bCs/>
        </w:rPr>
      </w:pPr>
      <w:r>
        <w:rPr>
          <w:rFonts w:hint="eastAsia"/>
          <w:b/>
          <w:bCs/>
        </w:rPr>
        <w:t>四、结语</w:t>
      </w:r>
    </w:p>
    <w:p w14:paraId="26E10E38">
      <w:pPr>
        <w:spacing w:line="360" w:lineRule="auto"/>
        <w:ind w:firstLine="420" w:firstLineChars="200"/>
      </w:pPr>
      <w:r>
        <w:rPr>
          <w:rFonts w:hint="eastAsia"/>
        </w:rPr>
        <w:t>综上所述，聚焦“语言迁移性运用的学科实践支架的建构“这一关键问题，通过多元支架在课堂教学中的实践与研究，在语言迁移性运用的过程中搭建并形成完整的支架体系。本课题的创新之处在于五类支架并非简单罗列，而是依据”英语学习活动观“的逻辑，从学习理解、应用实践、迁移创新形成支架的闭环。通过支架体系的建构，在课堂中实现意义探究、思维锻炼、创造性表达，从而落实语言迁移性运用的高阶素养。</w:t>
      </w:r>
    </w:p>
    <w:p w14:paraId="7C95B7CA">
      <w:pPr>
        <w:spacing w:line="360" w:lineRule="auto"/>
      </w:pPr>
    </w:p>
    <w:p w14:paraId="45A4D023">
      <w:pPr>
        <w:spacing w:line="360" w:lineRule="auto"/>
      </w:pPr>
      <w:r>
        <w:rPr>
          <w:rFonts w:hint="eastAsia"/>
          <w:b/>
          <w:bCs/>
        </w:rPr>
        <w:t>参考文献：</w:t>
      </w:r>
    </w:p>
    <w:p w14:paraId="261D6844">
      <w:pPr>
        <w:spacing w:line="360" w:lineRule="auto"/>
        <w:rPr>
          <w:rFonts w:ascii="宋体" w:hAnsi="宋体" w:eastAsia="宋体"/>
          <w:szCs w:val="21"/>
        </w:rPr>
      </w:pPr>
      <w:r>
        <w:rPr>
          <w:rFonts w:ascii="宋体" w:hAnsi="宋体" w:eastAsia="宋体"/>
          <w:szCs w:val="21"/>
        </w:rPr>
        <w:t>[1]</w:t>
      </w:r>
      <w:r>
        <w:rPr>
          <w:rFonts w:hint="eastAsia" w:ascii="宋体" w:hAnsi="宋体" w:eastAsia="宋体"/>
          <w:szCs w:val="21"/>
        </w:rPr>
        <w:t>中华人民共和国教育部</w:t>
      </w:r>
      <w:r>
        <w:rPr>
          <w:rFonts w:ascii="宋体" w:hAnsi="宋体" w:eastAsia="宋体"/>
          <w:szCs w:val="21"/>
        </w:rPr>
        <w:t>.</w:t>
      </w:r>
      <w:r>
        <w:rPr>
          <w:rFonts w:hint="eastAsia" w:ascii="宋体" w:hAnsi="宋体" w:eastAsia="宋体"/>
          <w:szCs w:val="21"/>
        </w:rPr>
        <w:t>义务教育英语课程标准</w:t>
      </w:r>
      <w:r>
        <w:rPr>
          <w:rFonts w:ascii="宋体" w:hAnsi="宋体" w:eastAsia="宋体"/>
          <w:szCs w:val="21"/>
        </w:rPr>
        <w:t>(2022</w:t>
      </w:r>
      <w:r>
        <w:rPr>
          <w:rFonts w:hint="eastAsia" w:ascii="宋体" w:hAnsi="宋体" w:eastAsia="宋体"/>
          <w:szCs w:val="21"/>
        </w:rPr>
        <w:t>年版</w:t>
      </w:r>
      <w:r>
        <w:rPr>
          <w:rFonts w:ascii="宋体" w:hAnsi="宋体" w:eastAsia="宋体"/>
          <w:szCs w:val="21"/>
        </w:rPr>
        <w:t>)[M].</w:t>
      </w:r>
      <w:r>
        <w:rPr>
          <w:rFonts w:hint="eastAsia" w:ascii="宋体" w:hAnsi="宋体" w:eastAsia="宋体"/>
          <w:szCs w:val="21"/>
        </w:rPr>
        <w:t>北京：北京师范大学出版社，2022.</w:t>
      </w:r>
    </w:p>
    <w:p w14:paraId="5135B76B">
      <w:pPr>
        <w:spacing w:line="360" w:lineRule="auto"/>
        <w:rPr>
          <w:rFonts w:ascii="宋体" w:hAnsi="宋体" w:eastAsia="宋体"/>
          <w:szCs w:val="21"/>
        </w:rPr>
      </w:pPr>
      <w:r>
        <w:rPr>
          <w:rFonts w:ascii="宋体" w:hAnsi="宋体" w:eastAsia="宋体"/>
          <w:szCs w:val="21"/>
        </w:rPr>
        <w:t>[</w:t>
      </w:r>
      <w:r>
        <w:rPr>
          <w:rFonts w:hint="eastAsia" w:ascii="宋体" w:hAnsi="宋体" w:eastAsia="宋体"/>
          <w:szCs w:val="21"/>
        </w:rPr>
        <w:t>2</w:t>
      </w:r>
      <w:r>
        <w:rPr>
          <w:rFonts w:ascii="宋体" w:hAnsi="宋体" w:eastAsia="宋体"/>
          <w:szCs w:val="21"/>
        </w:rPr>
        <w:t>]王蔷. 英语教学法教程（第二版）[M]. 北京：高等教育出版社，2006.</w:t>
      </w:r>
    </w:p>
    <w:p w14:paraId="4663B187">
      <w:pPr>
        <w:spacing w:line="360" w:lineRule="auto"/>
        <w:rPr>
          <w:rFonts w:ascii="宋体" w:hAnsi="宋体" w:eastAsia="宋体"/>
          <w:szCs w:val="21"/>
        </w:rPr>
      </w:pPr>
      <w:r>
        <w:rPr>
          <w:rFonts w:ascii="宋体" w:hAnsi="宋体" w:eastAsia="宋体"/>
          <w:szCs w:val="21"/>
        </w:rPr>
        <w:t>[3] 程晓堂. 基于主题意义探究的英语教学理念与实践[J]. 中小学外语教学（中学篇），2018, 41(10)：1-7.</w:t>
      </w:r>
    </w:p>
    <w:p w14:paraId="752EB153">
      <w:pPr>
        <w:spacing w:line="360" w:lineRule="auto"/>
        <w:rPr>
          <w:rFonts w:ascii="宋体" w:hAnsi="宋体" w:eastAsia="宋体"/>
          <w:szCs w:val="21"/>
        </w:rPr>
      </w:pPr>
      <w:r>
        <w:rPr>
          <w:rFonts w:ascii="宋体" w:hAnsi="宋体" w:eastAsia="宋体"/>
          <w:szCs w:val="21"/>
        </w:rPr>
        <w:t>[4] 王蔷，胡亚琳. 英语学科能力及其表现研究[J]. 教育学报，2017, 13(2)：61-70.</w:t>
      </w:r>
    </w:p>
    <w:p w14:paraId="5B7EC17A">
      <w:pPr>
        <w:spacing w:line="360" w:lineRule="auto"/>
        <w:rPr>
          <w:rFonts w:ascii="宋体" w:hAnsi="宋体" w:eastAsia="宋体"/>
          <w:szCs w:val="21"/>
        </w:rPr>
      </w:pPr>
    </w:p>
    <w:sectPr>
      <w:footerReference r:id="rId3" w:type="default"/>
      <w:footerReference r:id="rId4" w:type="even"/>
      <w:pgSz w:w="11900" w:h="16840"/>
      <w:pgMar w:top="1418" w:right="1021" w:bottom="1418" w:left="1021" w:header="851" w:footer="992" w:gutter="454"/>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9"/>
      </w:rPr>
      <w:id w:val="-1054081790"/>
      <w:docPartObj>
        <w:docPartGallery w:val="AutoText"/>
      </w:docPartObj>
    </w:sdtPr>
    <w:sdtEndPr>
      <w:rPr>
        <w:rStyle w:val="19"/>
      </w:rPr>
    </w:sdtEndPr>
    <w:sdtContent>
      <w:p w14:paraId="08F32303">
        <w:pPr>
          <w:pStyle w:val="11"/>
          <w:framePr w:wrap="auto" w:vAnchor="text" w:hAnchor="margin" w:xAlign="right" w:y="1"/>
          <w:rPr>
            <w:rStyle w:val="19"/>
          </w:rPr>
        </w:pPr>
        <w:r>
          <w:rPr>
            <w:rStyle w:val="19"/>
          </w:rPr>
          <w:fldChar w:fldCharType="begin"/>
        </w:r>
        <w:r>
          <w:rPr>
            <w:rStyle w:val="19"/>
          </w:rPr>
          <w:instrText xml:space="preserve"> PAGE </w:instrText>
        </w:r>
        <w:r>
          <w:rPr>
            <w:rStyle w:val="19"/>
          </w:rPr>
          <w:fldChar w:fldCharType="separate"/>
        </w:r>
        <w:r>
          <w:rPr>
            <w:rStyle w:val="19"/>
          </w:rPr>
          <w:t>1</w:t>
        </w:r>
        <w:r>
          <w:rPr>
            <w:rStyle w:val="19"/>
          </w:rPr>
          <w:fldChar w:fldCharType="end"/>
        </w:r>
      </w:p>
    </w:sdtContent>
  </w:sdt>
  <w:p w14:paraId="08E0015B">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9"/>
      </w:rPr>
      <w:id w:val="-1246099123"/>
      <w:docPartObj>
        <w:docPartGallery w:val="AutoText"/>
      </w:docPartObj>
    </w:sdtPr>
    <w:sdtEndPr>
      <w:rPr>
        <w:rStyle w:val="19"/>
      </w:rPr>
    </w:sdtEndPr>
    <w:sdtContent>
      <w:p w14:paraId="43C76116">
        <w:pPr>
          <w:pStyle w:val="11"/>
          <w:framePr w:wrap="auto" w:vAnchor="text" w:hAnchor="margin" w:xAlign="right" w:y="1"/>
          <w:rPr>
            <w:rStyle w:val="19"/>
          </w:rPr>
        </w:pPr>
        <w:r>
          <w:rPr>
            <w:rStyle w:val="19"/>
          </w:rPr>
          <w:fldChar w:fldCharType="begin"/>
        </w:r>
        <w:r>
          <w:rPr>
            <w:rStyle w:val="19"/>
          </w:rPr>
          <w:instrText xml:space="preserve"> PAGE </w:instrText>
        </w:r>
        <w:r>
          <w:rPr>
            <w:rStyle w:val="19"/>
          </w:rPr>
          <w:fldChar w:fldCharType="separate"/>
        </w:r>
        <w:r>
          <w:rPr>
            <w:rStyle w:val="19"/>
          </w:rPr>
          <w:fldChar w:fldCharType="end"/>
        </w:r>
      </w:p>
    </w:sdtContent>
  </w:sdt>
  <w:p w14:paraId="033D58E9">
    <w:pPr>
      <w:pStyle w:val="11"/>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D94"/>
    <w:rsid w:val="00001AD1"/>
    <w:rsid w:val="00026189"/>
    <w:rsid w:val="000352A1"/>
    <w:rsid w:val="00041E1A"/>
    <w:rsid w:val="000529D3"/>
    <w:rsid w:val="00064639"/>
    <w:rsid w:val="000832D5"/>
    <w:rsid w:val="00096519"/>
    <w:rsid w:val="000B23F6"/>
    <w:rsid w:val="000C6AAA"/>
    <w:rsid w:val="000E0F2F"/>
    <w:rsid w:val="0014226F"/>
    <w:rsid w:val="001439AB"/>
    <w:rsid w:val="001571CD"/>
    <w:rsid w:val="0015759B"/>
    <w:rsid w:val="00177585"/>
    <w:rsid w:val="001A2952"/>
    <w:rsid w:val="001A403C"/>
    <w:rsid w:val="001B6B4C"/>
    <w:rsid w:val="001C68BE"/>
    <w:rsid w:val="001D04B9"/>
    <w:rsid w:val="001E3764"/>
    <w:rsid w:val="001F1586"/>
    <w:rsid w:val="001F6247"/>
    <w:rsid w:val="0020438E"/>
    <w:rsid w:val="00205FBB"/>
    <w:rsid w:val="00226EB8"/>
    <w:rsid w:val="00233175"/>
    <w:rsid w:val="00243D89"/>
    <w:rsid w:val="00264C3F"/>
    <w:rsid w:val="00273231"/>
    <w:rsid w:val="00274673"/>
    <w:rsid w:val="0027478A"/>
    <w:rsid w:val="00281EBE"/>
    <w:rsid w:val="00282099"/>
    <w:rsid w:val="002832BA"/>
    <w:rsid w:val="00291C41"/>
    <w:rsid w:val="002A3686"/>
    <w:rsid w:val="002A63C7"/>
    <w:rsid w:val="002A6853"/>
    <w:rsid w:val="002A6C3E"/>
    <w:rsid w:val="002C4753"/>
    <w:rsid w:val="002E7A62"/>
    <w:rsid w:val="002F396D"/>
    <w:rsid w:val="002F44AB"/>
    <w:rsid w:val="002F58AC"/>
    <w:rsid w:val="002F5DA1"/>
    <w:rsid w:val="00300BBF"/>
    <w:rsid w:val="00307935"/>
    <w:rsid w:val="00323C20"/>
    <w:rsid w:val="00333DD6"/>
    <w:rsid w:val="003379D7"/>
    <w:rsid w:val="00343797"/>
    <w:rsid w:val="003572A1"/>
    <w:rsid w:val="00384E96"/>
    <w:rsid w:val="003A27DA"/>
    <w:rsid w:val="003C0FF8"/>
    <w:rsid w:val="003C18F4"/>
    <w:rsid w:val="003D4E41"/>
    <w:rsid w:val="003D651D"/>
    <w:rsid w:val="003D78D2"/>
    <w:rsid w:val="003E7F07"/>
    <w:rsid w:val="00411715"/>
    <w:rsid w:val="00411944"/>
    <w:rsid w:val="004273A6"/>
    <w:rsid w:val="004355DB"/>
    <w:rsid w:val="00441640"/>
    <w:rsid w:val="00446137"/>
    <w:rsid w:val="00453946"/>
    <w:rsid w:val="0046413F"/>
    <w:rsid w:val="0046444A"/>
    <w:rsid w:val="004877B0"/>
    <w:rsid w:val="004A0269"/>
    <w:rsid w:val="004B4854"/>
    <w:rsid w:val="004B6F76"/>
    <w:rsid w:val="004C332A"/>
    <w:rsid w:val="004E0CE4"/>
    <w:rsid w:val="004E3C67"/>
    <w:rsid w:val="004E485B"/>
    <w:rsid w:val="004E76E4"/>
    <w:rsid w:val="004F4F7F"/>
    <w:rsid w:val="004F6DD8"/>
    <w:rsid w:val="00503F7F"/>
    <w:rsid w:val="005045D8"/>
    <w:rsid w:val="00515EED"/>
    <w:rsid w:val="00523E53"/>
    <w:rsid w:val="00525032"/>
    <w:rsid w:val="0052742D"/>
    <w:rsid w:val="00555C44"/>
    <w:rsid w:val="00561B1C"/>
    <w:rsid w:val="00577C35"/>
    <w:rsid w:val="00584414"/>
    <w:rsid w:val="005B0889"/>
    <w:rsid w:val="005B585B"/>
    <w:rsid w:val="005B69D8"/>
    <w:rsid w:val="00616623"/>
    <w:rsid w:val="00616B25"/>
    <w:rsid w:val="00625F48"/>
    <w:rsid w:val="006522D9"/>
    <w:rsid w:val="00661E22"/>
    <w:rsid w:val="00680B75"/>
    <w:rsid w:val="00680FE1"/>
    <w:rsid w:val="00681F4A"/>
    <w:rsid w:val="00686740"/>
    <w:rsid w:val="00692F44"/>
    <w:rsid w:val="00693A7F"/>
    <w:rsid w:val="0069597A"/>
    <w:rsid w:val="006B1D96"/>
    <w:rsid w:val="006C0510"/>
    <w:rsid w:val="006C095D"/>
    <w:rsid w:val="006C1639"/>
    <w:rsid w:val="0070579F"/>
    <w:rsid w:val="0071197D"/>
    <w:rsid w:val="00715561"/>
    <w:rsid w:val="007261A7"/>
    <w:rsid w:val="00741457"/>
    <w:rsid w:val="0074425F"/>
    <w:rsid w:val="007622A5"/>
    <w:rsid w:val="00770D9B"/>
    <w:rsid w:val="00776FDB"/>
    <w:rsid w:val="00784CBD"/>
    <w:rsid w:val="007A36B4"/>
    <w:rsid w:val="007A4802"/>
    <w:rsid w:val="007A6BB0"/>
    <w:rsid w:val="007B298D"/>
    <w:rsid w:val="007B2E82"/>
    <w:rsid w:val="007C0C63"/>
    <w:rsid w:val="007C6C5A"/>
    <w:rsid w:val="007C7518"/>
    <w:rsid w:val="007C791E"/>
    <w:rsid w:val="007D207C"/>
    <w:rsid w:val="007D5F3A"/>
    <w:rsid w:val="007D7D94"/>
    <w:rsid w:val="007E0BC2"/>
    <w:rsid w:val="007E5A60"/>
    <w:rsid w:val="008001C7"/>
    <w:rsid w:val="00810C39"/>
    <w:rsid w:val="00816588"/>
    <w:rsid w:val="00831041"/>
    <w:rsid w:val="00831CCE"/>
    <w:rsid w:val="0085375D"/>
    <w:rsid w:val="0085473B"/>
    <w:rsid w:val="0086049B"/>
    <w:rsid w:val="00861090"/>
    <w:rsid w:val="00867CBB"/>
    <w:rsid w:val="00871A39"/>
    <w:rsid w:val="00883679"/>
    <w:rsid w:val="008A198B"/>
    <w:rsid w:val="008A2A38"/>
    <w:rsid w:val="008C0A71"/>
    <w:rsid w:val="008C3DA1"/>
    <w:rsid w:val="008C498C"/>
    <w:rsid w:val="008C55CD"/>
    <w:rsid w:val="008D3CB7"/>
    <w:rsid w:val="008D7641"/>
    <w:rsid w:val="008E1027"/>
    <w:rsid w:val="008F6399"/>
    <w:rsid w:val="00907603"/>
    <w:rsid w:val="00920498"/>
    <w:rsid w:val="00932DDA"/>
    <w:rsid w:val="00944610"/>
    <w:rsid w:val="00952632"/>
    <w:rsid w:val="00964AF5"/>
    <w:rsid w:val="009716DE"/>
    <w:rsid w:val="00987A33"/>
    <w:rsid w:val="009C063E"/>
    <w:rsid w:val="009D07CB"/>
    <w:rsid w:val="009D1396"/>
    <w:rsid w:val="009D4AED"/>
    <w:rsid w:val="009D596B"/>
    <w:rsid w:val="009D679B"/>
    <w:rsid w:val="00A02AB0"/>
    <w:rsid w:val="00A0409C"/>
    <w:rsid w:val="00A11D74"/>
    <w:rsid w:val="00A16422"/>
    <w:rsid w:val="00A24E81"/>
    <w:rsid w:val="00A31F7A"/>
    <w:rsid w:val="00A35F83"/>
    <w:rsid w:val="00A51A83"/>
    <w:rsid w:val="00A80320"/>
    <w:rsid w:val="00A8106A"/>
    <w:rsid w:val="00A858F1"/>
    <w:rsid w:val="00A93B30"/>
    <w:rsid w:val="00AB3258"/>
    <w:rsid w:val="00AC2CA8"/>
    <w:rsid w:val="00AC2DB3"/>
    <w:rsid w:val="00AC5281"/>
    <w:rsid w:val="00AE1E14"/>
    <w:rsid w:val="00AF4801"/>
    <w:rsid w:val="00B07AFA"/>
    <w:rsid w:val="00B15D52"/>
    <w:rsid w:val="00B30932"/>
    <w:rsid w:val="00B32DC9"/>
    <w:rsid w:val="00B37611"/>
    <w:rsid w:val="00B74E9E"/>
    <w:rsid w:val="00B83432"/>
    <w:rsid w:val="00B85645"/>
    <w:rsid w:val="00B86E97"/>
    <w:rsid w:val="00B9399F"/>
    <w:rsid w:val="00BA313D"/>
    <w:rsid w:val="00BB7FA7"/>
    <w:rsid w:val="00BC017F"/>
    <w:rsid w:val="00BD599B"/>
    <w:rsid w:val="00BD7047"/>
    <w:rsid w:val="00BE2950"/>
    <w:rsid w:val="00BE333B"/>
    <w:rsid w:val="00C207F0"/>
    <w:rsid w:val="00C40D84"/>
    <w:rsid w:val="00C6424D"/>
    <w:rsid w:val="00C70B58"/>
    <w:rsid w:val="00C846C1"/>
    <w:rsid w:val="00C93F5D"/>
    <w:rsid w:val="00C97ECF"/>
    <w:rsid w:val="00CA4CBB"/>
    <w:rsid w:val="00CB26E8"/>
    <w:rsid w:val="00CB72C1"/>
    <w:rsid w:val="00CE1389"/>
    <w:rsid w:val="00CF54E4"/>
    <w:rsid w:val="00CF6A60"/>
    <w:rsid w:val="00D03F86"/>
    <w:rsid w:val="00D072F3"/>
    <w:rsid w:val="00D12794"/>
    <w:rsid w:val="00D160AB"/>
    <w:rsid w:val="00D24904"/>
    <w:rsid w:val="00D303FB"/>
    <w:rsid w:val="00D32C29"/>
    <w:rsid w:val="00D33C1D"/>
    <w:rsid w:val="00D357B5"/>
    <w:rsid w:val="00D46313"/>
    <w:rsid w:val="00D46727"/>
    <w:rsid w:val="00D51797"/>
    <w:rsid w:val="00D53BE8"/>
    <w:rsid w:val="00D5537D"/>
    <w:rsid w:val="00D60859"/>
    <w:rsid w:val="00D71FEB"/>
    <w:rsid w:val="00D75FB0"/>
    <w:rsid w:val="00D82CC7"/>
    <w:rsid w:val="00DA56AA"/>
    <w:rsid w:val="00DB54C7"/>
    <w:rsid w:val="00DF3F51"/>
    <w:rsid w:val="00E039A6"/>
    <w:rsid w:val="00E456B9"/>
    <w:rsid w:val="00E47A3C"/>
    <w:rsid w:val="00E54645"/>
    <w:rsid w:val="00E62FC4"/>
    <w:rsid w:val="00E65A11"/>
    <w:rsid w:val="00E810D1"/>
    <w:rsid w:val="00E839FB"/>
    <w:rsid w:val="00E84F6C"/>
    <w:rsid w:val="00EB546E"/>
    <w:rsid w:val="00EC7405"/>
    <w:rsid w:val="00EE091C"/>
    <w:rsid w:val="00F06408"/>
    <w:rsid w:val="00F10C0E"/>
    <w:rsid w:val="00F1452F"/>
    <w:rsid w:val="00F31446"/>
    <w:rsid w:val="00F47B39"/>
    <w:rsid w:val="00F5373B"/>
    <w:rsid w:val="00F71960"/>
    <w:rsid w:val="00F752D9"/>
    <w:rsid w:val="00FD4AD2"/>
    <w:rsid w:val="00FE47C2"/>
    <w:rsid w:val="348965E7"/>
    <w:rsid w:val="6F5E11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cs="Arial" w:eastAsiaTheme="minorEastAsia"/>
      <w:sz w:val="21"/>
      <w:szCs w:val="24"/>
      <w:lang w:val="en-US" w:eastAsia="zh-CN" w:bidi="ar-SA"/>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asciiTheme="minorHAnsi" w:hAnsiTheme="minorHAnsi" w:cstheme="majorBidi"/>
      <w:color w:val="104862"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asciiTheme="minorHAnsi" w:hAnsiTheme="minorHAnsi" w:cstheme="majorBidi"/>
      <w:color w:val="104862" w:themeColor="accent1" w:themeShade="BF"/>
      <w:sz w:val="24"/>
    </w:rPr>
  </w:style>
  <w:style w:type="paragraph" w:styleId="7">
    <w:name w:val="heading 6"/>
    <w:basedOn w:val="1"/>
    <w:next w:val="1"/>
    <w:link w:val="25"/>
    <w:semiHidden/>
    <w:unhideWhenUsed/>
    <w:qFormat/>
    <w:uiPriority w:val="9"/>
    <w:pPr>
      <w:keepNext/>
      <w:keepLines/>
      <w:spacing w:before="40"/>
      <w:outlineLvl w:val="5"/>
    </w:pPr>
    <w:rPr>
      <w:rFonts w:asciiTheme="minorHAnsi" w:hAnsiTheme="minorHAnsi" w:cstheme="majorBidi"/>
      <w:b/>
      <w:bCs/>
      <w:color w:val="104862" w:themeColor="accent1" w:themeShade="BF"/>
    </w:rPr>
  </w:style>
  <w:style w:type="paragraph" w:styleId="8">
    <w:name w:val="heading 7"/>
    <w:basedOn w:val="1"/>
    <w:next w:val="1"/>
    <w:link w:val="26"/>
    <w:semiHidden/>
    <w:unhideWhenUsed/>
    <w:qFormat/>
    <w:uiPriority w:val="9"/>
    <w:pPr>
      <w:keepNext/>
      <w:keepLines/>
      <w:spacing w:before="40"/>
      <w:outlineLvl w:val="6"/>
    </w:pPr>
    <w:rPr>
      <w:rFonts w:asciiTheme="minorHAnsi" w:hAnsiTheme="minorHAnsi"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asciiTheme="minorHAnsi" w:hAnsiTheme="minorHAnsi"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9"/>
    <w:unhideWhenUsed/>
    <w:uiPriority w:val="99"/>
    <w:pPr>
      <w:tabs>
        <w:tab w:val="center" w:pos="4153"/>
        <w:tab w:val="right" w:pos="8306"/>
      </w:tabs>
      <w:snapToGrid w:val="0"/>
      <w:jc w:val="left"/>
    </w:pPr>
    <w:rPr>
      <w:sz w:val="18"/>
      <w:szCs w:val="18"/>
    </w:rPr>
  </w:style>
  <w:style w:type="paragraph" w:styleId="12">
    <w:name w:val="header"/>
    <w:basedOn w:val="1"/>
    <w:link w:val="38"/>
    <w:unhideWhenUsed/>
    <w:uiPriority w:val="99"/>
    <w:pPr>
      <w:tabs>
        <w:tab w:val="center" w:pos="4153"/>
        <w:tab w:val="right" w:pos="8306"/>
      </w:tabs>
      <w:snapToGrid w:val="0"/>
      <w:jc w:val="center"/>
    </w:pPr>
    <w:rPr>
      <w:sz w:val="18"/>
      <w:szCs w:val="18"/>
    </w:rPr>
  </w:style>
  <w:style w:type="paragraph" w:styleId="13">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6">
    <w:name w:val="Table Grid"/>
    <w:basedOn w:val="1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page number"/>
    <w:basedOn w:val="17"/>
    <w:semiHidden/>
    <w:unhideWhenUsed/>
    <w:uiPriority w:val="99"/>
  </w:style>
  <w:style w:type="character" w:customStyle="1" w:styleId="20">
    <w:name w:val="标题 1 字符"/>
    <w:basedOn w:val="17"/>
    <w:link w:val="2"/>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7"/>
    <w:link w:val="3"/>
    <w:semiHidden/>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7"/>
    <w:link w:val="5"/>
    <w:semiHidden/>
    <w:uiPriority w:val="9"/>
    <w:rPr>
      <w:rFonts w:asciiTheme="minorHAnsi" w:hAnsiTheme="minorHAnsi" w:cstheme="majorBidi"/>
      <w:color w:val="104862" w:themeColor="accent1" w:themeShade="BF"/>
      <w:sz w:val="28"/>
      <w:szCs w:val="28"/>
    </w:rPr>
  </w:style>
  <w:style w:type="character" w:customStyle="1" w:styleId="24">
    <w:name w:val="标题 5 字符"/>
    <w:basedOn w:val="17"/>
    <w:link w:val="6"/>
    <w:semiHidden/>
    <w:uiPriority w:val="9"/>
    <w:rPr>
      <w:rFonts w:asciiTheme="minorHAnsi" w:hAnsiTheme="minorHAnsi" w:cstheme="majorBidi"/>
      <w:color w:val="104862" w:themeColor="accent1" w:themeShade="BF"/>
      <w:sz w:val="24"/>
    </w:rPr>
  </w:style>
  <w:style w:type="character" w:customStyle="1" w:styleId="25">
    <w:name w:val="标题 6 字符"/>
    <w:basedOn w:val="17"/>
    <w:link w:val="7"/>
    <w:semiHidden/>
    <w:uiPriority w:val="9"/>
    <w:rPr>
      <w:rFonts w:asciiTheme="minorHAnsi" w:hAnsiTheme="minorHAnsi" w:cstheme="majorBidi"/>
      <w:b/>
      <w:bCs/>
      <w:color w:val="104862" w:themeColor="accent1" w:themeShade="BF"/>
    </w:rPr>
  </w:style>
  <w:style w:type="character" w:customStyle="1" w:styleId="26">
    <w:name w:val="标题 7 字符"/>
    <w:basedOn w:val="17"/>
    <w:link w:val="8"/>
    <w:semiHidden/>
    <w:qFormat/>
    <w:uiPriority w:val="9"/>
    <w:rPr>
      <w:rFonts w:asciiTheme="minorHAnsi" w:hAnsiTheme="minorHAnsi"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7"/>
    <w:link w:val="9"/>
    <w:semiHidden/>
    <w:uiPriority w:val="9"/>
    <w:rPr>
      <w:rFonts w:asciiTheme="minorHAnsi" w:hAnsiTheme="minorHAnsi"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7"/>
    <w:link w:val="10"/>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7"/>
    <w:link w:val="14"/>
    <w:uiPriority w:val="10"/>
    <w:rPr>
      <w:rFonts w:asciiTheme="majorHAnsi" w:hAnsiTheme="majorHAnsi" w:eastAsiaTheme="majorEastAsia" w:cstheme="majorBidi"/>
      <w:spacing w:val="-10"/>
      <w:kern w:val="28"/>
      <w:sz w:val="56"/>
      <w:szCs w:val="56"/>
    </w:rPr>
  </w:style>
  <w:style w:type="character" w:customStyle="1" w:styleId="30">
    <w:name w:val="副标题 字符"/>
    <w:basedOn w:val="17"/>
    <w:link w:val="13"/>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7"/>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7"/>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明显引用 字符"/>
    <w:basedOn w:val="17"/>
    <w:link w:val="35"/>
    <w:qFormat/>
    <w:uiPriority w:val="30"/>
    <w:rPr>
      <w:i/>
      <w:iCs/>
      <w:color w:val="104862" w:themeColor="accent1" w:themeShade="BF"/>
    </w:rPr>
  </w:style>
  <w:style w:type="character" w:customStyle="1" w:styleId="37">
    <w:name w:val="Intense Reference"/>
    <w:basedOn w:val="17"/>
    <w:qFormat/>
    <w:uiPriority w:val="32"/>
    <w:rPr>
      <w:b/>
      <w:bCs/>
      <w:smallCaps/>
      <w:color w:val="104862" w:themeColor="accent1" w:themeShade="BF"/>
      <w:spacing w:val="5"/>
    </w:rPr>
  </w:style>
  <w:style w:type="character" w:customStyle="1" w:styleId="38">
    <w:name w:val="页眉 字符"/>
    <w:basedOn w:val="17"/>
    <w:link w:val="12"/>
    <w:uiPriority w:val="99"/>
    <w:rPr>
      <w:sz w:val="18"/>
      <w:szCs w:val="18"/>
    </w:rPr>
  </w:style>
  <w:style w:type="character" w:customStyle="1" w:styleId="39">
    <w:name w:val="页脚 字符"/>
    <w:basedOn w:val="17"/>
    <w:link w:val="11"/>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5053</Words>
  <Characters>5597</Characters>
  <Lines>52</Lines>
  <Paragraphs>14</Paragraphs>
  <TotalTime>1004</TotalTime>
  <ScaleCrop>false</ScaleCrop>
  <LinksUpToDate>false</LinksUpToDate>
  <CharactersWithSpaces>5733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2025-12-22T09:12:00Z</dcterms:created>
  <dc:creator>keld</dc:creator>
  <cp:lastModifiedBy>陈一明</cp:lastModifiedBy>
  <dcterms:modified xsi:type="dcterms:W3CDTF">2026-02-28T03:05:52Z</dcterms:modified>
  <cp:revision>204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eyJoZGlkIjoiY2MzMGZmZjIzZDQyM2M1YTM3N2Y1OWM3NzNmMjE1ZWQiLCJ1c2VySWQiOiI1MDU3OTYwOTUifQ==</vt:lpwstr>
  </property>
  <property fmtid="{D5CDD505-2E9C-101B-9397-08002B2CF9AE}" pid="3" name="KSOProductBuildVer">
    <vt:lpwstr>2052-12.1.0.24034</vt:lpwstr>
  </property>
  <property fmtid="{D5CDD505-2E9C-101B-9397-08002B2CF9AE}" pid="4" name="ICV">
    <vt:lpwstr>99CEED8AB03445C0B2C2E12A021AA53F_12</vt:lpwstr>
  </property>
</Properties>
</file>