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82D4EC">
      <w:pPr>
        <w:jc w:val="center"/>
        <w:rPr>
          <w:rFonts w:hint="eastAsia" w:ascii="宋体" w:hAnsi="宋体" w:eastAsia="宋体" w:cs="宋体"/>
          <w:b/>
          <w:bCs/>
          <w:sz w:val="28"/>
          <w:szCs w:val="36"/>
          <w:lang w:val="en-US" w:eastAsia="zh-CN"/>
        </w:rPr>
      </w:pPr>
      <w:r>
        <w:rPr>
          <w:rFonts w:hint="eastAsia" w:ascii="宋体" w:hAnsi="宋体" w:eastAsia="宋体" w:cs="宋体"/>
          <w:b/>
          <w:bCs/>
          <w:sz w:val="28"/>
          <w:szCs w:val="36"/>
          <w:lang w:val="en-US" w:eastAsia="zh-CN"/>
        </w:rPr>
        <w:t>AI</w:t>
      </w:r>
      <w:r>
        <w:rPr>
          <w:rFonts w:hint="eastAsia" w:ascii="宋体" w:hAnsi="宋体" w:eastAsia="宋体" w:cs="宋体"/>
          <w:b/>
          <w:bCs/>
          <w:sz w:val="28"/>
          <w:szCs w:val="36"/>
        </w:rPr>
        <w:t>赋能</w:t>
      </w:r>
      <w:r>
        <w:rPr>
          <w:rFonts w:hint="eastAsia" w:ascii="宋体" w:hAnsi="宋体" w:eastAsia="宋体" w:cs="宋体"/>
          <w:b/>
          <w:bCs/>
          <w:sz w:val="28"/>
          <w:szCs w:val="36"/>
          <w:lang w:val="en-US" w:eastAsia="zh-CN"/>
        </w:rPr>
        <w:t>思维进阶—— 以《五石之瓠》为例的文言文教学案例</w:t>
      </w:r>
    </w:p>
    <w:p w14:paraId="7350FC4A">
      <w:pPr>
        <w:numPr>
          <w:ilvl w:val="0"/>
          <w:numId w:val="0"/>
        </w:numPr>
        <w:spacing w:line="360" w:lineRule="auto"/>
        <w:ind w:leftChars="0"/>
        <w:jc w:val="center"/>
        <w:rPr>
          <w:rFonts w:hint="eastAsia" w:ascii="宋体" w:hAnsi="宋体" w:eastAsia="宋体" w:cs="宋体"/>
        </w:rPr>
      </w:pPr>
      <w:r>
        <w:rPr>
          <w:rFonts w:hint="eastAsia" w:ascii="宋体" w:hAnsi="宋体" w:eastAsia="宋体" w:cs="宋体"/>
          <w:lang w:val="en-US" w:eastAsia="zh-CN"/>
        </w:rPr>
        <w:t>华东理工大学附属中学  潘琦</w:t>
      </w:r>
    </w:p>
    <w:p w14:paraId="27D5ECE0">
      <w:pPr>
        <w:numPr>
          <w:ilvl w:val="0"/>
          <w:numId w:val="1"/>
        </w:numPr>
        <w:spacing w:line="360" w:lineRule="auto"/>
        <w:ind w:left="420" w:leftChars="0" w:hanging="420" w:firstLineChars="0"/>
        <w:rPr>
          <w:rFonts w:hint="eastAsia" w:ascii="宋体" w:hAnsi="宋体" w:eastAsia="宋体" w:cs="宋体"/>
        </w:rPr>
      </w:pPr>
      <w:r>
        <w:rPr>
          <w:rFonts w:hint="eastAsia" w:ascii="宋体" w:hAnsi="宋体" w:eastAsia="宋体" w:cs="宋体"/>
          <w:lang w:val="en-US" w:eastAsia="zh-CN"/>
        </w:rPr>
        <w:t>学习资源：统编教材高中选择性必修上册第二单元《五石之瓠》</w:t>
      </w:r>
    </w:p>
    <w:p w14:paraId="6EDBA360">
      <w:pPr>
        <w:numPr>
          <w:ilvl w:val="0"/>
          <w:numId w:val="1"/>
        </w:numPr>
        <w:spacing w:line="360" w:lineRule="auto"/>
        <w:ind w:left="420" w:leftChars="0" w:hanging="420" w:firstLineChars="0"/>
        <w:rPr>
          <w:rFonts w:hint="eastAsia" w:ascii="宋体" w:hAnsi="宋体" w:eastAsia="宋体" w:cs="宋体"/>
        </w:rPr>
      </w:pPr>
      <w:r>
        <w:rPr>
          <w:rFonts w:hint="eastAsia" w:ascii="宋体" w:hAnsi="宋体" w:eastAsia="宋体" w:cs="宋体"/>
          <w:lang w:val="en-US" w:eastAsia="zh-CN"/>
        </w:rPr>
        <w:t>学习目标：能辨析惠子与庄子价值观的根本差异，理解庄子“无用之用”的哲学内涵与现实意义；能梳理庄子“破—立—越”的说理逻辑，体会其“寓理于象、含蓄留白”的论说风格；能运用“庄子式”说理方式，完成一篇具有文化意象与辩证思维的短文写作。</w:t>
      </w:r>
    </w:p>
    <w:p w14:paraId="2B00FD17">
      <w:pPr>
        <w:numPr>
          <w:ilvl w:val="0"/>
          <w:numId w:val="0"/>
        </w:numPr>
        <w:spacing w:line="360" w:lineRule="auto"/>
        <w:ind w:leftChars="0"/>
        <w:rPr>
          <w:rFonts w:hint="eastAsia" w:ascii="宋体" w:hAnsi="宋体" w:eastAsia="宋体" w:cs="宋体"/>
          <w:lang w:val="en-US" w:eastAsia="zh-CN"/>
        </w:rPr>
      </w:pPr>
    </w:p>
    <w:p w14:paraId="1B91AA9A">
      <w:pPr>
        <w:numPr>
          <w:ilvl w:val="0"/>
          <w:numId w:val="0"/>
        </w:numPr>
        <w:spacing w:line="360" w:lineRule="auto"/>
        <w:ind w:leftChars="0"/>
        <w:rPr>
          <w:rFonts w:hint="eastAsia" w:ascii="宋体" w:hAnsi="宋体" w:eastAsia="宋体" w:cs="宋体"/>
          <w:lang w:val="en-US" w:eastAsia="zh-CN"/>
        </w:rPr>
      </w:pPr>
      <w:r>
        <w:rPr>
          <w:rFonts w:hint="eastAsia" w:ascii="宋体" w:hAnsi="宋体" w:eastAsia="宋体" w:cs="宋体"/>
          <w:lang w:val="en-US" w:eastAsia="zh-CN"/>
        </w:rPr>
        <w:t>一、教学痛点</w:t>
      </w:r>
    </w:p>
    <w:p w14:paraId="14A6A61A">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“思辨性阅读与表达”学习任务群中的文言文教学，常常让教师陷入尴尬境地：一篇寓意深刻、内涵丰富、思维缜密的文章，在教学过程中总是感觉力不从心，“费力而不能然也”。具体表现在三个方面：</w:t>
      </w:r>
    </w:p>
    <w:p w14:paraId="581FE838">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（一）教师难以精准定位学生的真实认知起点</w:t>
      </w:r>
    </w:p>
    <w:p w14:paraId="558EEAE7">
      <w:pPr>
        <w:numPr>
          <w:ilvl w:val="0"/>
          <w:numId w:val="0"/>
        </w:numPr>
        <w:spacing w:line="360" w:lineRule="auto"/>
        <w:ind w:leftChars="0" w:firstLine="420" w:firstLineChars="200"/>
        <w:rPr>
          <w:rFonts w:hint="eastAsia" w:ascii="宋体" w:hAnsi="宋体" w:eastAsia="宋体" w:cs="宋体"/>
          <w:lang w:val="en-US" w:eastAsia="zh-CN"/>
        </w:rPr>
      </w:pPr>
      <w:r>
        <w:rPr>
          <w:rFonts w:hint="eastAsia" w:ascii="宋体" w:hAnsi="宋体" w:eastAsia="宋体" w:cs="宋体"/>
          <w:lang w:val="en-US" w:eastAsia="zh-CN"/>
        </w:rPr>
        <w:t>传统的教学设计，往往是教师根据自己的经验或者通过个别的提问，了解学生学习中的难点在哪里，比如什么是“无用之用”，庄子和惠子的价值观有什么不同等等。这样的方式面比较小，信息反馈滞后，在上课之前很难全面地了解学生的困惑所在以及存在的认识偏差。而教师基于自己的经验所确定的教学起点，有可能偏离大多数学生的“最近发展区”。造成课堂导学和探究不能触及学生真正存在的思维难点、教学有效性不强等问题。</w:t>
      </w:r>
    </w:p>
    <w:p w14:paraId="6EEF1DD3">
      <w:pPr>
        <w:numPr>
          <w:ilvl w:val="0"/>
          <w:numId w:val="0"/>
        </w:numPr>
        <w:spacing w:line="360" w:lineRule="auto"/>
        <w:ind w:leftChars="0" w:firstLine="420" w:firstLineChars="200"/>
        <w:rPr>
          <w:rFonts w:hint="eastAsia" w:ascii="宋体" w:hAnsi="宋体" w:eastAsia="宋体" w:cs="宋体"/>
          <w:lang w:val="en-US" w:eastAsia="zh-CN"/>
        </w:rPr>
      </w:pPr>
      <w:r>
        <w:rPr>
          <w:rFonts w:hint="eastAsia" w:ascii="宋体" w:hAnsi="宋体" w:eastAsia="宋体" w:cs="宋体"/>
          <w:lang w:val="en-US" w:eastAsia="zh-CN"/>
        </w:rPr>
        <w:t>（二）教师难以将抽象哲思转化为具象可操作的学习路径</w:t>
      </w:r>
    </w:p>
    <w:p w14:paraId="442B7FDF">
      <w:pPr>
        <w:numPr>
          <w:ilvl w:val="0"/>
          <w:numId w:val="0"/>
        </w:numPr>
        <w:spacing w:line="360" w:lineRule="auto"/>
        <w:ind w:leftChars="0" w:firstLine="420" w:firstLineChars="200"/>
        <w:rPr>
          <w:rFonts w:hint="eastAsia" w:ascii="宋体" w:hAnsi="宋体" w:eastAsia="宋体" w:cs="宋体"/>
          <w:lang w:val="en-US" w:eastAsia="zh-CN"/>
        </w:rPr>
      </w:pPr>
      <w:r>
        <w:rPr>
          <w:rFonts w:hint="eastAsia" w:ascii="宋体" w:hAnsi="宋体" w:eastAsia="宋体" w:cs="宋体"/>
          <w:lang w:val="en-US" w:eastAsia="zh-CN"/>
        </w:rPr>
        <w:t>由于“无用之用”“逍遥”“天人相谐”等概念过于抽象，教师虽然可以讲解清楚意思，但很少提供支架让学生根据文本信息自行去发现、理解。“为什么庄子要讲两个故事？为什么要这样一步步地讲下去？”等问题对于学生来说难以把握，因为缺少分析的方法及清晰的思路，故而出现“知其然，但不知其所以然”的困惑。教学中容易流于“教师讲，学生听”，无法让学生实现由“读故事”向“理情节”最后升华为“明道理”。</w:t>
      </w:r>
    </w:p>
    <w:p w14:paraId="51E6FB2F">
      <w:pPr>
        <w:numPr>
          <w:ilvl w:val="0"/>
          <w:numId w:val="0"/>
        </w:numPr>
        <w:spacing w:line="360" w:lineRule="auto"/>
        <w:ind w:leftChars="0" w:firstLine="420" w:firstLineChars="200"/>
        <w:rPr>
          <w:rFonts w:hint="eastAsia" w:ascii="宋体" w:hAnsi="宋体" w:eastAsia="宋体" w:cs="宋体"/>
          <w:lang w:val="en-US" w:eastAsia="zh-CN"/>
        </w:rPr>
      </w:pPr>
      <w:r>
        <w:rPr>
          <w:rFonts w:hint="eastAsia" w:ascii="宋体" w:hAnsi="宋体" w:eastAsia="宋体" w:cs="宋体"/>
          <w:lang w:val="en-US" w:eastAsia="zh-CN"/>
        </w:rPr>
        <w:t>（三）教师难以在有限时间内实现高质量的评价与反馈</w:t>
      </w:r>
    </w:p>
    <w:p w14:paraId="41960A55">
      <w:pPr>
        <w:numPr>
          <w:ilvl w:val="0"/>
          <w:numId w:val="0"/>
        </w:numPr>
        <w:spacing w:line="360" w:lineRule="auto"/>
        <w:ind w:leftChars="0" w:firstLine="420" w:firstLineChars="200"/>
        <w:rPr>
          <w:rFonts w:hint="eastAsia" w:ascii="宋体" w:hAnsi="宋体" w:eastAsia="宋体" w:cs="宋体"/>
          <w:lang w:val="en-US" w:eastAsia="zh-CN"/>
        </w:rPr>
      </w:pPr>
      <w:r>
        <w:rPr>
          <w:rFonts w:hint="eastAsia" w:ascii="宋体" w:hAnsi="宋体" w:eastAsia="宋体" w:cs="宋体"/>
          <w:lang w:val="en-US" w:eastAsia="zh-CN"/>
        </w:rPr>
        <w:t>教师希望学生能模仿庄子“寓理于象、含蓄留白”的说理风格进行写作，并对习作进行及时、精准的反馈。但传统的作文批阅费时又费力，教师很难在课堂上或者课下完成对全班所有作文的即时、细致诊断，更不能针对每个学生的个体问题提出具体的修改意见，这样很容易让写作训练变成摆设，学生不能通过“写作—评价—修改”的循环链式反应达到有序表达的能力进阶，教学目标达成率不高。</w:t>
      </w:r>
    </w:p>
    <w:p w14:paraId="0EE15A9D">
      <w:pPr>
        <w:numPr>
          <w:ilvl w:val="0"/>
          <w:numId w:val="0"/>
        </w:numPr>
        <w:spacing w:line="360" w:lineRule="auto"/>
        <w:rPr>
          <w:rFonts w:hint="eastAsia" w:ascii="宋体" w:hAnsi="宋体" w:eastAsia="宋体" w:cs="宋体"/>
          <w:lang w:val="en-US" w:eastAsia="zh-CN"/>
        </w:rPr>
      </w:pPr>
      <w:r>
        <w:rPr>
          <w:rFonts w:hint="eastAsia" w:ascii="宋体" w:hAnsi="宋体" w:eastAsia="宋体" w:cs="宋体"/>
          <w:lang w:val="en-US" w:eastAsia="zh-CN"/>
        </w:rPr>
        <w:t>二、问题分析</w:t>
      </w:r>
    </w:p>
    <w:p w14:paraId="06E2BD45">
      <w:pPr>
        <w:numPr>
          <w:ilvl w:val="0"/>
          <w:numId w:val="0"/>
        </w:numPr>
        <w:spacing w:line="360" w:lineRule="auto"/>
        <w:ind w:leftChars="0" w:firstLine="420" w:firstLineChars="200"/>
        <w:rPr>
          <w:rFonts w:hint="eastAsia" w:ascii="宋体" w:hAnsi="宋体" w:eastAsia="宋体" w:cs="宋体"/>
          <w:lang w:val="en-US" w:eastAsia="zh-CN"/>
        </w:rPr>
      </w:pPr>
      <w:r>
        <w:rPr>
          <w:rFonts w:hint="eastAsia" w:ascii="宋体" w:hAnsi="宋体" w:eastAsia="宋体" w:cs="宋体"/>
          <w:lang w:val="en-US" w:eastAsia="zh-CN"/>
        </w:rPr>
        <w:t>上述教学痛点的形成，源于文言哲思类文本教学中长期存在的三个结构性难题。这些难题相互关联，共同制约着教学向深度推进：</w:t>
      </w:r>
    </w:p>
    <w:p w14:paraId="4F65D635">
      <w:pPr>
        <w:numPr>
          <w:ilvl w:val="0"/>
          <w:numId w:val="0"/>
        </w:numPr>
        <w:spacing w:line="360" w:lineRule="auto"/>
        <w:ind w:leftChars="0" w:firstLine="420" w:firstLineChars="200"/>
        <w:rPr>
          <w:rFonts w:hint="eastAsia" w:ascii="宋体" w:hAnsi="宋体" w:eastAsia="宋体" w:cs="宋体"/>
          <w:lang w:val="en-US" w:eastAsia="zh-CN"/>
        </w:rPr>
      </w:pPr>
      <w:r>
        <w:rPr>
          <w:rFonts w:hint="eastAsia" w:ascii="宋体" w:hAnsi="宋体" w:eastAsia="宋体" w:cs="宋体"/>
          <w:lang w:val="en-US" w:eastAsia="zh-CN"/>
        </w:rPr>
        <w:t>其一，以主观经验为依据确定教学起始点。好的教学从学生的实际出发。传统课堂教学通常是依靠课前作业检测、课内随堂问答等形式进行学情调查，很难提前全面掌握班级全体同学对于学习材料的理解难点和发展水平。由于教学设计往往是教师根据自己的主观判断而进行，并不是从学生实际出发，所以造成教学活动不具有很强的目的性，不能够有效落实到学生的最近发展区。</w:t>
      </w:r>
    </w:p>
    <w:p w14:paraId="2ABA49EC">
      <w:pPr>
        <w:numPr>
          <w:ilvl w:val="0"/>
          <w:numId w:val="0"/>
        </w:numPr>
        <w:spacing w:line="360" w:lineRule="auto"/>
        <w:ind w:leftChars="0" w:firstLine="420" w:firstLineChars="200"/>
        <w:rPr>
          <w:rFonts w:hint="eastAsia" w:ascii="宋体" w:hAnsi="宋体" w:eastAsia="宋体" w:cs="宋体"/>
          <w:lang w:val="en-US" w:eastAsia="zh-CN"/>
        </w:rPr>
      </w:pPr>
      <w:r>
        <w:rPr>
          <w:rFonts w:hint="eastAsia" w:ascii="宋体" w:hAnsi="宋体" w:eastAsia="宋体" w:cs="宋体"/>
          <w:lang w:val="en-US" w:eastAsia="zh-CN"/>
        </w:rPr>
        <w:t>其二，在教的过程中缺少展示群体思考脉络的支持系统。学生对于一些比较抽象的概念比如哲学概念的学习，大部分是发生在内心的，而且往往是碎片化的。在传统的教学中教师可以借助于一些方式了解某些学生的思考过程，例如讨论或者回答问题。但是很难及时全面地了解整个班的学生学得怎么样，更难发现大家容易出现的认知盲区或者说卡壳的地方。在教学过程中很容易出现“老师讲、学生听”的情况，没有从群体思维发展角度找到实证依据。</w:t>
      </w:r>
    </w:p>
    <w:p w14:paraId="4AE73A13">
      <w:pPr>
        <w:numPr>
          <w:ilvl w:val="0"/>
          <w:numId w:val="0"/>
        </w:numPr>
        <w:spacing w:line="360" w:lineRule="auto"/>
        <w:ind w:leftChars="0" w:firstLine="420" w:firstLineChars="200"/>
        <w:rPr>
          <w:rFonts w:hint="eastAsia" w:ascii="宋体" w:hAnsi="宋体" w:eastAsia="宋体" w:cs="宋体"/>
          <w:lang w:val="en-US" w:eastAsia="zh-CN"/>
        </w:rPr>
      </w:pPr>
      <w:r>
        <w:rPr>
          <w:rFonts w:hint="eastAsia" w:ascii="宋体" w:hAnsi="宋体" w:eastAsia="宋体" w:cs="宋体"/>
          <w:lang w:val="en-US" w:eastAsia="zh-CN"/>
        </w:rPr>
        <w:t>其三，学习效果评价中缺少及时有效的诊断性反馈。文言哲理散文的学习成果，最后都要落实在表达运用上。而当老师拿到一个班级的学生作文时，则面临着“任务重、周期长、面太广”的尴尬局面，学生无法得到有针对性、即时性的作文评点和修改意见，结果造成写作练习仅仅停留在“写完”的阶段，缺乏“修改后提高”的深度学习循环。</w:t>
      </w:r>
    </w:p>
    <w:p w14:paraId="2551EF52">
      <w:pPr>
        <w:numPr>
          <w:ilvl w:val="0"/>
          <w:numId w:val="0"/>
        </w:numPr>
        <w:spacing w:line="360" w:lineRule="auto"/>
        <w:ind w:leftChars="0" w:firstLine="420" w:firstLineChars="200"/>
        <w:rPr>
          <w:rFonts w:hint="eastAsia" w:ascii="宋体" w:hAnsi="宋体" w:eastAsia="宋体" w:cs="宋体"/>
          <w:lang w:val="en-US" w:eastAsia="zh-CN"/>
        </w:rPr>
      </w:pPr>
      <w:r>
        <w:rPr>
          <w:rFonts w:hint="eastAsia" w:ascii="宋体" w:hAnsi="宋体" w:eastAsia="宋体" w:cs="宋体"/>
          <w:lang w:val="en-US" w:eastAsia="zh-CN"/>
        </w:rPr>
        <w:t>上述三个方面的问题，都指向了传统文言哲理类课文教学缺少对学习者学情分析的支持、缺少对哲理思考过程的指导以及缺少对哲理探究结果的评价反馈，而这些恰恰是人工智能技术可以提供帮助的地方。</w:t>
      </w:r>
    </w:p>
    <w:p w14:paraId="75885E5A">
      <w:pPr>
        <w:numPr>
          <w:ilvl w:val="0"/>
          <w:numId w:val="0"/>
        </w:numPr>
        <w:spacing w:line="360" w:lineRule="auto"/>
        <w:rPr>
          <w:rFonts w:hint="eastAsia" w:ascii="宋体" w:hAnsi="宋体" w:eastAsia="宋体" w:cs="宋体"/>
          <w:lang w:val="en-US" w:eastAsia="zh-CN"/>
        </w:rPr>
      </w:pPr>
    </w:p>
    <w:p w14:paraId="331EB26D">
      <w:pPr>
        <w:numPr>
          <w:ilvl w:val="0"/>
          <w:numId w:val="0"/>
        </w:numPr>
        <w:spacing w:line="360" w:lineRule="auto"/>
        <w:rPr>
          <w:rFonts w:hint="eastAsia" w:ascii="宋体" w:hAnsi="宋体" w:eastAsia="宋体" w:cs="宋体"/>
          <w:lang w:val="en-US" w:eastAsia="zh-CN"/>
        </w:rPr>
      </w:pPr>
      <w:r>
        <w:rPr>
          <w:rFonts w:hint="eastAsia" w:ascii="宋体" w:hAnsi="宋体" w:eastAsia="宋体" w:cs="宋体"/>
          <w:lang w:val="en-US" w:eastAsia="zh-CN"/>
        </w:rPr>
        <w:t>三、问题解决思路</w:t>
      </w:r>
    </w:p>
    <w:p w14:paraId="18C3ED72">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针对上述教学痛点，基于DeepSeek的辅助作用，本课例按照“诊断准确化——过程可视化——评析有效化”的思路来开展教学活动，搭建一个由“师教”至“生学”的可行方案，优化AI工具的使用场景，提升AI介入的必要性与思维训练价值：</w:t>
      </w:r>
    </w:p>
    <w:p w14:paraId="735C2519">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第一，课前智能聚类，实现教学起点的精准定位</w:t>
      </w:r>
    </w:p>
    <w:p w14:paraId="7D7EF54A">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将学生零散的预习疑问导入AI进行智能归类分析，生成高频问题分布图，使教师摆脱经验依赖，在课前精准把握全班学生的共性困惑，为教学重难点的确定提供客观依据。</w:t>
      </w:r>
    </w:p>
    <w:p w14:paraId="126B0326">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第二，课中 AI 深度解构，推动思维过程的层级化进阶</w:t>
      </w:r>
    </w:p>
    <w:p w14:paraId="596A3012">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借助 AI对学生梳理的寓言逻辑关联导图进行思维类型聚类，在学生自主探究的基础上，为学生提供思维进阶的高阶支架，引导学生突破浅层理解，挖掘文本背后的哲学逻辑，将内隐的思维过程外化为可深度探讨、可逻辑重构的认知体系。</w:t>
      </w:r>
    </w:p>
    <w:p w14:paraId="07059CDF">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第三，材料思辨+课后智能评价，构建高效精准的反馈闭环</w:t>
      </w:r>
    </w:p>
    <w:p w14:paraId="5D2D78F5">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学生评价AI生成的材料，以检测学生对辩证关系的理解程度；同时借助 AI 对全班学生的作文进行全方位的大数据分析，迅速找到共性和个性的问题点，并提出具体的修改意见，做到“教—学—评”三者的一致性。</w:t>
      </w:r>
    </w:p>
    <w:p w14:paraId="5009314C">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这三个应用彼此呼应，形成由学情检测到思维导引，最终到作文批阅的一个完整的教学习环，将隐性的教学痛点显性化、系统化为学生可感知、易接受的过程。</w:t>
      </w:r>
    </w:p>
    <w:p w14:paraId="205F590D">
      <w:pPr>
        <w:numPr>
          <w:ilvl w:val="0"/>
          <w:numId w:val="0"/>
        </w:numPr>
        <w:spacing w:line="360" w:lineRule="auto"/>
        <w:rPr>
          <w:rFonts w:hint="eastAsia" w:ascii="宋体" w:hAnsi="宋体" w:eastAsia="宋体" w:cs="宋体"/>
          <w:lang w:val="en-US" w:eastAsia="zh-CN"/>
        </w:rPr>
      </w:pPr>
    </w:p>
    <w:p w14:paraId="15A2E71A">
      <w:pPr>
        <w:numPr>
          <w:ilvl w:val="0"/>
          <w:numId w:val="0"/>
        </w:numPr>
        <w:spacing w:line="360" w:lineRule="auto"/>
        <w:rPr>
          <w:rFonts w:hint="eastAsia" w:ascii="宋体" w:hAnsi="宋体" w:eastAsia="宋体" w:cs="宋体"/>
          <w:lang w:val="en-US" w:eastAsia="zh-CN"/>
        </w:rPr>
      </w:pPr>
      <w:r>
        <w:rPr>
          <w:rFonts w:hint="eastAsia" w:ascii="宋体" w:hAnsi="宋体" w:eastAsia="宋体" w:cs="宋体"/>
          <w:lang w:val="en-US" w:eastAsia="zh-CN"/>
        </w:rPr>
        <w:t>四、问题解决</w:t>
      </w:r>
    </w:p>
    <w:p w14:paraId="40401F12">
      <w:pPr>
        <w:numPr>
          <w:ilvl w:val="0"/>
          <w:numId w:val="0"/>
        </w:numPr>
        <w:spacing w:line="360" w:lineRule="auto"/>
        <w:rPr>
          <w:rFonts w:hint="eastAsia" w:ascii="宋体" w:hAnsi="宋体" w:eastAsia="宋体" w:cs="宋体"/>
          <w:lang w:val="en-US" w:eastAsia="zh-CN"/>
        </w:rPr>
      </w:pPr>
      <w:r>
        <w:rPr>
          <w:rFonts w:hint="eastAsia" w:ascii="宋体" w:hAnsi="宋体" w:eastAsia="宋体" w:cs="宋体"/>
          <w:lang w:val="en-US" w:eastAsia="zh-CN"/>
        </w:rPr>
        <w:t>（一）基于数据诊断，精准设计教学起点</w:t>
      </w:r>
    </w:p>
    <w:p w14:paraId="031F16AD">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1.学习任务</w:t>
      </w:r>
    </w:p>
    <w:p w14:paraId="780ECC00">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根据AI对预习疑问的聚类结果，聚焦核心困惑“庄子说的‘无用之用’到底是什么意思？”，探究惠子与庄子判断“有用”与“无用”的标准差异。</w:t>
      </w:r>
    </w:p>
    <w:p w14:paraId="1A3979BE">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2.AI工具运用</w:t>
      </w:r>
    </w:p>
    <w:p w14:paraId="03E0C9BA">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利用DeepSeek对全班预习问题进行智能聚类分析，快速提取高频疑问，生成聚类图，作为课堂讨论的起点与依据。</w:t>
      </w:r>
    </w:p>
    <w:p w14:paraId="4FFA017B">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3.教学片段</w:t>
      </w:r>
    </w:p>
    <w:p w14:paraId="2E950551">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 同学们在预习时提出了不少问题，我请AI帮忙做了归类。（出示AI聚类分析图）</w:t>
      </w:r>
    </w:p>
    <w:p w14:paraId="393AEF65">
      <w:pPr>
        <w:spacing w:line="360" w:lineRule="auto"/>
        <w:jc w:val="center"/>
        <w:rPr>
          <w:rFonts w:hint="eastAsia" w:ascii="宋体" w:hAnsi="宋体" w:eastAsia="宋体" w:cs="宋体"/>
          <w:b w:val="0"/>
          <w:bCs w:val="0"/>
          <w:i w:val="0"/>
          <w:iCs w:val="0"/>
          <w:color w:val="auto"/>
          <w:sz w:val="21"/>
          <w:szCs w:val="21"/>
          <w:highlight w:val="none"/>
          <w:lang w:val="en-US"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1173480</wp:posOffset>
                </wp:positionH>
                <wp:positionV relativeFrom="paragraph">
                  <wp:posOffset>9525</wp:posOffset>
                </wp:positionV>
                <wp:extent cx="3008630" cy="1969770"/>
                <wp:effectExtent l="6350" t="6350" r="7620" b="30480"/>
                <wp:wrapNone/>
                <wp:docPr id="23" name="矩形 23"/>
                <wp:cNvGraphicFramePr/>
                <a:graphic xmlns:a="http://schemas.openxmlformats.org/drawingml/2006/main">
                  <a:graphicData uri="http://schemas.microsoft.com/office/word/2010/wordprocessingShape">
                    <wps:wsp>
                      <wps:cNvSpPr/>
                      <wps:spPr>
                        <a:xfrm>
                          <a:off x="0" y="0"/>
                          <a:ext cx="3008630" cy="1969770"/>
                        </a:xfrm>
                        <a:prstGeom prst="rect">
                          <a:avLst/>
                        </a:prstGeom>
                        <a:ln>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2.4pt;margin-top:0.75pt;height:155.1pt;width:236.9pt;z-index:251661312;v-text-anchor:middle;mso-width-relative:page;mso-height-relative:page;" filled="f" stroked="t" coordsize="21600,21600" o:gfxdata="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A83erTXAAAACQEAAA8AAAAAAAAAAQAgAAAAIgAAAGRycy9kb3ducmV2LnhtbFBL&#10;AQIUABQAAAAIAIdO4kBjl/5aaQIAAM4EAAAOAAAAAAAAAAEAIAAAACYBAABkcnMvZTJvRG9jLnht&#10;bFBLBQYAAAAABgAGAFkBAAABBgAAAAA=&#10;">
                <v:fill on="f" focussize="0,0"/>
                <v:stroke weight="1pt" color="#000000 [3213]" miterlimit="8" joinstyle="miter"/>
                <v:imagedata o:title=""/>
                <o:lock v:ext="edit" aspectratio="f"/>
              </v:rect>
            </w:pict>
          </mc:Fallback>
        </mc:AlternateContent>
      </w:r>
      <w:r>
        <w:rPr>
          <w:rFonts w:hint="eastAsia" w:ascii="宋体" w:hAnsi="宋体" w:eastAsia="宋体" w:cs="宋体"/>
          <w:b w:val="0"/>
          <w:bCs w:val="0"/>
          <w:i w:val="0"/>
          <w:iCs w:val="0"/>
          <w:color w:val="auto"/>
          <w:sz w:val="21"/>
          <w:szCs w:val="21"/>
          <w:highlight w:val="none"/>
          <w:lang w:val="en-US" w:eastAsia="zh-CN"/>
        </w:rPr>
        <w:drawing>
          <wp:inline distT="0" distB="0" distL="114300" distR="114300">
            <wp:extent cx="2659380" cy="1917065"/>
            <wp:effectExtent l="0" t="0" r="7620" b="13335"/>
            <wp:docPr id="11" name="图片 11" descr="/Users/panqi/Library/Containers/com.kingsoft.wpsoffice.mac/Data/tmp/photoeditapp/20251216160927/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Users/panqi/Library/Containers/com.kingsoft.wpsoffice.mac/Data/tmp/photoeditapp/20251216160927/temp.pngtemp"/>
                    <pic:cNvPicPr>
                      <a:picLocks noChangeAspect="1"/>
                    </pic:cNvPicPr>
                  </pic:nvPicPr>
                  <pic:blipFill>
                    <a:blip r:embed="rId4"/>
                    <a:stretch>
                      <a:fillRect/>
                    </a:stretch>
                  </pic:blipFill>
                  <pic:spPr>
                    <a:xfrm>
                      <a:off x="0" y="0"/>
                      <a:ext cx="2659380" cy="1917065"/>
                    </a:xfrm>
                    <a:prstGeom prst="rect">
                      <a:avLst/>
                    </a:prstGeom>
                  </pic:spPr>
                </pic:pic>
              </a:graphicData>
            </a:graphic>
          </wp:inline>
        </w:drawing>
      </w:r>
    </w:p>
    <w:p w14:paraId="54D92115">
      <w:pPr>
        <w:spacing w:line="360" w:lineRule="auto"/>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图1.《五石之瓠》预习高频疑问分类统计</w:t>
      </w:r>
    </w:p>
    <w:p w14:paraId="59157325">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大家最集中的困惑是：庄子说的‘无用之用’到底是什么意思？要回答这个问题，我们得先回到文本。寓言是有托喻性质的，要读出作者借助寓言表达的价值指向，必须抓住观点句。请大家阅读“五石之瓠”这个故事，思考：惠子与庄子判断“有用”的标准是什么？</w:t>
      </w:r>
    </w:p>
    <w:p w14:paraId="2606F61B">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生1：“吾为其无用而掊之。”惠子觉得东西要有实际作用才有用，比如能当容器放东西、盛东西。</w:t>
      </w:r>
    </w:p>
    <w:p w14:paraId="636391F0">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师：就是要发挥工具性的实用价值，那你再说说庄子判断有用的标准？</w:t>
      </w:r>
    </w:p>
    <w:p w14:paraId="6EC2BA89">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生1：庄子说：“夫子固拙于用大矣”，还有“则夫子犹有蓬之心也夫”。他是从看似用不上的地方挖掘价值，比如让大瓠浮乎江湖。</w:t>
      </w:r>
    </w:p>
    <w:p w14:paraId="776E48C6">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师：“看似用不上的地方”是什么地方？</w:t>
      </w:r>
    </w:p>
    <w:p w14:paraId="2EB36A97">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生1：说不太清，其实就是惠子是实用主义，而庄子比较浪漫主义。</w:t>
      </w:r>
    </w:p>
    <w:p w14:paraId="4B2E87F4">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师：那我们需要进一步探究，你所说的浪漫主义，内在到底是什么样的标准呢？就结合刚刚提到的“浮乎江湖”，我们一起咬文嚼字，看看“浮”能否改成“济”？</w:t>
      </w:r>
    </w:p>
    <w:p w14:paraId="5796BB29">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生2：我觉得“浮”侧重一种状态，“济”更倾向于一个动作。</w:t>
      </w:r>
    </w:p>
    <w:p w14:paraId="4A4269E4">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师：能否对“状态”和“动作”的特征进一步阐述？</w:t>
      </w:r>
    </w:p>
    <w:p w14:paraId="6D549A40">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生2：“济”是渡过，比如“直挂云帆济沧海”，这个动作带有明确的目的性。而“浮”是飘着，没有目的，随心所欲的一种状态。</w:t>
      </w:r>
    </w:p>
    <w:p w14:paraId="27E9357D">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师：很好，你将二者的本质区别说清了。除了“浮”，再来看看“江湖”二字，大家想想，江湖给你什么感觉？</w:t>
      </w:r>
    </w:p>
    <w:p w14:paraId="5EC7DCA1">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生3：比较广阔、悠远。</w:t>
      </w:r>
    </w:p>
    <w:p w14:paraId="19898D6D">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师：是否还有其他深意？</w:t>
      </w:r>
    </w:p>
    <w:p w14:paraId="4B744BBD">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生3：……（犹豫）平静？</w:t>
      </w:r>
    </w:p>
    <w:p w14:paraId="35727BEC">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师：看得出有些难度。这样，左右同桌讨论一下，“江湖”可能有哪些象征意义？</w:t>
      </w:r>
    </w:p>
    <w:p w14:paraId="33B00700">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（学生讨论）</w:t>
      </w:r>
    </w:p>
    <w:p w14:paraId="458FCE09">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生4：我觉得“江湖”还隐含着与世俗相对的意思，比如“不如相忘于江湖”。</w:t>
      </w:r>
    </w:p>
    <w:p w14:paraId="3E7AE74A">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师：很不错！你的想法有一些深度了。我们来看看AI的解读，和大家的想法有哪些相通之处？（出示DeepSeek的回答）</w:t>
      </w:r>
    </w:p>
    <w:p w14:paraId="79ED805F">
      <w:pPr>
        <w:spacing w:line="360" w:lineRule="auto"/>
        <w:jc w:val="center"/>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drawing>
          <wp:inline distT="0" distB="0" distL="114300" distR="114300">
            <wp:extent cx="5175885" cy="1771015"/>
            <wp:effectExtent l="0" t="0" r="5715" b="6985"/>
            <wp:docPr id="14" name="图片 14" descr="864a72a4-4eab-4def-9835-7586353fb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864a72a4-4eab-4def-9835-7586353fb357"/>
                    <pic:cNvPicPr>
                      <a:picLocks noChangeAspect="1"/>
                    </pic:cNvPicPr>
                  </pic:nvPicPr>
                  <pic:blipFill>
                    <a:blip r:embed="rId5"/>
                    <a:stretch>
                      <a:fillRect/>
                    </a:stretch>
                  </pic:blipFill>
                  <pic:spPr>
                    <a:xfrm>
                      <a:off x="0" y="0"/>
                      <a:ext cx="5175885" cy="1771015"/>
                    </a:xfrm>
                    <a:prstGeom prst="rect">
                      <a:avLst/>
                    </a:prstGeom>
                  </pic:spPr>
                </pic:pic>
              </a:graphicData>
            </a:graphic>
          </wp:inline>
        </w:drawing>
      </w:r>
    </w:p>
    <w:p w14:paraId="21ACF88F">
      <w:pPr>
        <w:spacing w:line="360" w:lineRule="auto"/>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图2.课堂提问AI关于意象“江湖”的解答</w:t>
      </w:r>
    </w:p>
    <w:p w14:paraId="1506D3FC">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师：参考AI，再结合“浮”字的分析，庄子判断有用的标准是什么？还是请你来整合。</w:t>
      </w:r>
    </w:p>
    <w:p w14:paraId="42485712">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生3：庄子更潇洒、自由，顺应大瓠本身的特性，不追求实用和工具属性。</w:t>
      </w:r>
    </w:p>
    <w:p w14:paraId="0D40959A">
      <w:pPr>
        <w:spacing w:line="360" w:lineRule="auto"/>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师：非常好！请坐。庄子不是在找“用途”，而是在顺应物的本性。大瓠中空能浮，那就让它浮在江湖上——不把它当工具，而是让它成为它自己。</w:t>
      </w:r>
    </w:p>
    <w:p w14:paraId="3FCEE7DA">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4.教学效果评析</w:t>
      </w:r>
    </w:p>
    <w:p w14:paraId="05C8DE84">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AI 聚类帮助教师走出 “摸着石头过河”的困境。将教学起点由教师预设的“分析庄子说理的艺术”转变为更接近学生原有认知水平的“理解‘无用之用’之意”，使课堂教学真正瞄准学生的最近发展区进行设计；既提升了教学效率，也增强了学生对课堂学习与自身所思之间的相关度感。加深了学习参与性。借助于 AI，学生们通过咬文嚼字和意象解读由模糊到清晰的认知过程，为接下来对文本的进一步了解打下了良好的基础。</w:t>
      </w:r>
    </w:p>
    <w:p w14:paraId="2BD9D319">
      <w:pPr>
        <w:spacing w:line="360" w:lineRule="auto"/>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（二）AI 深度解构，推动思维过程的层级化进阶</w:t>
      </w:r>
    </w:p>
    <w:p w14:paraId="03A499B8">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1.学习任务</w:t>
      </w:r>
    </w:p>
    <w:p w14:paraId="442E22DA">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进一步挖掘两则寓言之间的深层联系，将庄子的“破—立—越”思维过程转化为可观察、可讨论的认知路径，引导学生自主建构对“无用之用”的理解。</w:t>
      </w:r>
    </w:p>
    <w:p w14:paraId="423E555C">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2.AI 工具运用</w:t>
      </w:r>
    </w:p>
    <w:p w14:paraId="1E019597">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第一步，学生分组讨论，绘制思维导图，梳理两则寓言之间的逻辑关联。第二步，教师将各小组的思维导图拍照上传，AI对全班导图进行“思维类型聚类”，不评价优劣，主要识别出不同的思考路径，将相似思维模式的小组聚类。第三步，教师呈现聚类结果，让不同思维类型的小组之间进行“思维对话”，相互解读对方的导图，理解不同的思考角度，在碰撞中深化对文本的理解。</w:t>
      </w:r>
    </w:p>
    <w:p w14:paraId="3312D7A0">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3.教学片段</w:t>
      </w:r>
    </w:p>
    <w:p w14:paraId="2C1F1F54">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师：讲到这，大家是否觉得，五石之瓠的故事已经能说清庄子的观点了，那庄子为什么还要向惠子讲不龟手之药的故事呢？</w:t>
      </w:r>
    </w:p>
    <w:p w14:paraId="14C47E2B">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生1：庄子说“所用之异也”，他想告诉惠子事物可以有不同的“用”。</w:t>
      </w:r>
    </w:p>
    <w:p w14:paraId="10F7A435">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师：那么四个人的“用”究竟“异”在哪里？</w:t>
      </w:r>
    </w:p>
    <w:p w14:paraId="4AAB2FA3">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生3：我感觉有的为了钱或者做工具，有的是顺应自然。</w:t>
      </w:r>
    </w:p>
    <w:p w14:paraId="2BE2C14B">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师：你的感觉指向了核心，但比较模糊。我们先不急着得出答案，可以分小组来梳理这两个故事的关系。请各小组充分讨论后，用思维导图展现这两个故事之间的逻辑关联。</w:t>
      </w:r>
    </w:p>
    <w:p w14:paraId="1DE4BC81">
      <w:pPr>
        <w:spacing w:line="360" w:lineRule="auto"/>
        <w:ind w:firstLine="420" w:firstLineChars="200"/>
        <w:rPr>
          <w:rFonts w:hint="default"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（学生分组讨论，教师巡视指导）</w:t>
      </w:r>
    </w:p>
    <w:p w14:paraId="5AD4A90A">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 时间到！我们选个别小组代表来简单交流。</w:t>
      </w:r>
    </w:p>
    <w:p w14:paraId="7D609105">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第1组代表：我们画的是阶梯图（出示导图）。第一级是宋人和惠子，他们对用的认识都比较肤浅；第二级是客，他把药用在军事上最终获得封地；第三级是庄子，他顺应事物本性，认识更高。</w:t>
      </w:r>
    </w:p>
    <w:p w14:paraId="7AD4154E">
      <w:pPr>
        <w:spacing w:line="360" w:lineRule="auto"/>
        <w:jc w:val="center"/>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drawing>
          <wp:inline distT="0" distB="0" distL="114300" distR="114300">
            <wp:extent cx="2134870" cy="1243330"/>
            <wp:effectExtent l="0" t="0" r="24130" b="1270"/>
            <wp:docPr id="3" name="图片 3" descr="/Users/panqi/Library/Containers/com.kingsoft.wpsoffice.mac/Data/tmp/photoeditapp/20251222144340/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Users/panqi/Library/Containers/com.kingsoft.wpsoffice.mac/Data/tmp/photoeditapp/20251222144340/temp.pngtemp"/>
                    <pic:cNvPicPr>
                      <a:picLocks noChangeAspect="1"/>
                    </pic:cNvPicPr>
                  </pic:nvPicPr>
                  <pic:blipFill>
                    <a:blip r:embed="rId6"/>
                    <a:srcRect l="2850" t="8442" r="9281" b="23329"/>
                    <a:stretch>
                      <a:fillRect/>
                    </a:stretch>
                  </pic:blipFill>
                  <pic:spPr>
                    <a:xfrm>
                      <a:off x="0" y="0"/>
                      <a:ext cx="2134870" cy="1243330"/>
                    </a:xfrm>
                    <a:prstGeom prst="rect">
                      <a:avLst/>
                    </a:prstGeom>
                  </pic:spPr>
                </pic:pic>
              </a:graphicData>
            </a:graphic>
          </wp:inline>
        </w:drawing>
      </w:r>
    </w:p>
    <w:p w14:paraId="72F26E1A">
      <w:pPr>
        <w:spacing w:line="360" w:lineRule="auto"/>
        <w:jc w:val="center"/>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图3.第一组学生呈现的课堂思维导图</w:t>
      </w:r>
    </w:p>
    <w:p w14:paraId="55CE8CC5">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第2组代表：我们画的是关系图（出示导图）。惠子像宋人，只看到事物的表层用途；庄子希望惠子像客一样发现新用途，但庄子自己又比客对“用”的看法更高。</w:t>
      </w:r>
    </w:p>
    <w:p w14:paraId="33ED050A">
      <w:pPr>
        <w:spacing w:line="360" w:lineRule="auto"/>
        <w:jc w:val="center"/>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drawing>
          <wp:inline distT="0" distB="0" distL="114300" distR="114300">
            <wp:extent cx="1517015" cy="2294255"/>
            <wp:effectExtent l="0" t="0" r="17145" b="6985"/>
            <wp:docPr id="7" name="图片 7" descr="/Users/panqi/Library/Containers/com.kingsoft.wpsoffice.mac/Data/tmp/photoeditapp/20251222153249/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Users/panqi/Library/Containers/com.kingsoft.wpsoffice.mac/Data/tmp/photoeditapp/20251222153249/temp.pngtemp"/>
                    <pic:cNvPicPr>
                      <a:picLocks noChangeAspect="1"/>
                    </pic:cNvPicPr>
                  </pic:nvPicPr>
                  <pic:blipFill>
                    <a:blip r:embed="rId7"/>
                    <a:srcRect l="14259" r="33694"/>
                    <a:stretch>
                      <a:fillRect/>
                    </a:stretch>
                  </pic:blipFill>
                  <pic:spPr>
                    <a:xfrm rot="5400000">
                      <a:off x="0" y="0"/>
                      <a:ext cx="1517015" cy="2294255"/>
                    </a:xfrm>
                    <a:prstGeom prst="rect">
                      <a:avLst/>
                    </a:prstGeom>
                  </pic:spPr>
                </pic:pic>
              </a:graphicData>
            </a:graphic>
          </wp:inline>
        </w:drawing>
      </w:r>
    </w:p>
    <w:p w14:paraId="7BF08F44">
      <w:pPr>
        <w:spacing w:line="360" w:lineRule="auto"/>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图4.第二组学生呈现的课堂思维导图</w:t>
      </w:r>
    </w:p>
    <w:p w14:paraId="7A7D82E7">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各组的图表都很有创意。大家发现了几个关键点：第一，人物之间有对应关系；第二，“用”的层次不同；第三，庄子在引导惠子一步步思考。为了让我们的思考更深入，我把大家的导图上传给AI，请它帮我们做一件事——不评价优劣，而是把大家的思考方式分分类，看看我们班一共有多少种“看问题的方法”。（教师操作，大屏幕显示）</w:t>
      </w:r>
    </w:p>
    <w:p w14:paraId="6061F4F1">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师：AI分析了我们全班12个小组的导图，发现大家的思考主要分成三种类型——</w:t>
      </w:r>
    </w:p>
    <w:p w14:paraId="48F2440D">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（出示AI聚类结果）</w:t>
      </w:r>
    </w:p>
    <w:p w14:paraId="1F1D158B">
      <w:pPr>
        <w:spacing w:line="360" w:lineRule="auto"/>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drawing>
          <wp:inline distT="0" distB="0" distL="114300" distR="114300">
            <wp:extent cx="5250180" cy="1109345"/>
            <wp:effectExtent l="0" t="0" r="7620" b="8255"/>
            <wp:docPr id="24" name="图片 24" descr="bfc4faa5-f7cc-47d9-aa98-265db51fc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bfc4faa5-f7cc-47d9-aa98-265db51fc730"/>
                    <pic:cNvPicPr>
                      <a:picLocks noChangeAspect="1"/>
                    </pic:cNvPicPr>
                  </pic:nvPicPr>
                  <pic:blipFill>
                    <a:blip r:embed="rId8"/>
                    <a:stretch>
                      <a:fillRect/>
                    </a:stretch>
                  </pic:blipFill>
                  <pic:spPr>
                    <a:xfrm>
                      <a:off x="0" y="0"/>
                      <a:ext cx="5250180" cy="1109345"/>
                    </a:xfrm>
                    <a:prstGeom prst="rect">
                      <a:avLst/>
                    </a:prstGeom>
                  </pic:spPr>
                </pic:pic>
              </a:graphicData>
            </a:graphic>
          </wp:inline>
        </w:drawing>
      </w:r>
    </w:p>
    <w:p w14:paraId="5E3C8493">
      <w:pPr>
        <w:spacing w:line="360" w:lineRule="auto"/>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图5.AI对学生导图的聚类分析图</w:t>
      </w:r>
    </w:p>
    <w:p w14:paraId="1112F515">
      <w:pPr>
        <w:spacing w:line="360" w:lineRule="auto"/>
        <w:ind w:firstLine="420" w:firstLineChars="200"/>
        <w:jc w:val="both"/>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我们来看看AI是如何归类的。它主要根据三个维度：第一个是“层次递进关系”，看导图是否体现了境界的上升；第二个是“人物对应关系”，看导图是否建立了宋人、客、惠子、庄子之间的对应关系；第三个是“说理过程展开”，看导图是否</w:t>
      </w:r>
      <w:bookmarkStart w:id="0" w:name="_GoBack"/>
      <w:bookmarkEnd w:id="0"/>
      <w:r>
        <w:rPr>
          <w:rFonts w:hint="eastAsia" w:ascii="宋体" w:hAnsi="宋体" w:eastAsia="宋体" w:cs="宋体"/>
          <w:b w:val="0"/>
          <w:bCs w:val="0"/>
          <w:i w:val="0"/>
          <w:iCs w:val="0"/>
          <w:color w:val="auto"/>
          <w:sz w:val="21"/>
          <w:szCs w:val="21"/>
          <w:highlight w:val="none"/>
          <w:lang w:val="en-US" w:eastAsia="zh-CN"/>
        </w:rPr>
        <w:t>以“惠子的问题”为核心展开。</w:t>
      </w:r>
    </w:p>
    <w:p w14:paraId="1048198D">
      <w:pPr>
        <w:spacing w:line="360" w:lineRule="auto"/>
        <w:ind w:firstLine="420" w:firstLineChars="200"/>
        <w:jc w:val="left"/>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师：现在，我要请不同类型的小组相互交流5分钟，完成以下任务：第一，读懂对方的导图，他们是从什么角度思考的？ 第二，从对方的思维类型中，看到了什么自己没想到的要素？ 第三，回到自己小组讨论如何借鉴其他类型的思路，完善本组的理解。同学们可以借助我下发的“思维碰撞任务单”进行记录。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4668149">
        <w:tc>
          <w:tcPr>
            <w:tcW w:w="8522" w:type="dxa"/>
          </w:tcPr>
          <w:p w14:paraId="7C827076">
            <w:pPr>
              <w:spacing w:line="360" w:lineRule="auto"/>
              <w:jc w:val="center"/>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思维碰撞任务单</w:t>
            </w:r>
          </w:p>
          <w:p w14:paraId="30E9E658">
            <w:pPr>
              <w:spacing w:line="360" w:lineRule="auto"/>
              <w:jc w:val="left"/>
              <w:rPr>
                <w:rFonts w:hint="default" w:ascii="宋体" w:hAnsi="宋体" w:eastAsia="宋体" w:cs="宋体"/>
                <w:b w:val="0"/>
                <w:bCs w:val="0"/>
                <w:i w:val="0"/>
                <w:iCs w:val="0"/>
                <w:color w:val="auto"/>
                <w:sz w:val="21"/>
                <w:szCs w:val="21"/>
                <w:highlight w:val="none"/>
                <w:u w:val="single"/>
                <w:lang w:val="en-US" w:eastAsia="zh-CN"/>
              </w:rPr>
            </w:pPr>
            <w:r>
              <w:rPr>
                <w:rFonts w:hint="eastAsia" w:ascii="宋体" w:hAnsi="宋体" w:eastAsia="宋体" w:cs="宋体"/>
                <w:b w:val="0"/>
                <w:bCs w:val="0"/>
                <w:i w:val="0"/>
                <w:iCs w:val="0"/>
                <w:color w:val="auto"/>
                <w:sz w:val="21"/>
                <w:szCs w:val="21"/>
                <w:highlight w:val="none"/>
                <w:lang w:val="en-US" w:eastAsia="zh-CN"/>
              </w:rPr>
              <w:t>我方的思维导图的核心（1句话概括）：</w:t>
            </w:r>
            <w:r>
              <w:rPr>
                <w:rFonts w:hint="eastAsia" w:ascii="宋体" w:hAnsi="宋体" w:eastAsia="宋体" w:cs="宋体"/>
                <w:b w:val="0"/>
                <w:bCs w:val="0"/>
                <w:i w:val="0"/>
                <w:iCs w:val="0"/>
                <w:color w:val="auto"/>
                <w:sz w:val="21"/>
                <w:szCs w:val="21"/>
                <w:highlight w:val="none"/>
                <w:u w:val="single"/>
                <w:lang w:val="en-US" w:eastAsia="zh-CN"/>
              </w:rPr>
              <w:t xml:space="preserve">                                          </w:t>
            </w:r>
          </w:p>
          <w:p w14:paraId="06DF1301">
            <w:pPr>
              <w:spacing w:line="360" w:lineRule="auto"/>
              <w:jc w:val="left"/>
              <w:rPr>
                <w:rFonts w:hint="eastAsia" w:ascii="宋体" w:hAnsi="宋体" w:eastAsia="宋体" w:cs="宋体"/>
                <w:b w:val="0"/>
                <w:bCs w:val="0"/>
                <w:i w:val="0"/>
                <w:iCs w:val="0"/>
                <w:color w:val="auto"/>
                <w:sz w:val="21"/>
                <w:szCs w:val="21"/>
                <w:highlight w:val="none"/>
                <w:lang w:val="en-US" w:eastAsia="zh-CN"/>
              </w:rPr>
            </w:pPr>
            <w:r>
              <w:rPr>
                <w:rFonts w:hint="default" w:ascii="宋体" w:hAnsi="宋体" w:eastAsia="宋体" w:cs="宋体"/>
                <w:b w:val="0"/>
                <w:bCs w:val="0"/>
                <w:i w:val="0"/>
                <w:iCs w:val="0"/>
                <w:color w:val="auto"/>
                <w:sz w:val="21"/>
                <w:szCs w:val="21"/>
                <w:highlight w:val="none"/>
                <w:lang w:val="en-US" w:eastAsia="zh-CN"/>
              </w:rPr>
              <w:t>对方小组的思维亮点（至少1点）</w:t>
            </w:r>
            <w:r>
              <w:rPr>
                <w:rFonts w:hint="eastAsia" w:ascii="宋体" w:hAnsi="宋体" w:eastAsia="宋体" w:cs="宋体"/>
                <w:b w:val="0"/>
                <w:bCs w:val="0"/>
                <w:i w:val="0"/>
                <w:iCs w:val="0"/>
                <w:color w:val="auto"/>
                <w:sz w:val="21"/>
                <w:szCs w:val="21"/>
                <w:highlight w:val="none"/>
                <w:lang w:val="en-US" w:eastAsia="zh-CN"/>
              </w:rPr>
              <w:t>：</w:t>
            </w:r>
            <w:r>
              <w:rPr>
                <w:rFonts w:hint="eastAsia" w:ascii="宋体" w:hAnsi="宋体" w:eastAsia="宋体" w:cs="宋体"/>
                <w:b w:val="0"/>
                <w:bCs w:val="0"/>
                <w:i w:val="0"/>
                <w:iCs w:val="0"/>
                <w:color w:val="auto"/>
                <w:sz w:val="21"/>
                <w:szCs w:val="21"/>
                <w:highlight w:val="none"/>
                <w:u w:val="single"/>
                <w:lang w:val="en-US" w:eastAsia="zh-CN"/>
              </w:rPr>
              <w:t xml:space="preserve">                                             </w:t>
            </w:r>
          </w:p>
          <w:p w14:paraId="018D2F00">
            <w:pPr>
              <w:spacing w:line="360" w:lineRule="auto"/>
              <w:jc w:val="left"/>
              <w:rPr>
                <w:rFonts w:hint="default" w:ascii="宋体" w:hAnsi="宋体" w:eastAsia="宋体" w:cs="宋体"/>
                <w:b w:val="0"/>
                <w:bCs w:val="0"/>
                <w:i w:val="0"/>
                <w:iCs w:val="0"/>
                <w:color w:val="auto"/>
                <w:sz w:val="21"/>
                <w:szCs w:val="21"/>
                <w:highlight w:val="none"/>
                <w:lang w:val="en-US" w:eastAsia="zh-CN"/>
              </w:rPr>
            </w:pPr>
            <w:r>
              <w:rPr>
                <w:rFonts w:hint="default" w:ascii="宋体" w:hAnsi="宋体" w:eastAsia="宋体" w:cs="宋体"/>
                <w:b w:val="0"/>
                <w:bCs w:val="0"/>
                <w:i w:val="0"/>
                <w:iCs w:val="0"/>
                <w:color w:val="auto"/>
                <w:sz w:val="21"/>
                <w:szCs w:val="21"/>
                <w:highlight w:val="none"/>
                <w:lang w:val="en-US" w:eastAsia="zh-CN"/>
              </w:rPr>
              <w:t>从对方小组学到的思考角度（至少1点说明对自己理解文本的帮助）</w:t>
            </w:r>
            <w:r>
              <w:rPr>
                <w:rFonts w:hint="eastAsia" w:ascii="宋体" w:hAnsi="宋体" w:eastAsia="宋体" w:cs="宋体"/>
                <w:b w:val="0"/>
                <w:bCs w:val="0"/>
                <w:i w:val="0"/>
                <w:iCs w:val="0"/>
                <w:color w:val="auto"/>
                <w:sz w:val="21"/>
                <w:szCs w:val="21"/>
                <w:highlight w:val="none"/>
                <w:lang w:val="en-US" w:eastAsia="zh-CN"/>
              </w:rPr>
              <w:t>：</w:t>
            </w:r>
            <w:r>
              <w:rPr>
                <w:rFonts w:hint="eastAsia" w:ascii="宋体" w:hAnsi="宋体" w:eastAsia="宋体" w:cs="宋体"/>
                <w:b w:val="0"/>
                <w:bCs w:val="0"/>
                <w:i w:val="0"/>
                <w:iCs w:val="0"/>
                <w:color w:val="auto"/>
                <w:sz w:val="21"/>
                <w:szCs w:val="21"/>
                <w:highlight w:val="none"/>
                <w:u w:val="single"/>
                <w:lang w:val="en-US" w:eastAsia="zh-CN"/>
              </w:rPr>
              <w:t xml:space="preserve">               </w:t>
            </w:r>
          </w:p>
          <w:p w14:paraId="5D334078">
            <w:pPr>
              <w:spacing w:line="360" w:lineRule="auto"/>
              <w:jc w:val="left"/>
              <w:rPr>
                <w:rFonts w:hint="default" w:ascii="宋体" w:hAnsi="宋体" w:eastAsia="宋体" w:cs="宋体"/>
                <w:b w:val="0"/>
                <w:bCs w:val="0"/>
                <w:i w:val="0"/>
                <w:iCs w:val="0"/>
                <w:color w:val="auto"/>
                <w:sz w:val="21"/>
                <w:szCs w:val="21"/>
                <w:highlight w:val="none"/>
                <w:lang w:val="en-US" w:eastAsia="zh-CN"/>
              </w:rPr>
            </w:pPr>
            <w:r>
              <w:rPr>
                <w:rFonts w:hint="default" w:ascii="宋体" w:hAnsi="宋体" w:eastAsia="宋体" w:cs="宋体"/>
                <w:b w:val="0"/>
                <w:bCs w:val="0"/>
                <w:i w:val="0"/>
                <w:iCs w:val="0"/>
                <w:color w:val="auto"/>
                <w:sz w:val="21"/>
                <w:szCs w:val="21"/>
                <w:highlight w:val="none"/>
                <w:lang w:val="en-US" w:eastAsia="zh-CN"/>
              </w:rPr>
              <w:t>整合双方思路后的新思考（1-2 句话）</w:t>
            </w:r>
            <w:r>
              <w:rPr>
                <w:rFonts w:hint="eastAsia" w:ascii="宋体" w:hAnsi="宋体" w:eastAsia="宋体" w:cs="宋体"/>
                <w:b w:val="0"/>
                <w:bCs w:val="0"/>
                <w:i w:val="0"/>
                <w:iCs w:val="0"/>
                <w:color w:val="auto"/>
                <w:sz w:val="21"/>
                <w:szCs w:val="21"/>
                <w:highlight w:val="none"/>
                <w:lang w:val="en-US" w:eastAsia="zh-CN"/>
              </w:rPr>
              <w:t>：</w:t>
            </w:r>
            <w:r>
              <w:rPr>
                <w:rFonts w:hint="eastAsia" w:ascii="宋体" w:hAnsi="宋体" w:eastAsia="宋体" w:cs="宋体"/>
                <w:b w:val="0"/>
                <w:bCs w:val="0"/>
                <w:i w:val="0"/>
                <w:iCs w:val="0"/>
                <w:color w:val="auto"/>
                <w:sz w:val="21"/>
                <w:szCs w:val="21"/>
                <w:highlight w:val="none"/>
                <w:u w:val="single"/>
                <w:lang w:val="en-US" w:eastAsia="zh-CN"/>
              </w:rPr>
              <w:t xml:space="preserve">                                         </w:t>
            </w:r>
          </w:p>
        </w:tc>
      </w:tr>
    </w:tbl>
    <w:p w14:paraId="3C91ADE5">
      <w:pPr>
        <w:spacing w:line="360" w:lineRule="auto"/>
        <w:ind w:firstLine="420" w:firstLineChars="200"/>
        <w:jc w:val="both"/>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（学生跨组交流）</w:t>
      </w:r>
    </w:p>
    <w:p w14:paraId="74247920">
      <w:pPr>
        <w:spacing w:line="360" w:lineRule="auto"/>
        <w:ind w:firstLine="420" w:firstLineChars="200"/>
        <w:jc w:val="both"/>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师：时间到！现在我们请不同类型的小组代表来分享一下思维碰撞的结果。</w:t>
      </w:r>
    </w:p>
    <w:p w14:paraId="5696CE33">
      <w:pPr>
        <w:spacing w:line="360" w:lineRule="auto"/>
        <w:ind w:firstLine="420" w:firstLineChars="200"/>
        <w:jc w:val="both"/>
        <w:rPr>
          <w:rFonts w:hint="default"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生4（</w:t>
      </w:r>
      <w:r>
        <w:rPr>
          <w:rFonts w:hint="default" w:ascii="宋体" w:hAnsi="宋体" w:eastAsia="宋体" w:cs="宋体"/>
          <w:b w:val="0"/>
          <w:bCs w:val="0"/>
          <w:i w:val="0"/>
          <w:iCs w:val="0"/>
          <w:color w:val="auto"/>
          <w:sz w:val="21"/>
          <w:szCs w:val="21"/>
          <w:highlight w:val="none"/>
          <w:lang w:val="en-US" w:eastAsia="zh-CN"/>
        </w:rPr>
        <w:t>A</w:t>
      </w:r>
      <w:r>
        <w:rPr>
          <w:rFonts w:hint="eastAsia" w:ascii="宋体" w:hAnsi="宋体" w:eastAsia="宋体" w:cs="宋体"/>
          <w:b w:val="0"/>
          <w:bCs w:val="0"/>
          <w:i w:val="0"/>
          <w:iCs w:val="0"/>
          <w:color w:val="auto"/>
          <w:sz w:val="21"/>
          <w:szCs w:val="21"/>
          <w:highlight w:val="none"/>
          <w:lang w:val="en-US" w:eastAsia="zh-CN"/>
        </w:rPr>
        <w:t>类型）：我们去听了</w:t>
      </w:r>
      <w:r>
        <w:rPr>
          <w:rFonts w:hint="default" w:ascii="宋体" w:hAnsi="宋体" w:eastAsia="宋体" w:cs="宋体"/>
          <w:b w:val="0"/>
          <w:bCs w:val="0"/>
          <w:i w:val="0"/>
          <w:iCs w:val="0"/>
          <w:color w:val="auto"/>
          <w:sz w:val="21"/>
          <w:szCs w:val="21"/>
          <w:highlight w:val="none"/>
          <w:lang w:val="en-US" w:eastAsia="zh-CN"/>
        </w:rPr>
        <w:t>B</w:t>
      </w:r>
      <w:r>
        <w:rPr>
          <w:rFonts w:hint="eastAsia" w:ascii="宋体" w:hAnsi="宋体" w:eastAsia="宋体" w:cs="宋体"/>
          <w:b w:val="0"/>
          <w:bCs w:val="0"/>
          <w:i w:val="0"/>
          <w:iCs w:val="0"/>
          <w:color w:val="auto"/>
          <w:sz w:val="21"/>
          <w:szCs w:val="21"/>
          <w:highlight w:val="none"/>
          <w:lang w:val="en-US" w:eastAsia="zh-CN"/>
        </w:rPr>
        <w:t>类型。他们把我们图里的“宋人→客→庄子”这条线，拆成了两对关系：宋人对应惠子，客对应“可能的惠子”，庄子对应“超越的惠子”。我们原来只看到“三个人”，他们看到了“三个人在惠子身上的三种可能”。</w:t>
      </w:r>
    </w:p>
    <w:p w14:paraId="6895601A">
      <w:pPr>
        <w:spacing w:line="360" w:lineRule="auto"/>
        <w:ind w:firstLine="420" w:firstLineChars="200"/>
        <w:jc w:val="both"/>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师：这个发现对你们理解庄子有什么帮助？</w:t>
      </w:r>
    </w:p>
    <w:p w14:paraId="7FB6D853">
      <w:pPr>
        <w:spacing w:line="360" w:lineRule="auto"/>
        <w:ind w:firstLine="420" w:firstLineChars="200"/>
        <w:jc w:val="both"/>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4：我们原来觉得庄子是在讲“三种人”，现在觉得庄子可能是在讲“一个人的三种可能”——惠子可以停留在宋人层面，可以进化到客层面，也可以超越到庄子层面。故事是讲给惠子听的，也是讲给我们听的。</w:t>
      </w:r>
    </w:p>
    <w:p w14:paraId="0AAA1D7E">
      <w:pPr>
        <w:spacing w:line="360" w:lineRule="auto"/>
        <w:ind w:firstLine="420" w:firstLineChars="200"/>
        <w:jc w:val="both"/>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师：顺着这个思路，再来看“不龟手之药”这个故事。同样是不龟手之药，宋人和客的用法不一样，最终收获天差地别，如果惠子是听故事的人，庄子讲这个故事的用意是什么？</w:t>
      </w:r>
    </w:p>
    <w:p w14:paraId="41C13E0C">
      <w:pPr>
        <w:spacing w:line="360" w:lineRule="auto"/>
        <w:ind w:firstLine="420" w:firstLineChars="200"/>
        <w:jc w:val="both"/>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生4：庄子是想告诉惠子，你不能像宋人那样固化思维，要像客一样转换视角，把药用在军事上。</w:t>
      </w:r>
    </w:p>
    <w:p w14:paraId="69642639">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师：那转换视角的关键是什么？仅仅是换一个使用场景吗？</w:t>
      </w:r>
    </w:p>
    <w:p w14:paraId="0CF89DE2">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生4：……（犹豫）</w:t>
      </w:r>
    </w:p>
    <w:p w14:paraId="3BF95E0A">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5：我觉得应该是对事物本身的认识。因为宋人对不龟手之药的认识，只来自日常生活，认为药只能帮他们漂洗丝絮，世世代代都这么用，对事物的认识很单一，这就是“小用”。而客想到了它的军事价值，有发散性思维，这就是“大用”。</w:t>
      </w:r>
    </w:p>
    <w:p w14:paraId="4E311006">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师：你提到了一个关键词——“发散性思维”，能结合这个词继续谈谈庄子向惠子讲不龟手之药的故事的用意吗？</w:t>
      </w:r>
    </w:p>
    <w:p w14:paraId="6A5D8992">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生5：是类比。惠子就像故事里的宋人，局限于固有认知。庄子是想告诉惠子，要像客一样去从不同的角度出发去看待事物，才能充分认识和发挥事物的价值。</w:t>
      </w:r>
    </w:p>
    <w:p w14:paraId="55D08675">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师：说得太好了！顺着你们的思路，我们继续往下探究，如果惠子学会了像客一样转换视角，他是不是就达到庄子的境界了？</w:t>
      </w:r>
    </w:p>
    <w:p w14:paraId="14EC923B">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生6（B类型）：我觉得没有。因为客虽然转换了视角，但他追求的还是功利——得到封地。庄子讲第二个故事，可能是想告诉惠子，还有比功利更高的东西。</w:t>
      </w:r>
    </w:p>
    <w:p w14:paraId="147DBFC5">
      <w:pPr>
        <w:spacing w:line="360" w:lineRule="auto"/>
        <w:ind w:firstLine="420" w:firstLineChars="200"/>
        <w:rPr>
          <w:rFonts w:hint="default"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师：你所说的比功利更高的东西是指什么？</w:t>
      </w:r>
    </w:p>
    <w:p w14:paraId="6711B1DF">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6（B类型）：我们去了C类型的组，他们的导图是以“惠子的问题”为中心展开的。这给我们很大的启发，而且刚刚听了前面一组的分享，我们发现惠子的问题不只是“没发现大用”，而是执着于“用”这个标准本身。庄子讲第一个故事，是告诉他“你可以换一种用法”；讲第二个故事，是告诉他“你也可以不用”。</w:t>
      </w:r>
    </w:p>
    <w:p w14:paraId="487CE7A4">
      <w:pPr>
        <w:spacing w:line="360" w:lineRule="auto"/>
        <w:ind w:firstLine="420" w:firstLineChars="200"/>
        <w:rPr>
          <w:rFonts w:hint="default" w:ascii="宋体" w:hAnsi="宋体" w:eastAsia="宋体" w:cs="宋体"/>
          <w:b w:val="0"/>
          <w:bCs w:val="0"/>
          <w:i w:val="0"/>
          <w:iCs w:val="0"/>
          <w:color w:val="auto"/>
          <w:sz w:val="21"/>
          <w:szCs w:val="21"/>
          <w:highlight w:val="none"/>
          <w:lang w:val="en-US" w:eastAsia="zh-CN"/>
        </w:rPr>
      </w:pPr>
      <w:r>
        <w:rPr>
          <w:rFonts w:hint="default" w:ascii="宋体" w:hAnsi="宋体" w:eastAsia="宋体" w:cs="宋体"/>
          <w:b w:val="0"/>
          <w:bCs w:val="0"/>
          <w:i w:val="0"/>
          <w:iCs w:val="0"/>
          <w:color w:val="auto"/>
          <w:sz w:val="21"/>
          <w:szCs w:val="21"/>
          <w:highlight w:val="none"/>
          <w:lang w:val="en-US" w:eastAsia="zh-CN"/>
        </w:rPr>
        <w:t>师：“你也可以不用”</w:t>
      </w:r>
      <w:r>
        <w:rPr>
          <w:rFonts w:hint="eastAsia" w:ascii="宋体" w:hAnsi="宋体" w:eastAsia="宋体" w:cs="宋体"/>
          <w:b w:val="0"/>
          <w:bCs w:val="0"/>
          <w:i w:val="0"/>
          <w:iCs w:val="0"/>
          <w:color w:val="auto"/>
          <w:sz w:val="21"/>
          <w:szCs w:val="21"/>
          <w:highlight w:val="none"/>
          <w:lang w:val="en-US" w:eastAsia="zh-CN"/>
        </w:rPr>
        <w:t>，你的</w:t>
      </w:r>
      <w:r>
        <w:rPr>
          <w:rFonts w:hint="default" w:ascii="宋体" w:hAnsi="宋体" w:eastAsia="宋体" w:cs="宋体"/>
          <w:b w:val="0"/>
          <w:bCs w:val="0"/>
          <w:i w:val="0"/>
          <w:iCs w:val="0"/>
          <w:color w:val="auto"/>
          <w:sz w:val="21"/>
          <w:szCs w:val="21"/>
          <w:highlight w:val="none"/>
          <w:lang w:val="en-US" w:eastAsia="zh-CN"/>
        </w:rPr>
        <w:t>这个理解很有意思。能结合文本具体说说吗？</w:t>
      </w:r>
    </w:p>
    <w:p w14:paraId="65D2723B">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生6:就是超越功利，二者境界不同，这是本质区别。</w:t>
      </w:r>
    </w:p>
    <w:p w14:paraId="7853D4E0">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师：你用了“境界”一词。我想问问“超越功利”的境界是怎样的一种境界？</w:t>
      </w:r>
    </w:p>
    <w:p w14:paraId="43D5306E">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生6：……（犹豫）</w:t>
      </w:r>
    </w:p>
    <w:p w14:paraId="725E3841">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师：看来要解决这个问题，我们还需一些助力。这个故事后面，庄子惠子又就“大树之用”展开了对话（出示PPT），结合补充资料，同学们能否再来谈谈？</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86EAC48">
        <w:tc>
          <w:tcPr>
            <w:tcW w:w="9242" w:type="dxa"/>
          </w:tcPr>
          <w:p w14:paraId="37482485">
            <w:pPr>
              <w:widowControl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rPr>
              <w:t>补充资料</w:t>
            </w:r>
            <w:r>
              <w:rPr>
                <w:rFonts w:hint="eastAsia" w:ascii="宋体" w:hAnsi="宋体" w:eastAsia="宋体" w:cs="宋体"/>
                <w:sz w:val="21"/>
                <w:szCs w:val="21"/>
                <w:lang w:eastAsia="zh-CN"/>
              </w:rPr>
              <w:t>】</w:t>
            </w:r>
          </w:p>
          <w:p w14:paraId="466F18E8">
            <w:pPr>
              <w:widowControl w:val="0"/>
              <w:spacing w:line="360" w:lineRule="auto"/>
              <w:ind w:firstLine="420" w:firstLineChars="200"/>
              <w:rPr>
                <w:rFonts w:hint="eastAsia" w:ascii="宋体" w:hAnsi="宋体" w:eastAsia="宋体" w:cs="宋体"/>
                <w:b w:val="0"/>
                <w:bCs w:val="0"/>
                <w:i w:val="0"/>
                <w:iCs w:val="0"/>
                <w:color w:val="auto"/>
                <w:sz w:val="21"/>
                <w:szCs w:val="21"/>
                <w:highlight w:val="none"/>
                <w:vertAlign w:val="baseline"/>
                <w:lang w:val="en-US" w:eastAsia="zh-CN"/>
              </w:rPr>
            </w:pPr>
            <w:r>
              <w:rPr>
                <w:rFonts w:hint="eastAsia" w:ascii="宋体" w:hAnsi="宋体" w:eastAsia="宋体" w:cs="宋体"/>
                <w:sz w:val="21"/>
                <w:szCs w:val="21"/>
              </w:rPr>
              <w:t>今子有大树，患其无用，何不树之于无何有之乡,广莫之野……逍遥乎寝卧其下。不夭斤斧，物无害者，无所可用，安所困苦哉!</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——《逍遥游》</w:t>
            </w:r>
          </w:p>
        </w:tc>
      </w:tr>
    </w:tbl>
    <w:p w14:paraId="4F53DE55">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生6：我觉得大树和大瓠很相似，都处在广阔无拘的地方，不被人所摧残。而人也是一样，逍遥地在树下休息，自由地在江湖漂浮。</w:t>
      </w:r>
    </w:p>
    <w:p w14:paraId="75E1D308">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师：也就是说，“超越功利”后，不仅物保全了本性，得以逍遥，人也……</w:t>
      </w:r>
    </w:p>
    <w:p w14:paraId="46D015C3">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生齐：人也逍遥！</w:t>
      </w:r>
    </w:p>
    <w:p w14:paraId="2EE2686E">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师：非常好！这就是庄子思想中所说的“天人相谐”。在处理物我关系时，不再是人驾驭、控制物，而是人和物各得其所。那庄子为什么不直接告诉惠子这个道理，非要讲两个故事绕弯子？</w:t>
      </w:r>
    </w:p>
    <w:p w14:paraId="2A4C9263">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生7：因为惠子一开始连“换一种用法”都想不到，直接跟他说“无用之用”他更听不懂。庄子是在一步步引导他，先打破他的固化思维，再带他走向更高的境界。</w:t>
      </w:r>
    </w:p>
    <w:p w14:paraId="0AD504E0">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师：就像同学们所说，庄子的境界的确很高，该如何做才能达到这样的境界呢？C类型小组的同学有没有要与大家分享的内容？</w:t>
      </w:r>
    </w:p>
    <w:p w14:paraId="2E5F0D30">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生8（C类型）：我们去A类型组，其实一开始看到他们的阶梯图时，我们就发现自己只想着庄子怎么回答惠子，但没去想过庄子把惠子引向哪里。 A类型组的阶梯图告诉我们，从宋人到客再到庄子，是一个境界不断提升的过程。</w:t>
      </w:r>
    </w:p>
    <w:p w14:paraId="2C53A9F5">
      <w:pPr>
        <w:spacing w:line="360" w:lineRule="auto"/>
        <w:ind w:firstLine="420" w:firstLineChars="200"/>
        <w:rPr>
          <w:rFonts w:hint="default"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师：那么，惠子为什么理解不了这一点？除了认知固化，还有更深层的原因吗？</w:t>
      </w:r>
    </w:p>
    <w:p w14:paraId="30A0241A">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生8：因为他的生活经验局限，而且祖祖辈辈都这么用葫芦。</w:t>
      </w:r>
    </w:p>
    <w:p w14:paraId="73F756FA">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师：那为什么这种固有经验失效了？</w:t>
      </w:r>
    </w:p>
    <w:p w14:paraId="059868E7">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生8：因为这个五石之瓠和普通葫芦不一样，太大了，不符合以往经验。</w:t>
      </w:r>
    </w:p>
    <w:p w14:paraId="1814944A">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师：说得太好了，请坐。但老师有个新疑问，惠子觉得大瓠无用放着就行，为什么非要把它击破？这还能看出惠子有什么样的思维方式？</w:t>
      </w:r>
    </w:p>
    <w:p w14:paraId="77419EAB">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生9：我觉得他思考问题以自我为中心，凡事只求为我所用，所以得不到就毁掉。</w:t>
      </w:r>
    </w:p>
    <w:p w14:paraId="4DEDDE8F">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师：也就是说惠子不仅认知固化，他思考问题也是以“我”为主，执念于“为我所用”，对吗？（生齐：对。）那么我们能否解决第三层用意了？</w:t>
      </w:r>
    </w:p>
    <w:p w14:paraId="2558727C">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生10：我觉得惠子之所以看待事物有局限，是因为“有我有执”，就像我们之前学的《老子四章》里说的“为者败之，执者失之”，所以庄子是想告诉他，放下自我、无为无执，才能实现精神真正的逍遥。</w:t>
      </w:r>
    </w:p>
    <w:p w14:paraId="187BA2B3">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师：精彩！你联系了同源的作品来深入解决这个问题。同学们给他一点掌声！（生掌声）现在，我们能否总结庄子讲“不龟手之药”的完整用意？</w:t>
      </w:r>
    </w:p>
    <w:p w14:paraId="2716680D">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生11：第一，庄子是想打破惠子的固化思维，转换视角看待事物；第二，他想引导惠子超越功利；第三，他想告诉惠子只有“无我无执”才能超越功利，实现逍遥。</w:t>
      </w:r>
    </w:p>
    <w:p w14:paraId="3822C1A6">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完美！这就是庄子说理的三层逻辑：破→立→越。宋人与惠子固化经验认为“只能这样用”，客转换视角认为“还能那样用”，而庄子顺应本性告诉我们“不必为用而用”。理解了庄子是如何一步步说服惠子的，我们不禁要追问：在战国那个‘以攻伐为贤’的年代，这种‘无用之用’的思想价值究竟在哪里？结合庄子的时代背景，我们再来深入理解。（出示PPT）</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8"/>
      </w:tblGrid>
      <w:tr w14:paraId="66E9DBBB">
        <w:trPr>
          <w:trHeight w:val="1875" w:hRule="atLeast"/>
          <w:jc w:val="center"/>
        </w:trPr>
        <w:tc>
          <w:tcPr>
            <w:tcW w:w="8678" w:type="dxa"/>
            <w:vAlign w:val="top"/>
          </w:tcPr>
          <w:p w14:paraId="6CD16A82">
            <w:pPr>
              <w:pStyle w:val="6"/>
              <w:widowControl w:val="0"/>
              <w:numPr>
                <w:ilvl w:val="0"/>
                <w:numId w:val="0"/>
              </w:numPr>
              <w:spacing w:before="67"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【补充资料】</w:t>
            </w:r>
          </w:p>
          <w:p w14:paraId="0B4E652D">
            <w:pPr>
              <w:pStyle w:val="6"/>
              <w:widowControl w:val="0"/>
              <w:numPr>
                <w:ilvl w:val="0"/>
                <w:numId w:val="0"/>
              </w:numPr>
              <w:spacing w:before="67" w:line="240" w:lineRule="auto"/>
              <w:ind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当是之时，秦用商君，富国强兵；楚、魏用吴起，战胜弱敌；齐威王、宣王用孙子、田忌之徒，而诸侯东面朝齐。天下方务于合从连衡，以攻伐为贤。  </w:t>
            </w:r>
          </w:p>
          <w:p w14:paraId="7D82DB8A">
            <w:pPr>
              <w:pStyle w:val="6"/>
              <w:widowControl w:val="0"/>
              <w:numPr>
                <w:ilvl w:val="0"/>
                <w:numId w:val="0"/>
              </w:numPr>
              <w:spacing w:before="67" w:line="240" w:lineRule="auto"/>
              <w:ind w:firstLine="420" w:firstLineChars="200"/>
              <w:jc w:val="righ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——《史记·孟子荀卿列传》</w:t>
            </w:r>
          </w:p>
          <w:p w14:paraId="6FE25D9B">
            <w:pPr>
              <w:pStyle w:val="6"/>
              <w:widowControl w:val="0"/>
              <w:numPr>
                <w:ilvl w:val="0"/>
                <w:numId w:val="0"/>
              </w:numPr>
              <w:spacing w:before="67" w:line="240" w:lineRule="auto"/>
              <w:ind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卫君，其年壮，其行独，轻用其国而不见其过。轻用民死，死者以国量，乎泽若蕉，民其无如矣。                           </w:t>
            </w:r>
            <w:r>
              <w:rPr>
                <w:rFonts w:hint="eastAsia" w:cs="宋体"/>
                <w:sz w:val="21"/>
                <w:szCs w:val="21"/>
                <w:lang w:val="en-US" w:eastAsia="zh-CN"/>
              </w:rPr>
              <w:t xml:space="preserve">                       </w:t>
            </w:r>
            <w:r>
              <w:rPr>
                <w:rFonts w:hint="eastAsia" w:ascii="宋体" w:hAnsi="宋体" w:eastAsia="宋体" w:cs="宋体"/>
                <w:sz w:val="21"/>
                <w:szCs w:val="21"/>
                <w:lang w:val="en-US" w:eastAsia="zh-CN"/>
              </w:rPr>
              <w:t xml:space="preserve"> ——《庄子·人间世》</w:t>
            </w:r>
          </w:p>
        </w:tc>
      </w:tr>
    </w:tbl>
    <w:p w14:paraId="08D45E83">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生12：战国时期各国都“以攻伐为贤”，而且不顾百姓生死。我觉得庄子的“无用之用”除了是想保全性命，更是要守护自己的精神世界。</w:t>
      </w:r>
    </w:p>
    <w:p w14:paraId="27B2D0B5">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师：你说得不错。乱世中，个体在强权与功利规则下常身不由己，庄子的“无用”是超脱世俗功利的表象，而“大用”是对精神自由与生命本质的守护。</w:t>
      </w:r>
    </w:p>
    <w:p w14:paraId="503A6E4D">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这节课我们关键词品析、寓言对比、同源联读等多种策略，一步步深入理解了庄子“无用之用”的思想及价值。今天的作业是：1、各小组进一步修改完善思维导图，呈现本文的故事寓意和说理形式。2、“无用”如何转化为“大用”？利用AI工具搜集相关案例。下课！</w:t>
      </w:r>
    </w:p>
    <w:p w14:paraId="42AA71C0">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生齐：老师再见。</w:t>
      </w:r>
    </w:p>
    <w:p w14:paraId="3EBDC603">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4.教学效果评析</w:t>
      </w:r>
    </w:p>
    <w:p w14:paraId="7870A697">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本环节中，AI的核心价值不在于替代学生完成基础梳理，而在于对群体思维过程的可视化与再组织。传统的课堂讨论往往只能呈现个别学生的观点，教师难以把握全班多元的思维脉络。通过AI对学生思维导图进行“类型聚类”，教师得以跳出“对错评价”的局限，将课堂焦点转向“思维方式的多样性”本身。</w:t>
      </w:r>
    </w:p>
    <w:p w14:paraId="600C6405">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这种聚类分析的独特价值体现在三个方面：其一，它让不同思考路径的学生群体“看见”彼此，打破了小组讨论的认知孤岛；其二，它为课堂生成提供了新的对话起点——学生不再仅仅围绕文本，而是围绕“同伴的思考方式”展开元认知层面的对话；其三，它为后续的深度探究提供了实证依据，使教师能够精准地引导不同类型思维的小组相互启发，在碰撞中自然建构起对“破—立—越”三层逻辑的理解。这一过程，AI提供的不是答案，而是一面映射群体思维的镜子，让抽象的思维进阶变得可观察、可对话、可生长。</w:t>
      </w:r>
    </w:p>
    <w:p w14:paraId="731D8575">
      <w:pPr>
        <w:spacing w:line="360" w:lineRule="auto"/>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（附学生修改后的思维导图）</w:t>
      </w:r>
    </w:p>
    <w:p w14:paraId="7834A173">
      <w:pPr>
        <w:spacing w:line="360" w:lineRule="auto"/>
        <w:rPr>
          <w:rFonts w:hint="eastAsia" w:ascii="宋体" w:hAnsi="宋体" w:eastAsia="宋体" w:cs="宋体"/>
          <w:lang w:val="en-US" w:eastAsia="zh-CN"/>
        </w:rPr>
      </w:pPr>
      <w:r>
        <w:rPr>
          <w:rFonts w:hint="eastAsia" w:ascii="宋体" w:hAnsi="宋体" w:eastAsia="宋体" w:cs="宋体"/>
        </w:rPr>
        <w:drawing>
          <wp:inline distT="0" distB="0" distL="114300" distR="114300">
            <wp:extent cx="2444750" cy="1544955"/>
            <wp:effectExtent l="0" t="0" r="19050" b="4445"/>
            <wp:docPr id="12" name="图片 11" descr="/Users/panqi/Library/Containers/com.kingsoft.wpsoffice.mac/Data/tmp/photoeditapp/20251222215336/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Users/panqi/Library/Containers/com.kingsoft.wpsoffice.mac/Data/tmp/photoeditapp/20251222215336/temp.pngtemp"/>
                    <pic:cNvPicPr>
                      <a:picLocks noChangeAspect="1"/>
                    </pic:cNvPicPr>
                  </pic:nvPicPr>
                  <pic:blipFill>
                    <a:blip r:embed="rId9"/>
                    <a:srcRect l="11167" t="6444" r="9444" b="24806"/>
                    <a:stretch>
                      <a:fillRect/>
                    </a:stretch>
                  </pic:blipFill>
                  <pic:spPr>
                    <a:xfrm>
                      <a:off x="0" y="0"/>
                      <a:ext cx="2444750" cy="1544955"/>
                    </a:xfrm>
                    <a:prstGeom prst="rect">
                      <a:avLst/>
                    </a:prstGeom>
                  </pic:spPr>
                </pic:pic>
              </a:graphicData>
            </a:graphic>
          </wp:inline>
        </w:drawing>
      </w:r>
      <w:r>
        <w:rPr>
          <w:rFonts w:hint="eastAsia" w:ascii="宋体" w:hAnsi="宋体" w:eastAsia="宋体" w:cs="宋体"/>
          <w:lang w:val="en-US" w:eastAsia="zh-CN"/>
        </w:rPr>
        <w:t xml:space="preserve">      </w:t>
      </w:r>
      <w:r>
        <w:rPr>
          <w:rFonts w:hint="eastAsia" w:ascii="宋体" w:hAnsi="宋体" w:eastAsia="宋体" w:cs="宋体"/>
        </w:rPr>
        <w:drawing>
          <wp:inline distT="0" distB="0" distL="114300" distR="114300">
            <wp:extent cx="2367915" cy="2054860"/>
            <wp:effectExtent l="0" t="0" r="19685" b="2540"/>
            <wp:docPr id="13" name="图片 12" descr="/Users/panqi/Library/Containers/com.kingsoft.wpsoffice.mac/Data/tmp/photoeditapp/20251222215501/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Users/panqi/Library/Containers/com.kingsoft.wpsoffice.mac/Data/tmp/photoeditapp/20251222215501/temp.pngtemp"/>
                    <pic:cNvPicPr>
                      <a:picLocks noChangeAspect="1"/>
                    </pic:cNvPicPr>
                  </pic:nvPicPr>
                  <pic:blipFill>
                    <a:blip r:embed="rId10"/>
                    <a:srcRect t="15127" b="10589"/>
                    <a:stretch>
                      <a:fillRect/>
                    </a:stretch>
                  </pic:blipFill>
                  <pic:spPr>
                    <a:xfrm>
                      <a:off x="0" y="0"/>
                      <a:ext cx="2367915" cy="2054860"/>
                    </a:xfrm>
                    <a:prstGeom prst="rect">
                      <a:avLst/>
                    </a:prstGeom>
                  </pic:spPr>
                </pic:pic>
              </a:graphicData>
            </a:graphic>
          </wp:inline>
        </w:drawing>
      </w:r>
    </w:p>
    <w:p w14:paraId="2B26412E">
      <w:pPr>
        <w:spacing w:line="360" w:lineRule="auto"/>
        <w:rPr>
          <w:rFonts w:hint="default" w:ascii="宋体" w:hAnsi="宋体" w:eastAsia="宋体" w:cs="宋体"/>
          <w:lang w:val="en-US" w:eastAsia="zh-CN"/>
        </w:rPr>
      </w:pPr>
      <w:r>
        <w:rPr>
          <w:rFonts w:hint="eastAsia" w:ascii="宋体" w:hAnsi="宋体" w:eastAsia="宋体" w:cs="宋体"/>
          <w:b w:val="0"/>
          <w:bCs w:val="0"/>
          <w:i w:val="0"/>
          <w:iCs w:val="0"/>
          <w:color w:val="auto"/>
          <w:sz w:val="21"/>
          <w:szCs w:val="21"/>
          <w:highlight w:val="none"/>
          <w:lang w:val="en-US" w:eastAsia="zh-CN"/>
        </w:rPr>
        <w:t>图6.第一组（A类型）学生修改后思维导图    图7.第二组（B类型）学生修改后思维导图</w:t>
      </w:r>
    </w:p>
    <w:p w14:paraId="26DAB71C">
      <w:pPr>
        <w:spacing w:line="360" w:lineRule="auto"/>
        <w:rPr>
          <w:rFonts w:hint="eastAsia" w:ascii="宋体" w:hAnsi="宋体" w:eastAsia="宋体" w:cs="宋体"/>
          <w:lang w:val="en-US" w:eastAsia="zh-CN"/>
        </w:rPr>
      </w:pPr>
      <w:r>
        <w:rPr>
          <w:rFonts w:hint="eastAsia" w:ascii="宋体" w:hAnsi="宋体" w:eastAsia="宋体" w:cs="宋体"/>
          <w:lang w:val="en-US" w:eastAsia="zh-CN"/>
        </w:rPr>
        <w:t>（三）材料思辨+智能评价，构建高效读写闭环</w:t>
      </w:r>
    </w:p>
    <w:p w14:paraId="6F46BA5A">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1.学习任务</w:t>
      </w:r>
    </w:p>
    <w:p w14:paraId="21302D91">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运用“庄子式”说理方式，完成一篇300字左右的短文，阐释“有用”与“无用”的辩证关系，实现从理解到表达的迁移。</w:t>
      </w:r>
    </w:p>
    <w:p w14:paraId="4A9B4512">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2.AI 工具运用</w:t>
      </w:r>
    </w:p>
    <w:p w14:paraId="5D703769">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教师提前准备若干组AI生成的“无用转化为大用”的案例材料（含正反案例或不同角度的阐释），学生在小组中阅读、比较、评价这些材料，辨析其是否符合庄子思想，进而提炼可用于写作的意象或逻辑。写作后，进行同伴互评，再结合AI对典型习作的量化评价与建议进行修改完善。</w:t>
      </w:r>
    </w:p>
    <w:p w14:paraId="14C9217A">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3.教学实施过程</w:t>
      </w:r>
    </w:p>
    <w:p w14:paraId="52755174">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上节课我们布置大家课后用AI搜集“无用转化为大用”的案例。老师也请AI生成了几组案例，今天我们先不急着写，而是先来“评案例”。请大家以小组为单位，阅读这几段AI生成的材料，讨论：这些案例是否符合庄子的“无用之用”思想？哪些是“伪庄子”？（教师出示PPT，展示AI生成的3组案例，如下图）</w:t>
      </w:r>
    </w:p>
    <w:p w14:paraId="57CF225C">
      <w:pPr>
        <w:spacing w:line="360" w:lineRule="auto"/>
        <w:jc w:val="center"/>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drawing>
          <wp:inline distT="0" distB="0" distL="114300" distR="114300">
            <wp:extent cx="5262245" cy="1756410"/>
            <wp:effectExtent l="0" t="0" r="20955" b="21590"/>
            <wp:docPr id="9" name="图片 9" descr="8bdc9012-6ec7-4fa0-ad71-560de1fbb5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8bdc9012-6ec7-4fa0-ad71-560de1fbb5d9"/>
                    <pic:cNvPicPr>
                      <a:picLocks noChangeAspect="1"/>
                    </pic:cNvPicPr>
                  </pic:nvPicPr>
                  <pic:blipFill>
                    <a:blip r:embed="rId11"/>
                    <a:stretch>
                      <a:fillRect/>
                    </a:stretch>
                  </pic:blipFill>
                  <pic:spPr>
                    <a:xfrm>
                      <a:off x="0" y="0"/>
                      <a:ext cx="5262245" cy="1756410"/>
                    </a:xfrm>
                    <a:prstGeom prst="rect">
                      <a:avLst/>
                    </a:prstGeom>
                  </pic:spPr>
                </pic:pic>
              </a:graphicData>
            </a:graphic>
          </wp:inline>
        </w:drawing>
      </w:r>
    </w:p>
    <w:p w14:paraId="4798163B">
      <w:pPr>
        <w:spacing w:line="360" w:lineRule="auto"/>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图8.AI提供的三组案例</w:t>
      </w:r>
    </w:p>
    <w:p w14:paraId="660889B7">
      <w:pPr>
        <w:spacing w:line="360" w:lineRule="auto"/>
        <w:ind w:firstLine="420" w:firstLineChars="200"/>
        <w:jc w:val="both"/>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师：请各小组阅读这3个案例，讨论两个问题：1.这些案例中，哪些符合庄子“无用之用”的本意？哪些是“披着庄子外衣”的功利逻辑？2.每个案例的“转化逻辑”有什么不同？</w:t>
      </w:r>
    </w:p>
    <w:p w14:paraId="7B423E45">
      <w:pPr>
        <w:spacing w:line="360" w:lineRule="auto"/>
        <w:jc w:val="both"/>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（学生分组讨论）</w:t>
      </w:r>
    </w:p>
    <w:p w14:paraId="16A658AA">
      <w:pPr>
        <w:spacing w:line="360" w:lineRule="auto"/>
        <w:jc w:val="both"/>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 xml:space="preserve">    生13：我们小组认为，案例A是最符合庄子的。因为这棵树因为“无用”保全了自己，而且最后它“为行人歇脚”不是被人刻意安排的，是自然而然发生的——人没有把它当工具，它也没有刻意要“有用”。这和庄子说的大瓠“浮乎江湖”很像。</w:t>
      </w:r>
    </w:p>
    <w:p w14:paraId="4FE28C3C">
      <w:pPr>
        <w:spacing w:line="360" w:lineRule="auto"/>
        <w:ind w:firstLine="420" w:firstLineChars="200"/>
        <w:jc w:val="both"/>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师：很好，抓住了“自然而然”这个关键。其他组呢？</w:t>
      </w:r>
    </w:p>
    <w:p w14:paraId="263B415B">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生14：案例B我们认为不是庄子，是“伪庄子”。公司给员工自由时间，是为了激发创新赚更多钱，本质还是功利。这是“包装成无用的有用”，就像惠子那样，换个方式继续“用”。</w:t>
      </w:r>
    </w:p>
    <w:p w14:paraId="73DAA776">
      <w:pPr>
        <w:spacing w:line="360" w:lineRule="auto"/>
        <w:ind w:firstLine="420" w:firstLineChars="200"/>
        <w:rPr>
          <w:rFonts w:hint="default"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师：辨析得很到位。那案例C呢？科学家的好奇心算不算庄子式的？</w:t>
      </w:r>
    </w:p>
    <w:p w14:paraId="61ABE1E7">
      <w:pPr>
        <w:spacing w:line="360" w:lineRule="auto"/>
        <w:ind w:firstLine="420" w:firstLineChars="200"/>
        <w:rPr>
          <w:rFonts w:hint="default"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15：C比较复杂。科学家的好奇心本身是“无目的的”，是顺应了他爱探索的本性，这一点像庄子。但最后研究结果用于制造抗癌药，这个“用”是后来发现的，不是他一开始追求的。所以这个案例介于两者之间——出发点是庄子式的，结果被功利化了。</w:t>
      </w:r>
    </w:p>
    <w:p w14:paraId="75AA9D5B">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16：我们补充一点。关键看科学家在研究过程中是否一直想着“要有用”。如果他是纯粹因为好奇而研究，过程中没想过用途，那这个过程就是庄子式的。至于后来成果被应用，那是“用”的自然而然的，不是刻意追求的。所以案例C可以算“半庄子式”。</w:t>
      </w:r>
    </w:p>
    <w:p w14:paraId="76620762">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师：这个辨析非常深刻！也就是说，判断是不是“庄子式”，不能只看结果有没有用，而要看出发点和过程是不是“为用而用”。（生点头）</w:t>
      </w:r>
    </w:p>
    <w:p w14:paraId="1EDBE71A">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师：刚才大家通过讨论，对“什么样的案例才是真正的庄子式‘无用→大用’”有了很深的认识。现在请大家以小组为单位，总结一下：一个真正符合庄子思想的“无用→大用”案例，应该具备哪些核心特征？</w:t>
      </w:r>
    </w:p>
    <w:p w14:paraId="74627350">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生12：出发点不是为了“有用”，而是顺应本性，过程也是自然的、不刻意的，不是人为设计。</w:t>
      </w:r>
    </w:p>
    <w:p w14:paraId="1623B58C">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生16：事物保全了自己的本性，没有被工具化。</w:t>
      </w:r>
    </w:p>
    <w:p w14:paraId="6FE4CA2D">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生14：人和物各得其所，互不相害，和谐共处。</w:t>
      </w:r>
    </w:p>
    <w:p w14:paraId="47BA75F2">
      <w:pPr>
        <w:spacing w:line="360" w:lineRule="auto"/>
        <w:ind w:firstLine="420" w:firstLineChars="200"/>
        <w:rPr>
          <w:rFonts w:hint="default"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生10：结果可能是“有用”，但这个“用”是自然发生的，不是追求来的。</w:t>
      </w:r>
    </w:p>
    <w:p w14:paraId="49DC1447">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同学们归纳得非常好！这些特征其实就是我们写作时需要把握的核心要点。大家想想，如果要写一段文字，像庄子那样用意象或故事来表达对“有用”“无用”的看法，我们应该从哪些方面来构思？大家可以结合刚才总结的特征，尝试提炼出写作的几个关键要点。</w:t>
      </w:r>
    </w:p>
    <w:p w14:paraId="5B1456B3">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生6： 我觉得首先得选一个合适的意象或故事，这个意象本身要能体现“无用”和“大用”的转化，而且不能是刻意追求有用的。</w:t>
      </w:r>
    </w:p>
    <w:p w14:paraId="27361F8B">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师：好，这是“意象选择”的要点。还有吗？</w:t>
      </w:r>
    </w:p>
    <w:p w14:paraId="57AA92C7">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生9： 还要把这个转化的过程写清楚，但不能直接说理，要让人自己体会。就像庄子讲故事那样。</w:t>
      </w:r>
    </w:p>
    <w:p w14:paraId="588EE09A">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师：这是“表达方式”的要点——含蓄、留白。还有吗？</w:t>
      </w:r>
    </w:p>
    <w:p w14:paraId="0F4F5512">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生17： 我觉得可以结合一些现实，比如现代社会太追求有用，我们可以通过故事引发反思。</w:t>
      </w:r>
    </w:p>
    <w:p w14:paraId="3A190D0B">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师：很好，这是“现实关照”的要点。现在，我们把同学们说的整合起来，转化为写作要点，就形成了这样的写作脚手架——</w:t>
      </w:r>
    </w:p>
    <w:p w14:paraId="130254C3">
      <w:pPr>
        <w:spacing w:line="360" w:lineRule="auto"/>
        <w:ind w:firstLine="315" w:firstLineChars="15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（教师根据学生发言，现场生成PPT）</w:t>
      </w:r>
    </w:p>
    <w:p w14:paraId="784EDE4F">
      <w:pPr>
        <w:spacing w:line="360" w:lineRule="auto"/>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表1.三层写作脚手架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BA247AF">
        <w:trPr>
          <w:trHeight w:val="1539" w:hRule="atLeast"/>
        </w:trPr>
        <w:tc>
          <w:tcPr>
            <w:tcW w:w="9242" w:type="dxa"/>
          </w:tcPr>
          <w:p w14:paraId="7D583450">
            <w:pPr>
              <w:pStyle w:val="6"/>
              <w:widowControl w:val="0"/>
              <w:numPr>
                <w:ilvl w:val="0"/>
                <w:numId w:val="0"/>
              </w:numPr>
              <w:spacing w:before="54" w:line="232" w:lineRule="auto"/>
              <w:ind w:right="103" w:rightChars="0" w:firstLine="210" w:firstLineChars="100"/>
              <w:jc w:val="center"/>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三</w:t>
            </w:r>
            <w:r>
              <w:rPr>
                <w:rFonts w:hint="eastAsia" w:cs="宋体"/>
                <w:b w:val="0"/>
                <w:bCs w:val="0"/>
                <w:i w:val="0"/>
                <w:iCs w:val="0"/>
                <w:color w:val="auto"/>
                <w:sz w:val="21"/>
                <w:szCs w:val="21"/>
                <w:highlight w:val="none"/>
                <w:lang w:val="en-US" w:eastAsia="zh-CN"/>
              </w:rPr>
              <w:t>层</w:t>
            </w:r>
            <w:r>
              <w:rPr>
                <w:rFonts w:hint="eastAsia" w:ascii="宋体" w:hAnsi="宋体" w:eastAsia="宋体" w:cs="宋体"/>
                <w:b w:val="0"/>
                <w:bCs w:val="0"/>
                <w:i w:val="0"/>
                <w:iCs w:val="0"/>
                <w:color w:val="auto"/>
                <w:sz w:val="21"/>
                <w:szCs w:val="21"/>
                <w:highlight w:val="none"/>
                <w:lang w:val="en-US" w:eastAsia="zh-CN"/>
              </w:rPr>
              <w:t>写作脚手架</w:t>
            </w:r>
          </w:p>
          <w:p w14:paraId="2F372C17">
            <w:pPr>
              <w:pStyle w:val="6"/>
              <w:widowControl w:val="0"/>
              <w:numPr>
                <w:ilvl w:val="0"/>
                <w:numId w:val="0"/>
              </w:numPr>
              <w:spacing w:before="54" w:line="232" w:lineRule="auto"/>
              <w:ind w:right="103" w:rightChars="0" w:firstLine="210" w:firstLineChars="100"/>
              <w:jc w:val="both"/>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①核心：阐释“有用”与“无用”的辩证关系</w:t>
            </w:r>
            <w:r>
              <w:rPr>
                <w:rFonts w:hint="eastAsia" w:cs="宋体"/>
                <w:b w:val="0"/>
                <w:bCs w:val="0"/>
                <w:i w:val="0"/>
                <w:iCs w:val="0"/>
                <w:color w:val="auto"/>
                <w:sz w:val="21"/>
                <w:szCs w:val="21"/>
                <w:highlight w:val="none"/>
                <w:lang w:val="en-US" w:eastAsia="zh-CN"/>
              </w:rPr>
              <w:t>，体现“出发点自然、不刻意求用”</w:t>
            </w:r>
            <w:r>
              <w:rPr>
                <w:rFonts w:hint="eastAsia" w:ascii="宋体" w:hAnsi="宋体" w:eastAsia="宋体" w:cs="宋体"/>
                <w:b w:val="0"/>
                <w:bCs w:val="0"/>
                <w:i w:val="0"/>
                <w:iCs w:val="0"/>
                <w:color w:val="auto"/>
                <w:sz w:val="21"/>
                <w:szCs w:val="21"/>
                <w:highlight w:val="none"/>
                <w:lang w:val="en-US" w:eastAsia="zh-CN"/>
              </w:rPr>
              <w:t>；</w:t>
            </w:r>
          </w:p>
          <w:p w14:paraId="46F1224B">
            <w:pPr>
              <w:pStyle w:val="6"/>
              <w:widowControl w:val="0"/>
              <w:numPr>
                <w:ilvl w:val="0"/>
                <w:numId w:val="0"/>
              </w:numPr>
              <w:spacing w:before="54" w:line="232" w:lineRule="auto"/>
              <w:ind w:right="103" w:rightChars="0" w:firstLine="210" w:firstLineChars="100"/>
              <w:jc w:val="both"/>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②表达：用1个文化意象或历史典故类比，避免直接说“这就是无用之用”；</w:t>
            </w:r>
          </w:p>
          <w:p w14:paraId="53635AF3">
            <w:pPr>
              <w:pStyle w:val="6"/>
              <w:widowControl w:val="0"/>
              <w:numPr>
                <w:ilvl w:val="0"/>
                <w:numId w:val="0"/>
              </w:numPr>
              <w:spacing w:before="54" w:line="232" w:lineRule="auto"/>
              <w:ind w:right="103" w:rightChars="0" w:firstLine="210" w:firstLineChars="100"/>
              <w:jc w:val="both"/>
              <w:rPr>
                <w:rFonts w:hint="eastAsia" w:ascii="宋体" w:hAnsi="宋体" w:eastAsia="宋体" w:cs="宋体"/>
                <w:b w:val="0"/>
                <w:bCs w:val="0"/>
                <w:i w:val="0"/>
                <w:iCs w:val="0"/>
                <w:color w:val="auto"/>
                <w:sz w:val="21"/>
                <w:szCs w:val="21"/>
                <w:highlight w:val="none"/>
                <w:vertAlign w:val="baseline"/>
                <w:lang w:val="en-US" w:eastAsia="zh-CN"/>
              </w:rPr>
            </w:pPr>
            <w:r>
              <w:rPr>
                <w:rFonts w:hint="eastAsia" w:ascii="宋体" w:hAnsi="宋体" w:eastAsia="宋体" w:cs="宋体"/>
                <w:b w:val="0"/>
                <w:bCs w:val="0"/>
                <w:i w:val="0"/>
                <w:iCs w:val="0"/>
                <w:color w:val="auto"/>
                <w:sz w:val="21"/>
                <w:szCs w:val="21"/>
                <w:highlight w:val="none"/>
                <w:lang w:val="en-US" w:eastAsia="zh-CN"/>
              </w:rPr>
              <w:t>③深度：</w:t>
            </w:r>
            <w:r>
              <w:rPr>
                <w:rFonts w:hint="eastAsia" w:cs="宋体"/>
                <w:b w:val="0"/>
                <w:bCs w:val="0"/>
                <w:i w:val="0"/>
                <w:iCs w:val="0"/>
                <w:color w:val="auto"/>
                <w:sz w:val="21"/>
                <w:szCs w:val="21"/>
                <w:highlight w:val="none"/>
                <w:lang w:val="en-US" w:eastAsia="zh-CN"/>
              </w:rPr>
              <w:t>结合历史或当代现实，指向人与物“各得其所”的生命境界。</w:t>
            </w:r>
          </w:p>
        </w:tc>
      </w:tr>
    </w:tbl>
    <w:p w14:paraId="4D58C33B">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师：接下来，请大家根据这个脚手架，从课前用AI搜集的案例中选择一个你认可的意象，开始写作。</w:t>
      </w:r>
    </w:p>
    <w:p w14:paraId="10E54F0D">
      <w:pPr>
        <w:spacing w:line="360" w:lineRule="auto"/>
        <w:ind w:firstLine="420" w:firstLineChars="200"/>
        <w:jc w:val="both"/>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（学生开始写作，教师巡视，个别指导。约15分钟）</w:t>
      </w:r>
    </w:p>
    <w:p w14:paraId="041E6B75">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师：大部分同学已经完成了。接下来我发放“评价量表”，两人一组交叉点评。请标注出同伴习作的“1个亮点和1个不足”，并给出具体修改建议。（发放评价量表）</w:t>
      </w:r>
    </w:p>
    <w:p w14:paraId="39815308">
      <w:pPr>
        <w:spacing w:line="360" w:lineRule="auto"/>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表2.学生互评评价量表</w:t>
      </w:r>
    </w:p>
    <w:tbl>
      <w:tblPr>
        <w:tblStyle w:val="4"/>
        <w:tblW w:w="0" w:type="auto"/>
        <w:tblInd w:w="13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6"/>
        <w:gridCol w:w="1794"/>
        <w:gridCol w:w="1935"/>
      </w:tblGrid>
      <w:tr w14:paraId="3C9DDAEA">
        <w:tc>
          <w:tcPr>
            <w:tcW w:w="2076" w:type="dxa"/>
            <w:vAlign w:val="top"/>
          </w:tcPr>
          <w:p w14:paraId="353E143A">
            <w:pPr>
              <w:widowControl w:val="0"/>
              <w:spacing w:line="360" w:lineRule="auto"/>
              <w:jc w:val="center"/>
              <w:rPr>
                <w:rFonts w:hint="eastAsia" w:ascii="宋体" w:hAnsi="宋体" w:eastAsia="宋体" w:cs="宋体"/>
                <w:b w:val="0"/>
                <w:bCs w:val="0"/>
                <w:i w:val="0"/>
                <w:iCs w:val="0"/>
                <w:color w:val="auto"/>
                <w:sz w:val="21"/>
                <w:szCs w:val="21"/>
                <w:highlight w:val="none"/>
                <w:vertAlign w:val="baseline"/>
                <w:lang w:val="en-US" w:eastAsia="zh-CN"/>
              </w:rPr>
            </w:pPr>
            <w:r>
              <w:rPr>
                <w:rFonts w:hint="eastAsia" w:ascii="宋体" w:hAnsi="宋体" w:eastAsia="宋体" w:cs="宋体"/>
                <w:b w:val="0"/>
                <w:bCs w:val="0"/>
                <w:i w:val="0"/>
                <w:iCs w:val="0"/>
                <w:color w:val="auto"/>
                <w:sz w:val="21"/>
                <w:szCs w:val="21"/>
                <w:highlight w:val="none"/>
                <w:vertAlign w:val="baseline"/>
                <w:lang w:val="en-US" w:eastAsia="zh-CN"/>
              </w:rPr>
              <w:t>核心评价维度</w:t>
            </w:r>
          </w:p>
        </w:tc>
        <w:tc>
          <w:tcPr>
            <w:tcW w:w="1794" w:type="dxa"/>
            <w:vAlign w:val="top"/>
          </w:tcPr>
          <w:p w14:paraId="4D92A984">
            <w:pPr>
              <w:widowControl w:val="0"/>
              <w:spacing w:line="360" w:lineRule="auto"/>
              <w:jc w:val="center"/>
              <w:rPr>
                <w:rFonts w:hint="eastAsia" w:ascii="宋体" w:hAnsi="宋体" w:eastAsia="宋体" w:cs="宋体"/>
                <w:b w:val="0"/>
                <w:bCs w:val="0"/>
                <w:i w:val="0"/>
                <w:iCs w:val="0"/>
                <w:color w:val="auto"/>
                <w:sz w:val="21"/>
                <w:szCs w:val="21"/>
                <w:highlight w:val="none"/>
                <w:vertAlign w:val="baseline"/>
                <w:lang w:val="en-US" w:eastAsia="zh-CN"/>
              </w:rPr>
            </w:pPr>
            <w:r>
              <w:rPr>
                <w:rFonts w:hint="eastAsia" w:ascii="宋体" w:hAnsi="宋体" w:eastAsia="宋体" w:cs="宋体"/>
                <w:b w:val="0"/>
                <w:bCs w:val="0"/>
                <w:i w:val="0"/>
                <w:iCs w:val="0"/>
                <w:color w:val="auto"/>
                <w:sz w:val="21"/>
                <w:szCs w:val="21"/>
                <w:highlight w:val="none"/>
                <w:vertAlign w:val="baseline"/>
                <w:lang w:val="en-US" w:eastAsia="zh-CN"/>
              </w:rPr>
              <w:t>亮点</w:t>
            </w:r>
          </w:p>
        </w:tc>
        <w:tc>
          <w:tcPr>
            <w:tcW w:w="1935" w:type="dxa"/>
            <w:vAlign w:val="top"/>
          </w:tcPr>
          <w:p w14:paraId="52DAE3EA">
            <w:pPr>
              <w:widowControl w:val="0"/>
              <w:spacing w:line="360" w:lineRule="auto"/>
              <w:jc w:val="center"/>
              <w:rPr>
                <w:rFonts w:hint="eastAsia" w:ascii="宋体" w:hAnsi="宋体" w:eastAsia="宋体" w:cs="宋体"/>
                <w:b w:val="0"/>
                <w:bCs w:val="0"/>
                <w:i w:val="0"/>
                <w:iCs w:val="0"/>
                <w:color w:val="auto"/>
                <w:sz w:val="21"/>
                <w:szCs w:val="21"/>
                <w:highlight w:val="none"/>
                <w:vertAlign w:val="baseline"/>
                <w:lang w:val="en-US" w:eastAsia="zh-CN"/>
              </w:rPr>
            </w:pPr>
            <w:r>
              <w:rPr>
                <w:rFonts w:hint="eastAsia" w:ascii="宋体" w:hAnsi="宋体" w:eastAsia="宋体" w:cs="宋体"/>
                <w:b w:val="0"/>
                <w:bCs w:val="0"/>
                <w:i w:val="0"/>
                <w:iCs w:val="0"/>
                <w:color w:val="auto"/>
                <w:sz w:val="21"/>
                <w:szCs w:val="21"/>
                <w:highlight w:val="none"/>
                <w:vertAlign w:val="baseline"/>
                <w:lang w:val="en-US" w:eastAsia="zh-CN"/>
              </w:rPr>
              <w:t>不足及建议</w:t>
            </w:r>
          </w:p>
        </w:tc>
      </w:tr>
      <w:tr w14:paraId="01A63790">
        <w:tc>
          <w:tcPr>
            <w:tcW w:w="2076" w:type="dxa"/>
            <w:vAlign w:val="top"/>
          </w:tcPr>
          <w:p w14:paraId="45999670">
            <w:pPr>
              <w:widowControl w:val="0"/>
              <w:spacing w:line="360" w:lineRule="auto"/>
              <w:jc w:val="center"/>
              <w:rPr>
                <w:rFonts w:hint="eastAsia" w:ascii="宋体" w:hAnsi="宋体" w:eastAsia="宋体" w:cs="宋体"/>
                <w:b w:val="0"/>
                <w:bCs w:val="0"/>
                <w:i w:val="0"/>
                <w:iCs w:val="0"/>
                <w:color w:val="auto"/>
                <w:sz w:val="21"/>
                <w:szCs w:val="21"/>
                <w:highlight w:val="none"/>
                <w:vertAlign w:val="baseline"/>
                <w:lang w:val="en-US" w:eastAsia="zh-CN"/>
              </w:rPr>
            </w:pPr>
            <w:r>
              <w:rPr>
                <w:rFonts w:hint="eastAsia" w:ascii="宋体" w:hAnsi="宋体" w:eastAsia="宋体" w:cs="宋体"/>
                <w:b w:val="0"/>
                <w:bCs w:val="0"/>
                <w:i w:val="0"/>
                <w:iCs w:val="0"/>
                <w:color w:val="auto"/>
                <w:sz w:val="21"/>
                <w:szCs w:val="21"/>
                <w:highlight w:val="none"/>
                <w:vertAlign w:val="baseline"/>
                <w:lang w:val="en-US" w:eastAsia="zh-CN"/>
              </w:rPr>
              <w:t>意象/典故隐喻性</w:t>
            </w:r>
          </w:p>
        </w:tc>
        <w:tc>
          <w:tcPr>
            <w:tcW w:w="1794" w:type="dxa"/>
            <w:vAlign w:val="top"/>
          </w:tcPr>
          <w:p w14:paraId="6CD52DF9">
            <w:pPr>
              <w:widowControl w:val="0"/>
              <w:spacing w:line="360" w:lineRule="auto"/>
              <w:jc w:val="center"/>
              <w:rPr>
                <w:rFonts w:hint="eastAsia" w:ascii="宋体" w:hAnsi="宋体" w:eastAsia="宋体" w:cs="宋体"/>
                <w:b w:val="0"/>
                <w:bCs w:val="0"/>
                <w:i w:val="0"/>
                <w:iCs w:val="0"/>
                <w:color w:val="auto"/>
                <w:sz w:val="21"/>
                <w:szCs w:val="21"/>
                <w:highlight w:val="none"/>
                <w:vertAlign w:val="baseline"/>
                <w:lang w:val="en-US" w:eastAsia="zh-CN"/>
              </w:rPr>
            </w:pPr>
          </w:p>
        </w:tc>
        <w:tc>
          <w:tcPr>
            <w:tcW w:w="1935" w:type="dxa"/>
            <w:vAlign w:val="top"/>
          </w:tcPr>
          <w:p w14:paraId="19B9FEE3">
            <w:pPr>
              <w:widowControl w:val="0"/>
              <w:spacing w:line="360" w:lineRule="auto"/>
              <w:jc w:val="center"/>
              <w:rPr>
                <w:rFonts w:hint="eastAsia" w:ascii="宋体" w:hAnsi="宋体" w:eastAsia="宋体" w:cs="宋体"/>
                <w:b w:val="0"/>
                <w:bCs w:val="0"/>
                <w:i w:val="0"/>
                <w:iCs w:val="0"/>
                <w:color w:val="auto"/>
                <w:sz w:val="21"/>
                <w:szCs w:val="21"/>
                <w:highlight w:val="none"/>
                <w:vertAlign w:val="baseline"/>
                <w:lang w:val="en-US" w:eastAsia="zh-CN"/>
              </w:rPr>
            </w:pPr>
          </w:p>
        </w:tc>
      </w:tr>
      <w:tr w14:paraId="15AD0A90">
        <w:tc>
          <w:tcPr>
            <w:tcW w:w="2076" w:type="dxa"/>
            <w:vAlign w:val="top"/>
          </w:tcPr>
          <w:p w14:paraId="4ACED0B6">
            <w:pPr>
              <w:widowControl w:val="0"/>
              <w:spacing w:line="360" w:lineRule="auto"/>
              <w:jc w:val="center"/>
              <w:rPr>
                <w:rFonts w:hint="eastAsia" w:ascii="宋体" w:hAnsi="宋体" w:eastAsia="宋体" w:cs="宋体"/>
                <w:b w:val="0"/>
                <w:bCs w:val="0"/>
                <w:i w:val="0"/>
                <w:iCs w:val="0"/>
                <w:color w:val="auto"/>
                <w:sz w:val="21"/>
                <w:szCs w:val="21"/>
                <w:highlight w:val="none"/>
                <w:vertAlign w:val="baseline"/>
                <w:lang w:val="en-US" w:eastAsia="zh-CN"/>
              </w:rPr>
            </w:pPr>
            <w:r>
              <w:rPr>
                <w:rFonts w:hint="eastAsia" w:ascii="宋体" w:hAnsi="宋体" w:eastAsia="宋体" w:cs="宋体"/>
                <w:b w:val="0"/>
                <w:bCs w:val="0"/>
                <w:i w:val="0"/>
                <w:iCs w:val="0"/>
                <w:color w:val="auto"/>
                <w:sz w:val="21"/>
                <w:szCs w:val="21"/>
                <w:highlight w:val="none"/>
                <w:vertAlign w:val="baseline"/>
                <w:lang w:val="en-US" w:eastAsia="zh-CN"/>
              </w:rPr>
              <w:t>转化逻辑</w:t>
            </w:r>
          </w:p>
        </w:tc>
        <w:tc>
          <w:tcPr>
            <w:tcW w:w="1794" w:type="dxa"/>
            <w:vAlign w:val="top"/>
          </w:tcPr>
          <w:p w14:paraId="3E4B494A">
            <w:pPr>
              <w:widowControl w:val="0"/>
              <w:spacing w:line="360" w:lineRule="auto"/>
              <w:jc w:val="center"/>
              <w:rPr>
                <w:rFonts w:hint="eastAsia" w:ascii="宋体" w:hAnsi="宋体" w:eastAsia="宋体" w:cs="宋体"/>
                <w:b w:val="0"/>
                <w:bCs w:val="0"/>
                <w:i w:val="0"/>
                <w:iCs w:val="0"/>
                <w:color w:val="auto"/>
                <w:sz w:val="21"/>
                <w:szCs w:val="21"/>
                <w:highlight w:val="none"/>
                <w:vertAlign w:val="baseline"/>
                <w:lang w:val="en-US" w:eastAsia="zh-CN"/>
              </w:rPr>
            </w:pPr>
          </w:p>
        </w:tc>
        <w:tc>
          <w:tcPr>
            <w:tcW w:w="1935" w:type="dxa"/>
            <w:vAlign w:val="top"/>
          </w:tcPr>
          <w:p w14:paraId="1E580651">
            <w:pPr>
              <w:widowControl w:val="0"/>
              <w:spacing w:line="360" w:lineRule="auto"/>
              <w:jc w:val="center"/>
              <w:rPr>
                <w:rFonts w:hint="eastAsia" w:ascii="宋体" w:hAnsi="宋体" w:eastAsia="宋体" w:cs="宋体"/>
                <w:b w:val="0"/>
                <w:bCs w:val="0"/>
                <w:i w:val="0"/>
                <w:iCs w:val="0"/>
                <w:color w:val="auto"/>
                <w:sz w:val="21"/>
                <w:szCs w:val="21"/>
                <w:highlight w:val="none"/>
                <w:vertAlign w:val="baseline"/>
                <w:lang w:val="en-US" w:eastAsia="zh-CN"/>
              </w:rPr>
            </w:pPr>
          </w:p>
        </w:tc>
      </w:tr>
      <w:tr w14:paraId="54C2A4F1">
        <w:tc>
          <w:tcPr>
            <w:tcW w:w="2076" w:type="dxa"/>
            <w:vAlign w:val="top"/>
          </w:tcPr>
          <w:p w14:paraId="09109AEA">
            <w:pPr>
              <w:widowControl w:val="0"/>
              <w:spacing w:line="360" w:lineRule="auto"/>
              <w:jc w:val="center"/>
              <w:rPr>
                <w:rFonts w:hint="eastAsia" w:ascii="宋体" w:hAnsi="宋体" w:eastAsia="宋体" w:cs="宋体"/>
                <w:b w:val="0"/>
                <w:bCs w:val="0"/>
                <w:i w:val="0"/>
                <w:iCs w:val="0"/>
                <w:color w:val="auto"/>
                <w:sz w:val="21"/>
                <w:szCs w:val="21"/>
                <w:highlight w:val="none"/>
                <w:vertAlign w:val="baseline"/>
                <w:lang w:val="en-US" w:eastAsia="zh-CN"/>
              </w:rPr>
            </w:pPr>
            <w:r>
              <w:rPr>
                <w:rFonts w:hint="eastAsia" w:ascii="宋体" w:hAnsi="宋体" w:eastAsia="宋体" w:cs="宋体"/>
                <w:b w:val="0"/>
                <w:bCs w:val="0"/>
                <w:i w:val="0"/>
                <w:iCs w:val="0"/>
                <w:color w:val="auto"/>
                <w:sz w:val="21"/>
                <w:szCs w:val="21"/>
                <w:highlight w:val="none"/>
                <w:vertAlign w:val="baseline"/>
                <w:lang w:val="en-US" w:eastAsia="zh-CN"/>
              </w:rPr>
              <w:t>庄子式表达</w:t>
            </w:r>
          </w:p>
        </w:tc>
        <w:tc>
          <w:tcPr>
            <w:tcW w:w="1794" w:type="dxa"/>
            <w:vAlign w:val="top"/>
          </w:tcPr>
          <w:p w14:paraId="371CBC35">
            <w:pPr>
              <w:widowControl w:val="0"/>
              <w:spacing w:line="360" w:lineRule="auto"/>
              <w:jc w:val="center"/>
              <w:rPr>
                <w:rFonts w:hint="eastAsia" w:ascii="宋体" w:hAnsi="宋体" w:eastAsia="宋体" w:cs="宋体"/>
                <w:b w:val="0"/>
                <w:bCs w:val="0"/>
                <w:i w:val="0"/>
                <w:iCs w:val="0"/>
                <w:color w:val="auto"/>
                <w:sz w:val="21"/>
                <w:szCs w:val="21"/>
                <w:highlight w:val="none"/>
                <w:vertAlign w:val="baseline"/>
                <w:lang w:val="en-US" w:eastAsia="zh-CN"/>
              </w:rPr>
            </w:pPr>
          </w:p>
        </w:tc>
        <w:tc>
          <w:tcPr>
            <w:tcW w:w="1935" w:type="dxa"/>
            <w:vAlign w:val="top"/>
          </w:tcPr>
          <w:p w14:paraId="03392A1A">
            <w:pPr>
              <w:widowControl w:val="0"/>
              <w:spacing w:line="360" w:lineRule="auto"/>
              <w:jc w:val="center"/>
              <w:rPr>
                <w:rFonts w:hint="eastAsia" w:ascii="宋体" w:hAnsi="宋体" w:eastAsia="宋体" w:cs="宋体"/>
                <w:b w:val="0"/>
                <w:bCs w:val="0"/>
                <w:i w:val="0"/>
                <w:iCs w:val="0"/>
                <w:color w:val="auto"/>
                <w:sz w:val="21"/>
                <w:szCs w:val="21"/>
                <w:highlight w:val="none"/>
                <w:vertAlign w:val="baseline"/>
                <w:lang w:val="en-US" w:eastAsia="zh-CN"/>
              </w:rPr>
            </w:pPr>
          </w:p>
        </w:tc>
      </w:tr>
    </w:tbl>
    <w:p w14:paraId="4E2CC341">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（学生互评，教师巡视，引导学生结合写作支架和量表进行点评，避免空泛评价）</w:t>
      </w:r>
    </w:p>
    <w:p w14:paraId="5050DE42">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师：现在邀请两位同学来分享一下。其他同学结合互评经验，看看能否有新的发现。</w:t>
      </w:r>
    </w:p>
    <w:p w14:paraId="3ECD6B75">
      <w:pPr>
        <w:spacing w:line="360" w:lineRule="auto"/>
        <w:ind w:firstLine="420" w:firstLineChars="200"/>
        <w:jc w:val="left"/>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生15：（投影）</w:t>
      </w:r>
    </w:p>
    <w:p w14:paraId="1D5A0E56">
      <w:pPr>
        <w:spacing w:line="360" w:lineRule="auto"/>
        <w:jc w:val="center"/>
        <w:rPr>
          <w:rFonts w:hint="eastAsia" w:ascii="宋体" w:hAnsi="宋体" w:eastAsia="宋体" w:cs="宋体"/>
          <w:b w:val="0"/>
          <w:bCs w:val="0"/>
          <w:i w:val="0"/>
          <w:iCs w:val="0"/>
          <w:color w:val="auto"/>
          <w:sz w:val="21"/>
          <w:szCs w:val="21"/>
          <w:highlight w:val="none"/>
          <w:lang w:val="en-US"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283210</wp:posOffset>
                </wp:positionH>
                <wp:positionV relativeFrom="paragraph">
                  <wp:posOffset>33020</wp:posOffset>
                </wp:positionV>
                <wp:extent cx="4663440" cy="1297940"/>
                <wp:effectExtent l="6350" t="6350" r="29210" b="16510"/>
                <wp:wrapNone/>
                <wp:docPr id="19" name="矩形 19"/>
                <wp:cNvGraphicFramePr/>
                <a:graphic xmlns:a="http://schemas.openxmlformats.org/drawingml/2006/main">
                  <a:graphicData uri="http://schemas.microsoft.com/office/word/2010/wordprocessingShape">
                    <wps:wsp>
                      <wps:cNvSpPr/>
                      <wps:spPr>
                        <a:xfrm>
                          <a:off x="0" y="0"/>
                          <a:ext cx="4663440" cy="1297940"/>
                        </a:xfrm>
                        <a:prstGeom prst="rect">
                          <a:avLst/>
                        </a:prstGeom>
                        <a:ln>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3pt;margin-top:2.6pt;height:102.2pt;width:367.2pt;z-index:251659264;v-text-anchor:middle;mso-width-relative:page;mso-height-relative:page;" filled="f" stroked="t" coordsize="21600,21600" o:gfxdata="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OcDNv2AAAAAgBAAAPAAAAAAAAAAEAIAAAACIAAABkcnMvZG93bnJldi54bWxQSwEC&#10;FAAUAAAACACHTuJAhW7LfWYCAADOBAAADgAAAAAAAAABACAAAAAnAQAAZHJzL2Uyb0RvYy54bWxQ&#10;SwUGAAAAAAYABgBZAQAA/wUAAAAA&#10;">
                <v:fill on="f" focussize="0,0"/>
                <v:stroke weight="1pt" color="#000000 [3213]" miterlimit="8" joinstyle="miter"/>
                <v:imagedata o:title=""/>
                <o:lock v:ext="edit" aspectratio="f"/>
              </v:rect>
            </w:pict>
          </mc:Fallback>
        </mc:AlternateContent>
      </w:r>
      <w:r>
        <w:rPr>
          <w:rFonts w:hint="eastAsia" w:ascii="宋体" w:hAnsi="宋体" w:eastAsia="宋体" w:cs="宋体"/>
          <w:sz w:val="21"/>
          <w:szCs w:val="21"/>
        </w:rPr>
        <w:drawing>
          <wp:inline distT="0" distB="0" distL="114300" distR="114300">
            <wp:extent cx="4650105" cy="1309370"/>
            <wp:effectExtent l="0" t="0" r="23495" b="11430"/>
            <wp:docPr id="4" name="图片 2" descr="/Users/panqi/Library/Containers/com.kingsoft.wpsoffice.mac/Data/tmp/photoeditapp/20251220094157/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Users/panqi/Library/Containers/com.kingsoft.wpsoffice.mac/Data/tmp/photoeditapp/20251220094157/temp.pngtemp"/>
                    <pic:cNvPicPr>
                      <a:picLocks noChangeAspect="1"/>
                    </pic:cNvPicPr>
                  </pic:nvPicPr>
                  <pic:blipFill>
                    <a:blip r:embed="rId12"/>
                    <a:srcRect l="4536" t="24135" b="23253"/>
                    <a:stretch>
                      <a:fillRect/>
                    </a:stretch>
                  </pic:blipFill>
                  <pic:spPr>
                    <a:xfrm>
                      <a:off x="0" y="0"/>
                      <a:ext cx="4650105" cy="1309370"/>
                    </a:xfrm>
                    <a:prstGeom prst="rect">
                      <a:avLst/>
                    </a:prstGeom>
                  </pic:spPr>
                </pic:pic>
              </a:graphicData>
            </a:graphic>
          </wp:inline>
        </w:drawing>
      </w:r>
    </w:p>
    <w:p w14:paraId="6AAC38CB">
      <w:pPr>
        <w:spacing w:line="360" w:lineRule="auto"/>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图9.学生课堂习作一</w:t>
      </w:r>
    </w:p>
    <w:p w14:paraId="3F1D026C">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师：谁来第一个点评看看？</w:t>
      </w:r>
    </w:p>
    <w:p w14:paraId="27F5FF19">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生16：“陶渊明归隐”这个典故很贴切，他把辞官看似无用和指引后人的大用这个转化逻辑说清了。</w:t>
      </w:r>
    </w:p>
    <w:p w14:paraId="6065249E">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生17：我补充一下。语言大多是议论，感觉少了点庄子那种“寓理于象”的味道，如果描写陶渊明田园生活的具体场景是不是会更好。</w:t>
      </w:r>
    </w:p>
    <w:p w14:paraId="383EF56B">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师：两位同学点评得非常专业！既肯定了亮点，又提出了可优化方向，还关联了评价量表。我们再请一位同学来分享。</w:t>
      </w:r>
    </w:p>
    <w:p w14:paraId="0DF6A5C3">
      <w:pPr>
        <w:spacing w:line="360" w:lineRule="auto"/>
        <w:ind w:firstLine="420" w:firstLineChars="200"/>
        <w:jc w:val="left"/>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生18：（投影）</w:t>
      </w:r>
    </w:p>
    <w:p w14:paraId="7FA48087">
      <w:pPr>
        <w:spacing w:line="360" w:lineRule="auto"/>
        <w:jc w:val="center"/>
        <w:rPr>
          <w:rFonts w:hint="eastAsia" w:ascii="宋体" w:hAnsi="宋体" w:eastAsia="宋体" w:cs="宋体"/>
          <w:b w:val="0"/>
          <w:bCs w:val="0"/>
          <w:i w:val="0"/>
          <w:iCs w:val="0"/>
          <w:color w:val="auto"/>
          <w:sz w:val="21"/>
          <w:szCs w:val="21"/>
          <w:highlight w:val="none"/>
          <w:lang w:val="en-US" w:eastAsia="zh-CN"/>
        </w:rPr>
      </w:pPr>
      <w:r>
        <w:rPr>
          <w:sz w:val="21"/>
        </w:rPr>
        <mc:AlternateContent>
          <mc:Choice Requires="wps">
            <w:drawing>
              <wp:anchor distT="0" distB="0" distL="114300" distR="114300" simplePos="0" relativeHeight="251660288" behindDoc="0" locked="0" layoutInCell="1" allowOverlap="1">
                <wp:simplePos x="0" y="0"/>
                <wp:positionH relativeFrom="column">
                  <wp:posOffset>340360</wp:posOffset>
                </wp:positionH>
                <wp:positionV relativeFrom="paragraph">
                  <wp:posOffset>29210</wp:posOffset>
                </wp:positionV>
                <wp:extent cx="4570730" cy="1515745"/>
                <wp:effectExtent l="6350" t="6350" r="20320" b="27305"/>
                <wp:wrapNone/>
                <wp:docPr id="20" name="矩形 20"/>
                <wp:cNvGraphicFramePr/>
                <a:graphic xmlns:a="http://schemas.openxmlformats.org/drawingml/2006/main">
                  <a:graphicData uri="http://schemas.microsoft.com/office/word/2010/wordprocessingShape">
                    <wps:wsp>
                      <wps:cNvSpPr/>
                      <wps:spPr>
                        <a:xfrm>
                          <a:off x="0" y="0"/>
                          <a:ext cx="4570730" cy="1515745"/>
                        </a:xfrm>
                        <a:prstGeom prst="rect">
                          <a:avLst/>
                        </a:prstGeom>
                        <a:ln>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8pt;margin-top:2.3pt;height:119.35pt;width:359.9pt;z-index:251660288;v-text-anchor:middle;mso-width-relative:page;mso-height-relative:page;" filled="f" stroked="t" coordsize="21600,21600" o:gfxdata="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hz9DOtgAAAAIAQAADwAAAAAAAAABACAAAAAiAAAAZHJzL2Rvd25yZXYueG1sUEsB&#10;AhQAFAAAAAgAh07iQHWMWqxnAgAAzgQAAA4AAAAAAAAAAQAgAAAAJwEAAGRycy9lMm9Eb2MueG1s&#10;UEsFBgAAAAAGAAYAWQEAAAAGAAAAAA==&#10;">
                <v:fill on="f" focussize="0,0"/>
                <v:stroke weight="1pt" color="#000000 [3213]" miterlimit="8" joinstyle="miter"/>
                <v:imagedata o:title=""/>
                <o:lock v:ext="edit" aspectratio="f"/>
              </v:rect>
            </w:pict>
          </mc:Fallback>
        </mc:AlternateContent>
      </w:r>
      <w:r>
        <w:rPr>
          <w:rFonts w:hint="eastAsia" w:ascii="宋体" w:hAnsi="宋体" w:eastAsia="宋体" w:cs="宋体"/>
          <w:sz w:val="21"/>
          <w:szCs w:val="21"/>
        </w:rPr>
        <w:drawing>
          <wp:inline distT="0" distB="0" distL="114300" distR="114300">
            <wp:extent cx="4551680" cy="1510665"/>
            <wp:effectExtent l="0" t="0" r="20320" b="13335"/>
            <wp:docPr id="6" name="图片 1" descr="/Users/panqi/Library/Containers/com.kingsoft.wpsoffice.mac/Data/tmp/photoeditapp/20251219165210/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Users/panqi/Library/Containers/com.kingsoft.wpsoffice.mac/Data/tmp/photoeditapp/20251219165210/temp.pngtemp"/>
                    <pic:cNvPicPr>
                      <a:picLocks noChangeAspect="1"/>
                    </pic:cNvPicPr>
                  </pic:nvPicPr>
                  <pic:blipFill>
                    <a:blip r:embed="rId13"/>
                    <a:srcRect t="14459" b="14939"/>
                    <a:stretch>
                      <a:fillRect/>
                    </a:stretch>
                  </pic:blipFill>
                  <pic:spPr>
                    <a:xfrm>
                      <a:off x="0" y="0"/>
                      <a:ext cx="4551680" cy="1510665"/>
                    </a:xfrm>
                    <a:prstGeom prst="rect">
                      <a:avLst/>
                    </a:prstGeom>
                  </pic:spPr>
                </pic:pic>
              </a:graphicData>
            </a:graphic>
          </wp:inline>
        </w:drawing>
      </w:r>
    </w:p>
    <w:p w14:paraId="56FE1058">
      <w:pPr>
        <w:spacing w:line="360" w:lineRule="auto"/>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图10.学生课堂习作二</w:t>
      </w:r>
    </w:p>
    <w:p w14:paraId="677EBAD0">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 谁来点评看看这位小才女？</w:t>
      </w:r>
    </w:p>
    <w:p w14:paraId="6A279A12">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19：我从“意象的隐喻性”这个角度来说吧。她选了“汝窑瓷片”这个意象，很有文化厚度。原本“碎了无用”对应功利性的“有用”，而现在作为审美与历史的见证，对应了“大用”。没有直接说理，但很有庄子那种含蓄的韵味。</w:t>
      </w:r>
    </w:p>
    <w:p w14:paraId="0CB90D04">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生20：我觉得在“结合现实”上也做得很好。最后一句是在说我们过于追求物质和实用，可能忽略了精神与审美的价值，关联得很深刻，又不生硬。</w:t>
      </w:r>
    </w:p>
    <w:p w14:paraId="590D2E59">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正如两位同学的点评，她出色地运用了“瓷片”这个意象，完成了从无用到大用的转化，结尾的升华也紧扣了现代性反思。其实老师也请deepseek来评价了两位同学的习作，我们一起来看看，它能不能给我们带来新的启发。（与DeepSeek互动）</w:t>
      </w:r>
    </w:p>
    <w:p w14:paraId="04566665">
      <w:pPr>
        <w:spacing w:line="360" w:lineRule="auto"/>
        <w:jc w:val="center"/>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drawing>
          <wp:inline distT="0" distB="0" distL="114300" distR="114300">
            <wp:extent cx="5056505" cy="2590165"/>
            <wp:effectExtent l="0" t="0" r="23495" b="635"/>
            <wp:docPr id="1" name="图片 1" descr="05f14311-9b88-4409-9309-9e19d60b96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5f14311-9b88-4409-9309-9e19d60b96dc"/>
                    <pic:cNvPicPr>
                      <a:picLocks noChangeAspect="1"/>
                    </pic:cNvPicPr>
                  </pic:nvPicPr>
                  <pic:blipFill>
                    <a:blip r:embed="rId14"/>
                    <a:stretch>
                      <a:fillRect/>
                    </a:stretch>
                  </pic:blipFill>
                  <pic:spPr>
                    <a:xfrm>
                      <a:off x="0" y="0"/>
                      <a:ext cx="5056505" cy="2590165"/>
                    </a:xfrm>
                    <a:prstGeom prst="rect">
                      <a:avLst/>
                    </a:prstGeom>
                  </pic:spPr>
                </pic:pic>
              </a:graphicData>
            </a:graphic>
          </wp:inline>
        </w:drawing>
      </w:r>
    </w:p>
    <w:p w14:paraId="66F94228">
      <w:pPr>
        <w:spacing w:line="360" w:lineRule="auto"/>
        <w:jc w:val="center"/>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图11.AI评价学生课堂习作一</w:t>
      </w:r>
    </w:p>
    <w:p w14:paraId="15C4FFD9">
      <w:pPr>
        <w:spacing w:line="360" w:lineRule="auto"/>
        <w:jc w:val="center"/>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drawing>
          <wp:inline distT="0" distB="0" distL="114300" distR="114300">
            <wp:extent cx="5129530" cy="2767965"/>
            <wp:effectExtent l="0" t="0" r="1270" b="635"/>
            <wp:docPr id="2" name="图片 2" descr="519a3f80-fd14-451b-8b7f-bee3c340f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19a3f80-fd14-451b-8b7f-bee3c340f033"/>
                    <pic:cNvPicPr>
                      <a:picLocks noChangeAspect="1"/>
                    </pic:cNvPicPr>
                  </pic:nvPicPr>
                  <pic:blipFill>
                    <a:blip r:embed="rId15"/>
                    <a:stretch>
                      <a:fillRect/>
                    </a:stretch>
                  </pic:blipFill>
                  <pic:spPr>
                    <a:xfrm>
                      <a:off x="0" y="0"/>
                      <a:ext cx="5129530" cy="2767965"/>
                    </a:xfrm>
                    <a:prstGeom prst="rect">
                      <a:avLst/>
                    </a:prstGeom>
                  </pic:spPr>
                </pic:pic>
              </a:graphicData>
            </a:graphic>
          </wp:inline>
        </w:drawing>
      </w:r>
    </w:p>
    <w:p w14:paraId="121A6BD5">
      <w:pPr>
        <w:spacing w:line="360" w:lineRule="auto"/>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图12.AI评价学生课堂习作二</w:t>
      </w:r>
    </w:p>
    <w:p w14:paraId="24BA841A">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看来AI不仅和我们不谋而合，而且能为我们提供更系统、更细致的分析和优化方向，和大家的点评形成互补。课堂上的点评时间有限，课后大家完成作业：第一，根据同伴的点评和AI的建议，修改自己的习作；第二，修改完成后还要再次填写“评价量表”，让每一次修改都有方向、有收获。</w:t>
      </w:r>
    </w:p>
    <w:p w14:paraId="4786FEB8">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师：这两节课，我们从AI帮我们归类问题开始，一路追问，咬文嚼字，最终尝试像庄子一样思考和表达。庄子带给我们的，不仅仅是一个“无用之用”的观点，更是一种突破功利、超越工具性思维的眼光，一种与物悠然、各得其所的智慧。希望大家在以后的生活中，偶尔也能跳脱出“有没有用”的单一追问，去发现、去珍惜那些看似“无用”，却可能滋养心灵、照亮远方的价值。下课！</w:t>
      </w:r>
    </w:p>
    <w:p w14:paraId="0AD86261">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生齐：老师再见！</w:t>
      </w:r>
    </w:p>
    <w:p w14:paraId="7DC7B41A">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4.教学效果评析</w:t>
      </w:r>
    </w:p>
    <w:p w14:paraId="12CF9028">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人工智能在写作过程中起到了三方面的作用，且全程以学生的思维辨析与表达实践为主体，从根本上避免了 AI 代替学生写作的问题：首先，课前为学生提供大量的案例材料，拓宽写作视野；其次，学生评价AI生成的素材，实现了关键转变：一是学生在辨析中深化了对核心思想的理解；二是写作脚手架成为学生思维的产物，更具内化效果；三是从单一写作转为思维训练，写作成为思想表达的自然延伸。最后，通过量化评价及针对性意见，实现评价反馈的准确性和及时性。同伴互评与 AI 评价相辅相成，在发挥学生主体性的同时也为学生提供专业的系统性修改意见，最终形成“案例储备—写作运用—多元评改—修改完善”的读写闭环。学生作文优良率由课前的30%上升到了65%（以AI量化评价的 4 个维度为核心，4个维度中至少3个达2分及以上且1个达 3 分为“良好”，4个维度均达3分为 “优秀”，二者合计为优良），初步解决了“能力迁移难转化”、“评价反馈难有效”的难题，基本实现由“读得懂”到“用得好”的跨越。</w:t>
      </w:r>
    </w:p>
    <w:p w14:paraId="29D128CB">
      <w:pPr>
        <w:spacing w:line="360" w:lineRule="auto"/>
        <w:ind w:firstLine="420" w:firstLineChars="200"/>
        <w:rPr>
          <w:rFonts w:hint="eastAsia" w:ascii="宋体" w:hAnsi="宋体" w:eastAsia="宋体" w:cs="宋体"/>
          <w:b w:val="0"/>
          <w:bCs w:val="0"/>
          <w:i w:val="0"/>
          <w:iCs w:val="0"/>
          <w:color w:val="auto"/>
          <w:sz w:val="21"/>
          <w:szCs w:val="21"/>
          <w:highlight w:val="none"/>
          <w:lang w:val="en-US" w:eastAsia="zh-CN"/>
        </w:rPr>
      </w:pPr>
    </w:p>
    <w:p w14:paraId="28985655">
      <w:pPr>
        <w:numPr>
          <w:ilvl w:val="0"/>
          <w:numId w:val="0"/>
        </w:num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五、经验与反思</w:t>
      </w:r>
    </w:p>
    <w:p w14:paraId="3C3DD86F">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本课 AI 在学情分析、启发思维及习作反馈上能给常规教学以有力支持，有助于解决文言语意探究类文章教难学难的问题，让课堂更有质效地发生。然而，在使用的过程中也让人产生了一些疑惑：</w:t>
      </w:r>
    </w:p>
    <w:p w14:paraId="7DB8A5D6">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其一，技术应该增强而不是取代教师的专业判断。人工智能聚类为教学起点提供了数据支持，但是具体到某一门课究竟从哪里开始教还是由教师根据自己对学科本质以及学生发展的理解来决定。技术可以提供证据，并不能提供答案。</w:t>
      </w:r>
    </w:p>
    <w:p w14:paraId="5A2C3783">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其二，在引入 AI 过程中要注意“工具化”。利用 AI 应该是在学生主动探索后，而不是取代学生的思维活动。如 “江湖” 的意象解读可以是学生自己尝试解读，然后教师选择性地出示 AI 中的资料；思维导图聚类部分，先让学生自主画出导图，再由 AI 进行思维类型梳理。维护学生主体地位不被打破，AI 只能是老师的 “教辅”、学生的 “学具”，给教学赋能，而不是告诉答案。</w:t>
      </w:r>
    </w:p>
    <w:p w14:paraId="6BE18386">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其三，AI的“聚类”与“评价”依赖于教师的输入与引导。本课中AI之所以能准确分类学生的思维导图，前提是教师设计了清晰的绘图任务；AI之所以能给出有针对性的作文评价，前提是教师提供了明确的评价维度。技术的能力边界，取决于教师的专业预设。AI不是“魔法箱”，而是需要教师精心“投喂”与“调教”的智能助手。</w:t>
      </w:r>
    </w:p>
    <w:p w14:paraId="7E8084D0">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本课例的价值，不是展示技术，而是展示技术是如何回应文言哲思类文本教学的真实困境的。AI 成为教师教学中的一件智能工具后，真正赋能的是教师的教学设计能力、课堂调控能力和评价反馈能力，最终服务于学生思维品质与表达素养的提升。而技术，始终是工具，并非目的——帮助老师更好地教，学生更好地学，在今天，让文言经典焕发出新的光彩。</w:t>
      </w:r>
    </w:p>
    <w:p w14:paraId="6A9B50D8">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与此同时，该案例也更加清晰地表明了：技术没有改变语文课的本质。一堂好课最打动人的地方——不管是对“无用之用”的深刻领悟，还是对庄子说理技巧的准确解读，都是建立在教师和学生一起认真阅读文本的基础上，在细细品味文字的过程中，在反复咀嚼思想内涵中完成的。而技术只是一个忠实的助手，在高质的信息加工、服务之后，让更多的课堂时间和头脑空间，回归更有温度的语言习得与人性交流。</w:t>
      </w:r>
    </w:p>
    <w:p w14:paraId="541F9D45">
      <w:pPr>
        <w:numPr>
          <w:ilvl w:val="0"/>
          <w:numId w:val="0"/>
        </w:numPr>
        <w:spacing w:line="360" w:lineRule="auto"/>
        <w:ind w:firstLine="420" w:firstLineChars="200"/>
        <w:rPr>
          <w:rFonts w:hint="default" w:ascii="宋体" w:hAnsi="宋体" w:eastAsia="宋体" w:cs="宋体"/>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703060505090304"/>
    <w:charset w:val="CC"/>
    <w:family w:val="roman"/>
    <w:pitch w:val="default"/>
    <w:sig w:usb0="E0000AFF" w:usb1="00007843" w:usb2="00000001" w:usb3="00000000" w:csb0="400001BF" w:csb1="DFF7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panose1 w:val="020F0702030404030204"/>
    <w:charset w:val="00"/>
    <w:family w:val="swiss"/>
    <w:pitch w:val="default"/>
    <w:sig w:usb0="E10002FF" w:usb1="4000ACFF" w:usb2="00000009" w:usb3="00000000" w:csb0="2000019F"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F616AE"/>
    <w:multiLevelType w:val="singleLevel"/>
    <w:tmpl w:val="DEF616AE"/>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9"/>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EED79B"/>
    <w:rsid w:val="1ECBCAE3"/>
    <w:rsid w:val="27B2F9C1"/>
    <w:rsid w:val="39FF425A"/>
    <w:rsid w:val="3FFFD696"/>
    <w:rsid w:val="59FB4B8A"/>
    <w:rsid w:val="5C8A9F91"/>
    <w:rsid w:val="5FFF3411"/>
    <w:rsid w:val="63BF1CB6"/>
    <w:rsid w:val="6BEED79B"/>
    <w:rsid w:val="6FF3FCC9"/>
    <w:rsid w:val="70710AFD"/>
    <w:rsid w:val="77B7A5A5"/>
    <w:rsid w:val="7AEFD0A5"/>
    <w:rsid w:val="7AFDCAF6"/>
    <w:rsid w:val="7B5FA0C6"/>
    <w:rsid w:val="7BE70C6B"/>
    <w:rsid w:val="7BFB97C9"/>
    <w:rsid w:val="7E1FA5AE"/>
    <w:rsid w:val="7E7EBE5F"/>
    <w:rsid w:val="7FAB2453"/>
    <w:rsid w:val="BBBEDA95"/>
    <w:rsid w:val="BBF92DF6"/>
    <w:rsid w:val="BFFF05AD"/>
    <w:rsid w:val="C3E74C6A"/>
    <w:rsid w:val="CBFE940F"/>
    <w:rsid w:val="EBBE26C3"/>
    <w:rsid w:val="F7FF7701"/>
    <w:rsid w:val="FBDE7C4A"/>
    <w:rsid w:val="FDBF02E4"/>
    <w:rsid w:val="FEFFED2E"/>
    <w:rsid w:val="FF6DB5D4"/>
    <w:rsid w:val="FF7FE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6</TotalTime>
  <ScaleCrop>false</ScaleCrop>
  <LinksUpToDate>false</LinksUpToDate>
  <CharactersWithSpaces>0</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2026-02-01T11:58:00Z</dcterms:created>
  <dc:creator>喜报三元同学</dc:creator>
  <cp:lastModifiedBy>喜报三元同学</cp:lastModifiedBy>
  <dcterms:modified xsi:type="dcterms:W3CDTF">2026-03-15T09:45:46Z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2DD123E9449CF9E198488369EBF5EEBE_43</vt:lpwstr>
  </property>
</Properties>
</file>