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82"/>
        <w:jc w:val="center"/>
        <w:rPr>
          <w:rFonts w:hint="eastAsia"/>
          <w:b/>
          <w:bCs w:val="0"/>
        </w:rPr>
      </w:pPr>
      <w:bookmarkStart w:id="0" w:name="_GoBack"/>
      <w:r>
        <w:rPr>
          <w:b/>
          <w:bCs w:val="0"/>
        </w:rPr>
        <w:t>初中数学项目化学习在健康膳食设计中的应用与反思</w:t>
      </w:r>
    </w:p>
    <w:p>
      <w:pPr>
        <w:ind w:firstLine="3600" w:firstLineChars="1500"/>
        <w:rPr>
          <w:rFonts w:hint="eastAsia"/>
        </w:rPr>
      </w:pPr>
      <w:r>
        <w:rPr>
          <w:rFonts w:hint="eastAsia"/>
        </w:rPr>
        <w:t>田林三中  宋立</w:t>
      </w:r>
    </w:p>
    <w:p>
      <w:pPr>
        <w:ind w:firstLine="482"/>
        <w:rPr>
          <w:rFonts w:hint="eastAsia"/>
          <w:b/>
          <w:bCs w:val="0"/>
        </w:rPr>
      </w:pPr>
      <w:r>
        <w:rPr>
          <w:b/>
          <w:bCs w:val="0"/>
        </w:rPr>
        <w:t>摘要：</w:t>
      </w:r>
      <w:r>
        <w:t>2022版义务教育数学课程标准在“综合与实践”领域强调以真实问题为载体，引导学生运用数学知识解决实际问题，发展跨学科应用能力。本研究以六年级“营养午餐食谱设计”为项目载体，围绕“如何运用数学工具实现膳食均衡”这一核心问题，引导学生将比例、百分比、统计图表等数学知识应用于食材营养量化、成本控制与食谱优化。研究重点关注学生在项目推进中数学思维的发展轨迹：从最初对食材营养数据的简单计算，到发现“生熟转换”导致的系统性偏差，再到建立数据校准机制、运用统计图表验证膳食结构合理性。通过梳理学生在这一过程中数学认知的冲突、调整与深化，提炼出“问题发现—数学建模—偏差干预—成果优化”的教学路径。研究表明，以数学思维为主线的项目化学习，不仅帮助学生实现数学知识的迁移应用，更有助于发展其数据分析观念、模型意识与批判性思维。本文为初中数学“综合与实践”领域提供了一种可迁移的操作框架。</w:t>
      </w:r>
    </w:p>
    <w:p>
      <w:pPr>
        <w:ind w:firstLine="482"/>
        <w:rPr>
          <w:rFonts w:hint="eastAsia"/>
        </w:rPr>
      </w:pPr>
      <w:r>
        <w:rPr>
          <w:b/>
          <w:bCs w:val="0"/>
        </w:rPr>
        <w:t>关键词：</w:t>
      </w:r>
      <w:r>
        <w:t>数学项目化学习；健康膳食设计；数据分析观念；比例与百分比；统计图表</w:t>
      </w:r>
    </w:p>
    <w:p>
      <w:pPr>
        <w:ind w:firstLine="482"/>
        <w:rPr>
          <w:rFonts w:hint="eastAsia"/>
          <w:b/>
          <w:bCs w:val="0"/>
        </w:rPr>
      </w:pPr>
      <w:r>
        <w:rPr>
          <w:b/>
          <w:bCs w:val="0"/>
        </w:rPr>
        <w:t>一、引言</w:t>
      </w:r>
    </w:p>
    <w:p>
      <w:pPr>
        <w:ind w:firstLine="482"/>
        <w:rPr>
          <w:rFonts w:hint="eastAsia"/>
          <w:b/>
          <w:bCs w:val="0"/>
        </w:rPr>
      </w:pPr>
      <w:r>
        <w:rPr>
          <w:b/>
          <w:bCs w:val="0"/>
        </w:rPr>
        <w:t>1.1 研究背景</w:t>
      </w:r>
    </w:p>
    <w:p>
      <w:pPr>
        <w:rPr>
          <w:rFonts w:hint="eastAsia"/>
        </w:rPr>
      </w:pPr>
      <w:r>
        <w:t>项目化学习（PBL）作为连接学科知识与生活实践的重要路径，在2022版义务教育数学课程标准中得到了明确回应。课程标准指出，“综合与实践”领域应“以真实问题为载体，引导学生运用数学知识解决实际问题，发展跨学科应用能力”</w:t>
      </w:r>
      <w:r>
        <w:rPr>
          <w:vertAlign w:val="superscript"/>
        </w:rPr>
        <w:t xml:space="preserve"> [1]</w:t>
      </w:r>
      <w:r>
        <w:t>。然而，当前数学教学中，“知识习得与应用脱节”的现象依然存在：六年级学生虽然学习了比例、百分数、统计图表等内容，但多数停留在习题训练的层面，难以在真实情境中识别数学问题、选择数学模型、作出数学决策。</w:t>
      </w:r>
      <w:r>
        <w:rPr>
          <w:rFonts w:hint="eastAsia"/>
        </w:rPr>
        <w:t xml:space="preserve">       </w:t>
      </w:r>
    </w:p>
    <w:p>
      <w:pPr>
        <w:rPr>
          <w:rFonts w:hint="eastAsia"/>
        </w:rPr>
      </w:pPr>
      <w:r>
        <w:t>与此同时，学校午餐浪费现象与青少年膳食结构失衡问题日益受到关注。学生每日接触的校园午餐，恰好为数学应用提供了真实</w:t>
      </w:r>
      <w:r>
        <w:rPr>
          <w:rFonts w:hint="eastAsia"/>
        </w:rPr>
        <w:t>而</w:t>
      </w:r>
      <w:r>
        <w:t>可及的问题场景：如何量化食材的营养贡献？如何用数据判断一餐是否均衡？如何在营养与成本之间找到最优解？这些问题天然蕴含着数学的思维要素——量化、比较、建模、验证。</w:t>
      </w:r>
    </w:p>
    <w:p>
      <w:pPr>
        <w:ind w:firstLine="482"/>
        <w:rPr>
          <w:rFonts w:hint="eastAsia"/>
          <w:b/>
          <w:bCs w:val="0"/>
        </w:rPr>
      </w:pPr>
      <w:r>
        <w:rPr>
          <w:b/>
          <w:bCs w:val="0"/>
        </w:rPr>
        <w:t>1.2 研究问题与核心目标</w:t>
      </w:r>
    </w:p>
    <w:p>
      <w:pPr>
        <w:rPr>
          <w:rFonts w:hint="eastAsia"/>
        </w:rPr>
      </w:pPr>
      <w:r>
        <w:t>本研究试图回答的核心问题是：在以“健康膳食设计”为载体的项目化学习中，如何凸显数学思维的主导作用，使学生在解决真实问题的过程中发展数学核心素养？</w:t>
      </w:r>
    </w:p>
    <w:p>
      <w:pPr>
        <w:rPr>
          <w:rFonts w:hint="eastAsia"/>
          <w:b/>
          <w:bCs w:val="0"/>
        </w:rPr>
      </w:pPr>
      <w:r>
        <w:t>具体目标包括：（1）引导学生在膳食设计情境中主动调用比例、百分数、统计图表等数学知识，形成“用数据说话”的思维方式；（2）通过项目推进中的认知冲突与调整，发展学生的数据分析观念与模型意识；（3）建立可观察、可评估的数学素养发展指标，为“综合与实践”教学提供参考。</w:t>
      </w:r>
    </w:p>
    <w:p>
      <w:pPr>
        <w:ind w:firstLine="482"/>
        <w:rPr>
          <w:rFonts w:hint="eastAsia"/>
          <w:b/>
          <w:bCs w:val="0"/>
        </w:rPr>
      </w:pPr>
      <w:r>
        <w:rPr>
          <w:b/>
          <w:bCs w:val="0"/>
        </w:rPr>
        <w:t>二、项目设计</w:t>
      </w:r>
    </w:p>
    <w:p>
      <w:pPr>
        <w:ind w:firstLine="482"/>
        <w:rPr>
          <w:rFonts w:hint="eastAsia"/>
          <w:b/>
          <w:bCs w:val="0"/>
        </w:rPr>
      </w:pPr>
      <w:r>
        <w:rPr>
          <w:b/>
          <w:bCs w:val="0"/>
        </w:rPr>
        <w:t>2.1 驱动性问题与数学化处理</w:t>
      </w:r>
    </w:p>
    <w:p>
      <w:pPr>
        <w:rPr>
          <w:rFonts w:hint="eastAsia"/>
        </w:rPr>
      </w:pPr>
      <w:r>
        <w:t>项目的起点是校园午餐的现实问题：“我们能否为六年级同学设计一份既营养均衡又减少浪费的一周午餐食谱？”这一问题的复杂性在于，它涉及营养标准、食材成本、学生口味等多重因素。数学的介入不是简单地为这些问题提供计算工具，而是帮助学生对问题进行“数学化”处理——将模糊的现实需求转化为可量化、可比较、可优化的数学问题。</w:t>
      </w:r>
    </w:p>
    <w:p>
      <w:pPr>
        <w:rPr>
          <w:rFonts w:hint="eastAsia"/>
        </w:rPr>
      </w:pPr>
      <w:r>
        <w:t>具体而言，学生需要将以下现实问题转化为数学任务：</w:t>
      </w:r>
    </w:p>
    <w:p>
      <w:pPr>
        <w:numPr>
          <w:ilvl w:val="0"/>
          <w:numId w:val="1"/>
        </w:numPr>
        <w:ind w:firstLine="480"/>
        <w:rPr>
          <w:rFonts w:hint="eastAsia"/>
        </w:rPr>
      </w:pPr>
      <w:r>
        <w:t>“营养均衡”如何量化？——转化为“各营养素供能比与推荐标准的接近程度”；</w:t>
      </w:r>
    </w:p>
    <w:p>
      <w:pPr>
        <w:numPr>
          <w:ilvl w:val="0"/>
          <w:numId w:val="1"/>
        </w:numPr>
        <w:ind w:firstLine="480"/>
        <w:rPr>
          <w:rFonts w:hint="eastAsia"/>
        </w:rPr>
      </w:pPr>
      <w:r>
        <w:t>“减少浪费”如何衡量？——转化为“食材利用率与成本效益的数学关系”；</w:t>
      </w:r>
    </w:p>
    <w:p>
      <w:pPr>
        <w:numPr>
          <w:ilvl w:val="0"/>
          <w:numId w:val="1"/>
        </w:numPr>
        <w:ind w:firstLine="480"/>
        <w:rPr>
          <w:rFonts w:hint="eastAsia"/>
        </w:rPr>
      </w:pPr>
      <w:r>
        <w:t>“口味偏好”如何纳入决策？——转化为“调查数据的统计分析与权重赋值”。</w:t>
      </w:r>
    </w:p>
    <w:p>
      <w:pPr>
        <w:rPr>
          <w:rFonts w:hint="eastAsia"/>
        </w:rPr>
      </w:pPr>
      <w:r>
        <w:t>这一转化过程本身，就是数学建模意识的初步建立。</w:t>
      </w:r>
    </w:p>
    <w:p>
      <w:pPr>
        <w:ind w:firstLine="482"/>
        <w:rPr>
          <w:rFonts w:hint="eastAsia"/>
          <w:b/>
          <w:bCs w:val="0"/>
        </w:rPr>
      </w:pPr>
      <w:r>
        <w:rPr>
          <w:b/>
          <w:bCs w:val="0"/>
        </w:rPr>
        <w:t>2.2 聚焦数学核心素养的项目目标</w:t>
      </w:r>
    </w:p>
    <w:p>
      <w:pPr>
        <w:rPr>
          <w:rFonts w:hint="eastAsia"/>
        </w:rPr>
      </w:pPr>
      <w:r>
        <w:t>与常规教学设计不同，本项目在目标设定上突出数学核心素养的可观察、可评估表现。具体如下表所示：</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297"/>
        <w:gridCol w:w="4683"/>
        <w:gridCol w:w="23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rPr>
        <w:tc>
          <w:tcPr>
            <w:tcW w:w="1297" w:type="dxa"/>
            <w:tcBorders>
              <w:top w:val="single" w:color="auto" w:sz="4" w:space="0"/>
              <w:left w:val="single" w:color="auto" w:sz="4" w:space="0"/>
              <w:bottom w:val="single" w:color="auto" w:sz="4" w:space="0"/>
              <w:right w:val="single" w:color="auto" w:sz="4" w:space="0"/>
            </w:tcBorders>
            <w:tcMar>
              <w:top w:w="180" w:type="dxa"/>
              <w:left w:w="270" w:type="dxa"/>
              <w:bottom w:w="180" w:type="dxa"/>
              <w:right w:w="270" w:type="dxa"/>
            </w:tcMar>
            <w:vAlign w:val="center"/>
          </w:tcPr>
          <w:p>
            <w:pPr>
              <w:ind w:firstLine="0" w:firstLineChars="0"/>
              <w:rPr>
                <w:rFonts w:hint="eastAsia"/>
              </w:rPr>
            </w:pPr>
            <w:r>
              <w:rPr>
                <w:b/>
              </w:rPr>
              <w:t>素养维度</w:t>
            </w:r>
          </w:p>
        </w:tc>
        <w:tc>
          <w:tcPr>
            <w:tcW w:w="4683" w:type="dxa"/>
            <w:tcBorders>
              <w:top w:val="single" w:color="auto" w:sz="4" w:space="0"/>
              <w:left w:val="single" w:color="auto" w:sz="4" w:space="0"/>
              <w:bottom w:val="single" w:color="auto" w:sz="4" w:space="0"/>
              <w:right w:val="single" w:color="auto" w:sz="4" w:space="0"/>
            </w:tcBorders>
            <w:tcMar>
              <w:top w:w="180" w:type="dxa"/>
              <w:left w:w="270" w:type="dxa"/>
              <w:bottom w:w="180" w:type="dxa"/>
              <w:right w:w="270" w:type="dxa"/>
            </w:tcMar>
            <w:vAlign w:val="center"/>
          </w:tcPr>
          <w:p>
            <w:pPr>
              <w:ind w:firstLine="1446" w:firstLineChars="600"/>
              <w:rPr>
                <w:rFonts w:hint="eastAsia"/>
              </w:rPr>
            </w:pPr>
            <w:r>
              <w:rPr>
                <w:b/>
              </w:rPr>
              <w:t>具体表现指标</w:t>
            </w:r>
          </w:p>
        </w:tc>
        <w:tc>
          <w:tcPr>
            <w:tcW w:w="2316" w:type="dxa"/>
            <w:tcBorders>
              <w:top w:val="single" w:color="auto" w:sz="4" w:space="0"/>
              <w:left w:val="single" w:color="auto" w:sz="4" w:space="0"/>
              <w:bottom w:val="single" w:color="auto" w:sz="4" w:space="0"/>
              <w:right w:val="single" w:color="auto" w:sz="4" w:space="0"/>
            </w:tcBorders>
            <w:tcMar>
              <w:top w:w="180" w:type="dxa"/>
              <w:left w:w="270" w:type="dxa"/>
              <w:bottom w:w="180" w:type="dxa"/>
              <w:right w:w="270" w:type="dxa"/>
            </w:tcMar>
            <w:vAlign w:val="center"/>
          </w:tcPr>
          <w:p>
            <w:pPr>
              <w:ind w:firstLine="241" w:firstLineChars="100"/>
              <w:rPr>
                <w:rFonts w:hint="eastAsia"/>
              </w:rPr>
            </w:pPr>
            <w:r>
              <w:rPr>
                <w:b/>
              </w:rPr>
              <w:t>评估方式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97" w:type="dxa"/>
            <w:tcBorders>
              <w:top w:val="single" w:color="auto" w:sz="4" w:space="0"/>
              <w:left w:val="single" w:color="auto" w:sz="4" w:space="0"/>
              <w:bottom w:val="single" w:color="auto" w:sz="4" w:space="0"/>
              <w:right w:val="single" w:color="auto" w:sz="4" w:space="0"/>
            </w:tcBorders>
            <w:tcMar>
              <w:top w:w="180" w:type="dxa"/>
              <w:left w:w="270" w:type="dxa"/>
              <w:bottom w:w="180" w:type="dxa"/>
              <w:right w:w="270" w:type="dxa"/>
            </w:tcMar>
            <w:vAlign w:val="center"/>
          </w:tcPr>
          <w:p>
            <w:pPr>
              <w:ind w:firstLine="0" w:firstLineChars="0"/>
              <w:rPr>
                <w:rFonts w:hint="eastAsia"/>
              </w:rPr>
            </w:pPr>
            <w:r>
              <w:rPr>
                <w:b/>
              </w:rPr>
              <w:t>数据分析观念</w:t>
            </w:r>
          </w:p>
        </w:tc>
        <w:tc>
          <w:tcPr>
            <w:tcW w:w="4683" w:type="dxa"/>
            <w:tcBorders>
              <w:top w:val="single" w:color="auto" w:sz="4" w:space="0"/>
              <w:left w:val="single" w:color="auto" w:sz="4" w:space="0"/>
              <w:bottom w:val="single" w:color="auto" w:sz="4" w:space="0"/>
              <w:right w:val="single" w:color="auto" w:sz="4" w:space="0"/>
            </w:tcBorders>
            <w:tcMar>
              <w:top w:w="180" w:type="dxa"/>
              <w:left w:w="270" w:type="dxa"/>
              <w:bottom w:w="180" w:type="dxa"/>
              <w:right w:w="270" w:type="dxa"/>
            </w:tcMar>
            <w:vAlign w:val="center"/>
          </w:tcPr>
          <w:p>
            <w:pPr>
              <w:ind w:firstLine="0" w:firstLineChars="0"/>
              <w:rPr>
                <w:rFonts w:hint="eastAsia"/>
              </w:rPr>
            </w:pPr>
            <w:r>
              <w:t>能够从营养标签、食物成分表中提取数据，判断数据的可靠性与适用性；能够用统计图表呈现膳食结构，并基于图表发现数据分布特征</w:t>
            </w:r>
          </w:p>
        </w:tc>
        <w:tc>
          <w:tcPr>
            <w:tcW w:w="2316" w:type="dxa"/>
            <w:tcBorders>
              <w:top w:val="single" w:color="auto" w:sz="4" w:space="0"/>
              <w:left w:val="single" w:color="auto" w:sz="4" w:space="0"/>
              <w:bottom w:val="single" w:color="auto" w:sz="4" w:space="0"/>
              <w:right w:val="single" w:color="auto" w:sz="4" w:space="0"/>
            </w:tcBorders>
            <w:tcMar>
              <w:top w:w="180" w:type="dxa"/>
              <w:left w:w="270" w:type="dxa"/>
              <w:bottom w:w="180" w:type="dxa"/>
              <w:right w:w="270" w:type="dxa"/>
            </w:tcMar>
            <w:vAlign w:val="center"/>
          </w:tcPr>
          <w:p>
            <w:pPr>
              <w:ind w:firstLine="0" w:firstLineChars="0"/>
              <w:rPr>
                <w:rFonts w:hint="eastAsia"/>
              </w:rPr>
            </w:pPr>
            <w:r>
              <w:t>数据库质量核查、统计图表规范性评价、分析报告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97" w:type="dxa"/>
            <w:tcBorders>
              <w:top w:val="single" w:color="auto" w:sz="4" w:space="0"/>
              <w:left w:val="single" w:color="auto" w:sz="4" w:space="0"/>
              <w:bottom w:val="single" w:color="auto" w:sz="4" w:space="0"/>
              <w:right w:val="single" w:color="auto" w:sz="4" w:space="0"/>
            </w:tcBorders>
            <w:tcMar>
              <w:top w:w="180" w:type="dxa"/>
              <w:left w:w="270" w:type="dxa"/>
              <w:bottom w:w="180" w:type="dxa"/>
              <w:right w:w="270" w:type="dxa"/>
            </w:tcMar>
            <w:vAlign w:val="center"/>
          </w:tcPr>
          <w:p>
            <w:pPr>
              <w:ind w:firstLine="0" w:firstLineChars="0"/>
              <w:rPr>
                <w:rFonts w:hint="eastAsia"/>
              </w:rPr>
            </w:pPr>
            <w:r>
              <w:rPr>
                <w:b/>
              </w:rPr>
              <w:t>模型意识</w:t>
            </w:r>
          </w:p>
        </w:tc>
        <w:tc>
          <w:tcPr>
            <w:tcW w:w="4683" w:type="dxa"/>
            <w:tcBorders>
              <w:top w:val="single" w:color="auto" w:sz="4" w:space="0"/>
              <w:left w:val="single" w:color="auto" w:sz="4" w:space="0"/>
              <w:bottom w:val="single" w:color="auto" w:sz="4" w:space="0"/>
              <w:right w:val="single" w:color="auto" w:sz="4" w:space="0"/>
            </w:tcBorders>
            <w:tcMar>
              <w:top w:w="180" w:type="dxa"/>
              <w:left w:w="270" w:type="dxa"/>
              <w:bottom w:w="180" w:type="dxa"/>
              <w:right w:w="270" w:type="dxa"/>
            </w:tcMar>
            <w:vAlign w:val="center"/>
          </w:tcPr>
          <w:p>
            <w:pPr>
              <w:ind w:firstLine="0" w:firstLineChars="0"/>
              <w:rPr>
                <w:rFonts w:hint="eastAsia"/>
              </w:rPr>
            </w:pPr>
            <w:r>
              <w:t>能够将“营养均衡”转化为比例模型（如三大营养素供能比）；能够用线性关系近似描述食材成本与营养贡献的关系</w:t>
            </w:r>
          </w:p>
        </w:tc>
        <w:tc>
          <w:tcPr>
            <w:tcW w:w="2316" w:type="dxa"/>
            <w:tcBorders>
              <w:top w:val="single" w:color="auto" w:sz="4" w:space="0"/>
              <w:left w:val="single" w:color="auto" w:sz="4" w:space="0"/>
              <w:bottom w:val="single" w:color="auto" w:sz="4" w:space="0"/>
              <w:right w:val="single" w:color="auto" w:sz="4" w:space="0"/>
            </w:tcBorders>
            <w:tcMar>
              <w:top w:w="180" w:type="dxa"/>
              <w:left w:w="270" w:type="dxa"/>
              <w:bottom w:w="180" w:type="dxa"/>
              <w:right w:w="270" w:type="dxa"/>
            </w:tcMar>
            <w:vAlign w:val="center"/>
          </w:tcPr>
          <w:p>
            <w:pPr>
              <w:ind w:firstLine="0" w:firstLineChars="0"/>
              <w:rPr>
                <w:rFonts w:hint="eastAsia"/>
              </w:rPr>
            </w:pPr>
            <w:r>
              <w:t>食谱设计中的数学说明、小组讨论记录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97" w:type="dxa"/>
            <w:tcBorders>
              <w:top w:val="single" w:color="auto" w:sz="4" w:space="0"/>
              <w:left w:val="single" w:color="auto" w:sz="4" w:space="0"/>
              <w:bottom w:val="single" w:color="auto" w:sz="4" w:space="0"/>
              <w:right w:val="single" w:color="auto" w:sz="4" w:space="0"/>
            </w:tcBorders>
            <w:tcMar>
              <w:top w:w="180" w:type="dxa"/>
              <w:left w:w="270" w:type="dxa"/>
              <w:bottom w:w="180" w:type="dxa"/>
              <w:right w:w="270" w:type="dxa"/>
            </w:tcMar>
            <w:vAlign w:val="center"/>
          </w:tcPr>
          <w:p>
            <w:pPr>
              <w:ind w:firstLine="0" w:firstLineChars="0"/>
              <w:rPr>
                <w:rFonts w:hint="eastAsia"/>
              </w:rPr>
            </w:pPr>
            <w:r>
              <w:rPr>
                <w:b/>
              </w:rPr>
              <w:t>推理与论证</w:t>
            </w:r>
          </w:p>
        </w:tc>
        <w:tc>
          <w:tcPr>
            <w:tcW w:w="4683" w:type="dxa"/>
            <w:tcBorders>
              <w:top w:val="single" w:color="auto" w:sz="4" w:space="0"/>
              <w:left w:val="single" w:color="auto" w:sz="4" w:space="0"/>
              <w:bottom w:val="single" w:color="auto" w:sz="4" w:space="0"/>
              <w:right w:val="single" w:color="auto" w:sz="4" w:space="0"/>
            </w:tcBorders>
            <w:tcMar>
              <w:top w:w="180" w:type="dxa"/>
              <w:left w:w="270" w:type="dxa"/>
              <w:bottom w:w="180" w:type="dxa"/>
              <w:right w:w="270" w:type="dxa"/>
            </w:tcMar>
            <w:vAlign w:val="center"/>
          </w:tcPr>
          <w:p>
            <w:pPr>
              <w:ind w:firstLine="0" w:firstLineChars="0"/>
              <w:rPr>
                <w:rFonts w:hint="eastAsia"/>
              </w:rPr>
            </w:pPr>
            <w:r>
              <w:t>能够解释数据背后的数学关系（如为什么蛋白质供能比不宜过高）；能够基于数据比较不同方案的优劣</w:t>
            </w:r>
          </w:p>
        </w:tc>
        <w:tc>
          <w:tcPr>
            <w:tcW w:w="2316" w:type="dxa"/>
            <w:tcBorders>
              <w:top w:val="single" w:color="auto" w:sz="4" w:space="0"/>
              <w:left w:val="single" w:color="auto" w:sz="4" w:space="0"/>
              <w:bottom w:val="single" w:color="auto" w:sz="4" w:space="0"/>
              <w:right w:val="single" w:color="auto" w:sz="4" w:space="0"/>
            </w:tcBorders>
            <w:tcMar>
              <w:top w:w="180" w:type="dxa"/>
              <w:left w:w="270" w:type="dxa"/>
              <w:bottom w:w="180" w:type="dxa"/>
              <w:right w:w="270" w:type="dxa"/>
            </w:tcMar>
            <w:vAlign w:val="center"/>
          </w:tcPr>
          <w:p>
            <w:pPr>
              <w:ind w:firstLine="0" w:firstLineChars="0"/>
              <w:rPr>
                <w:rFonts w:hint="eastAsia"/>
              </w:rPr>
            </w:pPr>
            <w:r>
              <w:t>汇报答辩中的数学论证、方案比较表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97" w:type="dxa"/>
            <w:tcBorders>
              <w:top w:val="single" w:color="auto" w:sz="4" w:space="0"/>
              <w:left w:val="single" w:color="auto" w:sz="4" w:space="0"/>
              <w:bottom w:val="single" w:color="auto" w:sz="4" w:space="0"/>
              <w:right w:val="single" w:color="auto" w:sz="4" w:space="0"/>
            </w:tcBorders>
            <w:tcMar>
              <w:top w:w="180" w:type="dxa"/>
              <w:left w:w="270" w:type="dxa"/>
              <w:bottom w:w="180" w:type="dxa"/>
              <w:right w:w="270" w:type="dxa"/>
            </w:tcMar>
            <w:vAlign w:val="center"/>
          </w:tcPr>
          <w:p>
            <w:pPr>
              <w:ind w:firstLine="0" w:firstLineChars="0"/>
              <w:rPr>
                <w:rFonts w:hint="eastAsia"/>
                <w:b/>
              </w:rPr>
            </w:pPr>
            <w:r>
              <w:rPr>
                <w:b/>
              </w:rPr>
              <w:t>数学交流</w:t>
            </w:r>
          </w:p>
        </w:tc>
        <w:tc>
          <w:tcPr>
            <w:tcW w:w="4683" w:type="dxa"/>
            <w:tcBorders>
              <w:top w:val="single" w:color="auto" w:sz="4" w:space="0"/>
              <w:left w:val="single" w:color="auto" w:sz="4" w:space="0"/>
              <w:bottom w:val="single" w:color="auto" w:sz="4" w:space="0"/>
              <w:right w:val="single" w:color="auto" w:sz="4" w:space="0"/>
            </w:tcBorders>
            <w:tcMar>
              <w:top w:w="180" w:type="dxa"/>
              <w:left w:w="270" w:type="dxa"/>
              <w:bottom w:w="180" w:type="dxa"/>
              <w:right w:w="270" w:type="dxa"/>
            </w:tcMar>
            <w:vAlign w:val="center"/>
          </w:tcPr>
          <w:p>
            <w:pPr>
              <w:ind w:firstLine="0" w:firstLineChars="0"/>
              <w:rPr>
                <w:rFonts w:hint="eastAsia"/>
              </w:rPr>
            </w:pPr>
            <w:r>
              <w:t>能够用规范的数学语言（如百分比、比例、平均数）描述营养状况；能够在小组合作中围绕数学问题展开有效讨论</w:t>
            </w:r>
          </w:p>
        </w:tc>
        <w:tc>
          <w:tcPr>
            <w:tcW w:w="2316" w:type="dxa"/>
            <w:tcBorders>
              <w:top w:val="single" w:color="auto" w:sz="4" w:space="0"/>
              <w:left w:val="single" w:color="auto" w:sz="4" w:space="0"/>
              <w:bottom w:val="single" w:color="auto" w:sz="4" w:space="0"/>
              <w:right w:val="single" w:color="auto" w:sz="4" w:space="0"/>
            </w:tcBorders>
            <w:tcMar>
              <w:top w:w="180" w:type="dxa"/>
              <w:left w:w="270" w:type="dxa"/>
              <w:bottom w:w="180" w:type="dxa"/>
              <w:right w:w="270" w:type="dxa"/>
            </w:tcMar>
            <w:vAlign w:val="center"/>
          </w:tcPr>
          <w:p>
            <w:pPr>
              <w:ind w:firstLine="0" w:firstLineChars="0"/>
              <w:rPr>
                <w:rFonts w:hint="eastAsia"/>
              </w:rPr>
            </w:pPr>
            <w:r>
              <w:t>小组分工记录、汇报PPT、同伴互评</w:t>
            </w:r>
          </w:p>
        </w:tc>
      </w:tr>
    </w:tbl>
    <w:p>
      <w:pPr>
        <w:rPr>
          <w:rFonts w:hint="eastAsia"/>
        </w:rPr>
      </w:pPr>
      <w:r>
        <w:t>这一目标设定明确回答了“数学在这个项目中究竟起什么作用”的问题——数学不是服务于营养计算的“工具”，而是贯穿问题识别、方案设计、决策优化全过程的主导思维。</w:t>
      </w:r>
    </w:p>
    <w:p>
      <w:pPr>
        <w:widowControl/>
        <w:spacing w:before="100" w:beforeAutospacing="1" w:after="100" w:afterAutospacing="1"/>
        <w:ind w:firstLine="482"/>
        <w:rPr>
          <w:rFonts w:hint="eastAsia" w:cs="宋体"/>
          <w:b/>
          <w:kern w:val="0"/>
          <w:shd w:val="clear" w:color="auto" w:fill="auto"/>
        </w:rPr>
      </w:pPr>
      <w:r>
        <w:rPr>
          <w:rFonts w:cs="宋体"/>
          <w:b/>
          <w:kern w:val="0"/>
          <w:shd w:val="clear" w:color="auto" w:fill="auto"/>
        </w:rPr>
        <w:t>2.3 项目实施过程</w:t>
      </w:r>
    </w:p>
    <w:p>
      <w:pPr>
        <w:widowControl/>
        <w:spacing w:before="100" w:beforeAutospacing="1" w:after="100" w:afterAutospacing="1"/>
        <w:ind w:left="240" w:leftChars="100" w:firstLine="0" w:firstLineChars="0"/>
        <w:rPr>
          <w:rFonts w:hint="eastAsia" w:cs="宋体"/>
          <w:bCs w:val="0"/>
          <w:kern w:val="0"/>
          <w:shd w:val="clear" w:color="auto" w:fill="auto"/>
        </w:rPr>
      </w:pPr>
      <w:r>
        <w:rPr>
          <w:rFonts w:cs="宋体"/>
          <w:bCs w:val="0"/>
          <w:kern w:val="0"/>
          <w:shd w:val="clear" w:color="auto" w:fill="auto"/>
        </w:rPr>
        <w:t>项目分为三个阶段：</w:t>
      </w:r>
      <w:r>
        <w:rPr>
          <w:rFonts w:cs="宋体"/>
          <w:bCs w:val="0"/>
          <w:kern w:val="0"/>
          <w:shd w:val="clear" w:color="auto" w:fill="auto"/>
        </w:rPr>
        <w:br w:type="textWrapping"/>
      </w:r>
      <w:r>
        <w:rPr>
          <w:rFonts w:cs="宋体"/>
          <w:bCs w:val="0"/>
          <w:kern w:val="0"/>
          <w:shd w:val="clear" w:color="auto" w:fill="auto"/>
        </w:rPr>
        <w:t>阶段1：入项课，学习营养学基础知识，通过小组讨论提出食谱设计初步方案。</w:t>
      </w:r>
      <w:r>
        <w:rPr>
          <w:rFonts w:cs="宋体"/>
          <w:bCs w:val="0"/>
          <w:kern w:val="0"/>
          <w:shd w:val="clear" w:color="auto" w:fill="auto"/>
        </w:rPr>
        <w:br w:type="textWrapping"/>
      </w:r>
      <w:r>
        <w:rPr>
          <w:rFonts w:cs="宋体"/>
          <w:bCs w:val="0"/>
          <w:kern w:val="0"/>
          <w:shd w:val="clear" w:color="auto" w:fill="auto"/>
        </w:rPr>
        <w:t>阶段2：收集与分析食物营养成分数据，运用数学知识进行计算，优化食谱设计。</w:t>
      </w:r>
      <w:r>
        <w:rPr>
          <w:rFonts w:cs="宋体"/>
          <w:bCs w:val="0"/>
          <w:kern w:val="0"/>
          <w:shd w:val="clear" w:color="auto" w:fill="auto"/>
        </w:rPr>
        <w:br w:type="textWrapping"/>
      </w:r>
      <w:r>
        <w:rPr>
          <w:rFonts w:cs="宋体"/>
          <w:bCs w:val="0"/>
          <w:kern w:val="0"/>
          <w:shd w:val="clear" w:color="auto" w:fill="auto"/>
        </w:rPr>
        <w:t>阶段3：展示食谱设计成果，进行汇报并接受反馈。</w:t>
      </w:r>
    </w:p>
    <w:p>
      <w:pPr>
        <w:widowControl/>
        <w:spacing w:before="100" w:beforeAutospacing="1" w:after="100" w:afterAutospacing="1"/>
        <w:ind w:firstLine="0" w:firstLineChars="0"/>
        <w:rPr>
          <w:rFonts w:hint="eastAsia" w:cs="宋体"/>
          <w:bCs w:val="0"/>
          <w:kern w:val="0"/>
          <w:shd w:val="clear" w:color="auto" w:fill="auto"/>
        </w:rPr>
      </w:pPr>
      <w:r>
        <w:rPr>
          <w:rFonts w:cs="宋体"/>
          <w:b/>
          <w:kern w:val="0"/>
          <w:shd w:val="clear" w:color="auto" w:fill="auto"/>
        </w:rPr>
        <w:t>三、项目实施：数学思维发展的关键节点</w:t>
      </w:r>
    </w:p>
    <w:p>
      <w:pPr>
        <w:widowControl/>
        <w:spacing w:before="100" w:beforeAutospacing="1" w:after="100" w:afterAutospacing="1"/>
        <w:ind w:firstLine="0" w:firstLineChars="0"/>
        <w:rPr>
          <w:rFonts w:hint="eastAsia" w:cs="宋体"/>
          <w:bCs w:val="0"/>
          <w:kern w:val="0"/>
          <w:shd w:val="clear" w:color="auto" w:fill="auto"/>
        </w:rPr>
      </w:pPr>
      <w:r>
        <w:rPr>
          <w:rFonts w:cs="宋体"/>
          <w:bCs w:val="0"/>
          <w:kern w:val="0"/>
          <w:shd w:val="clear" w:color="auto" w:fill="auto"/>
        </w:rPr>
        <w:t>3.1 阶段1：入项课——从“吃什么”到“量什么”</w:t>
      </w:r>
    </w:p>
    <w:p>
      <w:pPr>
        <w:widowControl/>
        <w:spacing w:before="100" w:beforeAutospacing="1" w:after="100" w:afterAutospacing="1"/>
        <w:rPr>
          <w:rFonts w:hint="eastAsia" w:cs="宋体"/>
          <w:bCs w:val="0"/>
          <w:kern w:val="0"/>
          <w:shd w:val="clear" w:color="auto" w:fill="auto"/>
        </w:rPr>
      </w:pPr>
      <w:r>
        <w:rPr>
          <w:rFonts w:cs="宋体"/>
          <w:bCs w:val="0"/>
          <w:kern w:val="0"/>
          <w:shd w:val="clear" w:color="auto" w:fill="auto"/>
        </w:rPr>
        <w:t>在入项课中，学生首先学习营养学基础知识。但教师引导学生不急于查找食谱，而是先思考：要判断一餐是否均衡，需要测量哪些量？如何测量？这一过程促使学生主动调用已有的数学知识——他们提出需要知道每种食材的重量、每种营养素的含量、每餐的总热量，进而意识到需要用“百分比”计算各营养素贡献率，用“比例”比较不同食材的营养密度。数学思维在这一阶段体现为“将现实问题转化为可量化的问题”。</w:t>
      </w:r>
      <w:r>
        <w:t xml:space="preserve"> 这一过程强调了团队合作和思维碰撞，学生可以分享自己对健康饮食的认知和个人饮食经验，从而为设计方案提供丰富的视角</w:t>
      </w:r>
      <w:r>
        <w:rPr>
          <w:rFonts w:hint="eastAsia"/>
          <w:vertAlign w:val="superscript"/>
        </w:rPr>
        <w:t>[2]</w:t>
      </w:r>
      <w:r>
        <w:t>。</w:t>
      </w:r>
    </w:p>
    <w:p>
      <w:pPr>
        <w:widowControl/>
        <w:spacing w:before="100" w:beforeAutospacing="1" w:after="100" w:afterAutospacing="1"/>
        <w:ind w:firstLine="0" w:firstLineChars="0"/>
        <w:rPr>
          <w:rFonts w:hint="eastAsia" w:cs="宋体"/>
          <w:bCs w:val="0"/>
          <w:kern w:val="0"/>
          <w:shd w:val="clear" w:color="auto" w:fill="auto"/>
        </w:rPr>
      </w:pPr>
      <w:r>
        <w:rPr>
          <w:rFonts w:cs="宋体"/>
          <w:bCs w:val="0"/>
          <w:kern w:val="0"/>
          <w:shd w:val="clear" w:color="auto" w:fill="auto"/>
        </w:rPr>
        <w:t>3.2 阶段2：数据收集与分析——从“计算”到“判断”</w:t>
      </w:r>
    </w:p>
    <w:p>
      <w:pPr>
        <w:widowControl/>
        <w:spacing w:before="100" w:beforeAutospacing="1" w:after="100" w:afterAutospacing="1"/>
        <w:rPr>
          <w:rFonts w:hint="eastAsia" w:cs="宋体"/>
          <w:bCs w:val="0"/>
          <w:kern w:val="0"/>
          <w:shd w:val="clear" w:color="auto" w:fill="auto"/>
        </w:rPr>
      </w:pPr>
      <w:r>
        <w:rPr>
          <w:rFonts w:cs="宋体"/>
          <w:bCs w:val="0"/>
          <w:kern w:val="0"/>
          <w:shd w:val="clear" w:color="auto" w:fill="auto"/>
        </w:rPr>
        <w:t>学生进入数据收集与计算环节。每个小组收集常见食物的营养成分数据，运用比例、百分比等方法分析食物营养价值。附：某小组建立“校园午餐食材营养数据库”（数据来源：《中国食物成分表2024版》《校园食材采购清单》）：</w:t>
      </w:r>
    </w:p>
    <w:tbl>
      <w:tblPr>
        <w:tblStyle w:val="13"/>
        <w:tblW w:w="0" w:type="auto"/>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904"/>
        <w:gridCol w:w="750"/>
        <w:gridCol w:w="2370"/>
        <w:gridCol w:w="2593"/>
        <w:gridCol w:w="1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blCellSpacing w:w="15" w:type="dxa"/>
        </w:trPr>
        <w:tc>
          <w:tcPr>
            <w:tcW w:w="0" w:type="auto"/>
            <w:vAlign w:val="center"/>
          </w:tcPr>
          <w:p>
            <w:pPr>
              <w:widowControl/>
              <w:ind w:firstLine="0" w:firstLineChars="0"/>
              <w:jc w:val="center"/>
              <w:rPr>
                <w:rFonts w:hint="eastAsia" w:cs="宋体"/>
                <w:b/>
                <w:kern w:val="0"/>
                <w:shd w:val="clear" w:color="auto" w:fill="auto"/>
              </w:rPr>
            </w:pPr>
            <w:r>
              <w:rPr>
                <w:rFonts w:cs="宋体"/>
                <w:b/>
                <w:kern w:val="0"/>
                <w:shd w:val="clear" w:color="auto" w:fill="auto"/>
              </w:rPr>
              <w:t>食材类别</w:t>
            </w:r>
          </w:p>
        </w:tc>
        <w:tc>
          <w:tcPr>
            <w:tcW w:w="0" w:type="auto"/>
            <w:vAlign w:val="center"/>
          </w:tcPr>
          <w:p>
            <w:pPr>
              <w:widowControl/>
              <w:ind w:firstLine="0" w:firstLineChars="0"/>
              <w:jc w:val="center"/>
              <w:rPr>
                <w:rFonts w:hint="eastAsia" w:cs="宋体"/>
                <w:b/>
                <w:kern w:val="0"/>
                <w:shd w:val="clear" w:color="auto" w:fill="auto"/>
              </w:rPr>
            </w:pPr>
            <w:r>
              <w:rPr>
                <w:rFonts w:cs="宋体"/>
                <w:b/>
                <w:kern w:val="0"/>
                <w:shd w:val="clear" w:color="auto" w:fill="auto"/>
              </w:rPr>
              <w:t>食物名称</w:t>
            </w:r>
          </w:p>
        </w:tc>
        <w:tc>
          <w:tcPr>
            <w:tcW w:w="0" w:type="auto"/>
            <w:vAlign w:val="center"/>
          </w:tcPr>
          <w:p>
            <w:pPr>
              <w:widowControl/>
              <w:ind w:firstLine="0" w:firstLineChars="0"/>
              <w:jc w:val="center"/>
              <w:rPr>
                <w:rFonts w:hint="eastAsia" w:cs="宋体"/>
                <w:b/>
                <w:kern w:val="0"/>
                <w:shd w:val="clear" w:color="auto" w:fill="auto"/>
              </w:rPr>
            </w:pPr>
            <w:r>
              <w:rPr>
                <w:rFonts w:cs="宋体"/>
                <w:b/>
                <w:kern w:val="0"/>
                <w:shd w:val="clear" w:color="auto" w:fill="auto"/>
              </w:rPr>
              <w:t>每100g生重营养数据</w:t>
            </w:r>
          </w:p>
        </w:tc>
        <w:tc>
          <w:tcPr>
            <w:tcW w:w="0" w:type="auto"/>
            <w:vAlign w:val="center"/>
          </w:tcPr>
          <w:p>
            <w:pPr>
              <w:widowControl/>
              <w:ind w:firstLine="0" w:firstLineChars="0"/>
              <w:jc w:val="center"/>
              <w:rPr>
                <w:rFonts w:hint="eastAsia" w:cs="宋体"/>
                <w:b/>
                <w:kern w:val="0"/>
                <w:shd w:val="clear" w:color="auto" w:fill="auto"/>
              </w:rPr>
            </w:pPr>
            <w:r>
              <w:rPr>
                <w:rFonts w:cs="宋体"/>
                <w:b/>
                <w:kern w:val="0"/>
                <w:shd w:val="clear" w:color="auto" w:fill="auto"/>
              </w:rPr>
              <w:t>每100g熟重营养数据（换算后）</w:t>
            </w:r>
          </w:p>
        </w:tc>
        <w:tc>
          <w:tcPr>
            <w:tcW w:w="0" w:type="auto"/>
            <w:vAlign w:val="center"/>
          </w:tcPr>
          <w:p>
            <w:pPr>
              <w:widowControl/>
              <w:ind w:firstLine="0" w:firstLineChars="0"/>
              <w:jc w:val="center"/>
              <w:rPr>
                <w:rFonts w:hint="eastAsia" w:cs="宋体"/>
                <w:b/>
                <w:kern w:val="0"/>
                <w:shd w:val="clear" w:color="auto" w:fill="auto"/>
              </w:rPr>
            </w:pPr>
            <w:r>
              <w:rPr>
                <w:rFonts w:cs="宋体"/>
                <w:b/>
                <w:kern w:val="0"/>
                <w:shd w:val="clear" w:color="auto" w:fill="auto"/>
              </w:rPr>
              <w:t>单位成本（元/100g）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主食</w:t>
            </w:r>
          </w:p>
        </w:tc>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大米</w:t>
            </w:r>
          </w:p>
        </w:tc>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热量343kcal、碳水77g</w:t>
            </w:r>
          </w:p>
        </w:tc>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热量137kcal、碳水30.8g</w:t>
            </w:r>
          </w:p>
        </w:tc>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主食</w:t>
            </w:r>
          </w:p>
        </w:tc>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全麦面包</w:t>
            </w:r>
          </w:p>
        </w:tc>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热量280kcal、碳水45g</w:t>
            </w:r>
          </w:p>
        </w:tc>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热量280kcal、碳水45g</w:t>
            </w:r>
          </w:p>
        </w:tc>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蛋白质来源</w:t>
            </w:r>
          </w:p>
        </w:tc>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鸡胸肉</w:t>
            </w:r>
          </w:p>
        </w:tc>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热量133kcal、蛋白质20g</w:t>
            </w:r>
          </w:p>
        </w:tc>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热量120kcal、蛋白质18g</w:t>
            </w:r>
          </w:p>
        </w:tc>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蛋白质来源</w:t>
            </w:r>
          </w:p>
        </w:tc>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豆腐</w:t>
            </w:r>
          </w:p>
        </w:tc>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热量70kcal、蛋白质8g</w:t>
            </w:r>
          </w:p>
        </w:tc>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热量65kcal、蛋白质7.5g</w:t>
            </w:r>
          </w:p>
        </w:tc>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蔬菜</w:t>
            </w:r>
          </w:p>
        </w:tc>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菠菜</w:t>
            </w:r>
          </w:p>
        </w:tc>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热量28kcal、钙66mg</w:t>
            </w:r>
          </w:p>
        </w:tc>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热量25kcal、钙60mg</w:t>
            </w:r>
          </w:p>
        </w:tc>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蔬菜</w:t>
            </w:r>
          </w:p>
        </w:tc>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胡萝卜</w:t>
            </w:r>
          </w:p>
        </w:tc>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热量37kcal、维生素A800μg</w:t>
            </w:r>
          </w:p>
        </w:tc>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热量32kcal、维生素A700μg</w:t>
            </w:r>
          </w:p>
        </w:tc>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0.5</w:t>
            </w:r>
          </w:p>
        </w:tc>
      </w:tr>
    </w:tbl>
    <w:p>
      <w:pPr>
        <w:widowControl/>
        <w:spacing w:before="100" w:beforeAutospacing="1" w:after="100" w:afterAutospacing="1"/>
        <w:rPr>
          <w:rFonts w:hint="eastAsia" w:cs="宋体"/>
          <w:bCs w:val="0"/>
          <w:kern w:val="0"/>
          <w:shd w:val="clear" w:color="auto" w:fill="auto"/>
        </w:rPr>
      </w:pPr>
      <w:r>
        <w:t>学生需要根据营养学的知识，从可靠的资源（如营养手册、网络数据库等）中获取不同食物的营养成分数据，包括热量、蛋白质、脂肪、维生素等内容</w:t>
      </w:r>
      <w:r>
        <w:rPr>
          <w:rFonts w:hint="eastAsia"/>
          <w:vertAlign w:val="superscript"/>
        </w:rPr>
        <w:t>[3]</w:t>
      </w:r>
      <w:r>
        <w:t>。</w:t>
      </w:r>
      <w:r>
        <w:rPr>
          <w:rFonts w:cs="宋体"/>
          <w:bCs w:val="0"/>
          <w:kern w:val="0"/>
          <w:shd w:val="clear" w:color="auto" w:fill="auto"/>
        </w:rPr>
        <w:t>中期检查发现，3个小组直接将“生重营养数据”作为“熟重数据”计算。如某小组将100g生大米热量（343kcal）计入午餐，导致单餐热量计算值（850kcal）比实际熟重热量（342.5kcal）高148%。</w:t>
      </w:r>
    </w:p>
    <w:p>
      <w:pPr>
        <w:rPr>
          <w:rFonts w:hint="eastAsia"/>
        </w:rPr>
      </w:pPr>
      <w:r>
        <w:rPr>
          <w:rFonts w:cs="宋体"/>
          <w:bCs w:val="0"/>
          <w:kern w:val="0"/>
          <w:shd w:val="clear" w:color="auto" w:fill="auto"/>
        </w:rPr>
        <w:t>这一认知冲突的意义在于，学生从“被动使用数据”转向“主动审视数据”——他们开始质疑：数据是在什么状态下测定的？计算的前提假设是否合理？这种对数据来源、数据状态的追问，正是数据分析观念的核心。</w:t>
      </w:r>
      <w:r>
        <w:t>例如</w:t>
      </w:r>
      <w:r>
        <w:rPr>
          <w:rFonts w:hint="eastAsia"/>
        </w:rPr>
        <w:t>，</w:t>
      </w:r>
      <w:r>
        <w:t>通过比例换算校准食材份量、借助统计图表验证营养分布，进而切实提升运用数学工具分析实际问题的能力，同时在方案迭代与优化的过程中积累实践经验，逐步增强知识应用的熟练度与解决复杂问题的自信心</w:t>
      </w:r>
      <w:r>
        <w:rPr>
          <w:rFonts w:hint="eastAsia"/>
          <w:vertAlign w:val="superscript"/>
        </w:rPr>
        <w:t>[4]</w:t>
      </w:r>
      <w:r>
        <w:t>。</w:t>
      </w:r>
    </w:p>
    <w:p>
      <w:pPr>
        <w:widowControl/>
        <w:spacing w:before="100" w:beforeAutospacing="1" w:after="100" w:afterAutospacing="1"/>
        <w:ind w:firstLine="240" w:firstLineChars="100"/>
        <w:rPr>
          <w:rFonts w:hint="eastAsia" w:cs="宋体"/>
          <w:bCs w:val="0"/>
          <w:kern w:val="0"/>
          <w:shd w:val="clear" w:color="auto" w:fill="auto"/>
        </w:rPr>
      </w:pPr>
      <w:r>
        <w:rPr>
          <w:rFonts w:cs="宋体"/>
          <w:bCs w:val="0"/>
          <w:kern w:val="0"/>
          <w:shd w:val="clear" w:color="auto" w:fill="auto"/>
        </w:rPr>
        <w:t>学生及时干预与校准措施如下：</w:t>
      </w:r>
    </w:p>
    <w:p>
      <w:pPr>
        <w:widowControl/>
        <w:numPr>
          <w:ilvl w:val="0"/>
          <w:numId w:val="2"/>
        </w:numPr>
        <w:spacing w:before="100" w:beforeAutospacing="1" w:after="100" w:afterAutospacing="1"/>
        <w:ind w:firstLineChars="0"/>
        <w:rPr>
          <w:rFonts w:hint="eastAsia" w:cs="宋体"/>
          <w:bCs w:val="0"/>
          <w:kern w:val="0"/>
          <w:shd w:val="clear" w:color="auto" w:fill="auto"/>
        </w:rPr>
      </w:pPr>
      <w:r>
        <w:rPr>
          <w:rFonts w:cs="宋体"/>
          <w:bCs w:val="0"/>
          <w:kern w:val="0"/>
          <w:shd w:val="clear" w:color="auto" w:fill="auto"/>
        </w:rPr>
        <w:t>制定“生熟食材换算系数表”：明确主食（大米1:2.5、面条1:3）、蔬菜（绿叶菜1:2、根茎菜1:1.5）的生熟比；</w:t>
      </w:r>
    </w:p>
    <w:p>
      <w:pPr>
        <w:widowControl/>
        <w:numPr>
          <w:ilvl w:val="0"/>
          <w:numId w:val="2"/>
        </w:numPr>
        <w:spacing w:before="100" w:beforeAutospacing="1" w:after="100" w:afterAutospacing="1"/>
        <w:ind w:firstLineChars="0"/>
        <w:rPr>
          <w:rFonts w:hint="eastAsia" w:cs="宋体"/>
          <w:bCs w:val="0"/>
          <w:kern w:val="0"/>
          <w:shd w:val="clear" w:color="auto" w:fill="auto"/>
        </w:rPr>
      </w:pPr>
      <w:r>
        <w:rPr>
          <w:rFonts w:cs="宋体"/>
          <w:bCs w:val="0"/>
          <w:kern w:val="0"/>
          <w:shd w:val="clear" w:color="auto" w:fill="auto"/>
        </w:rPr>
        <w:t>开展“数据校准工作坊”：各小组交叉核查对方数据；</w:t>
      </w:r>
    </w:p>
    <w:p>
      <w:pPr>
        <w:widowControl/>
        <w:numPr>
          <w:ilvl w:val="0"/>
          <w:numId w:val="2"/>
        </w:numPr>
        <w:spacing w:before="100" w:beforeAutospacing="1" w:after="100" w:afterAutospacing="1"/>
        <w:ind w:firstLineChars="0"/>
        <w:rPr>
          <w:rFonts w:hint="eastAsia" w:cs="宋体"/>
          <w:bCs w:val="0"/>
          <w:kern w:val="0"/>
          <w:shd w:val="clear" w:color="auto" w:fill="auto"/>
        </w:rPr>
      </w:pPr>
      <w:r>
        <w:rPr>
          <w:rFonts w:cs="宋体"/>
          <w:bCs w:val="0"/>
          <w:kern w:val="0"/>
          <w:shd w:val="clear" w:color="auto" w:fill="auto"/>
        </w:rPr>
        <w:t>建立“数据核查清单”：要求学生标注“数据来源、生熟状态、换算过程”。</w:t>
      </w:r>
    </w:p>
    <w:p>
      <w:pPr>
        <w:widowControl/>
        <w:spacing w:before="100" w:beforeAutospacing="1" w:after="100" w:afterAutospacing="1"/>
        <w:rPr>
          <w:rFonts w:hint="eastAsia" w:cs="宋体"/>
          <w:bCs w:val="0"/>
          <w:kern w:val="0"/>
          <w:shd w:val="clear" w:color="auto" w:fill="auto"/>
        </w:rPr>
      </w:pPr>
      <w:r>
        <w:rPr>
          <w:rFonts w:cs="宋体"/>
          <w:bCs w:val="0"/>
          <w:kern w:val="0"/>
          <w:shd w:val="clear" w:color="auto" w:fill="auto"/>
        </w:rPr>
        <w:t>更值得关注的是，学生在使用系数时开始注意到模型的局限性。“蔬菜的系数和焯水时间有关，时间越长出水越多。”“肉类煮熟后的重量还和切法有关。”这些讨论表明，学生开始理解数学模型是对现实的近似描述，需要在具体情境中调整适用条件。此时，营养学知识与数学知识形成双向互动——营养学为数学模型修正提供依据，数学模型为营养学知识量化提供框架。</w:t>
      </w:r>
    </w:p>
    <w:p>
      <w:pPr>
        <w:widowControl/>
        <w:spacing w:before="100" w:beforeAutospacing="1" w:after="100" w:afterAutospacing="1"/>
        <w:ind w:firstLine="0" w:firstLineChars="0"/>
        <w:rPr>
          <w:rFonts w:hint="eastAsia" w:cs="宋体"/>
          <w:bCs w:val="0"/>
          <w:kern w:val="0"/>
          <w:shd w:val="clear" w:color="auto" w:fill="auto"/>
        </w:rPr>
      </w:pPr>
      <w:r>
        <w:rPr>
          <w:rFonts w:cs="宋体"/>
          <w:bCs w:val="0"/>
          <w:kern w:val="0"/>
          <w:shd w:val="clear" w:color="auto" w:fill="auto"/>
        </w:rPr>
        <w:t>3.3 阶段3：成果展示与总结——从“呈现”到“决策”</w:t>
      </w:r>
    </w:p>
    <w:p>
      <w:pPr>
        <w:widowControl/>
        <w:spacing w:before="100" w:beforeAutospacing="1" w:after="100" w:afterAutospacing="1"/>
        <w:rPr>
          <w:rFonts w:hint="eastAsia" w:cs="宋体"/>
          <w:bCs w:val="0"/>
          <w:kern w:val="0"/>
          <w:shd w:val="clear" w:color="auto" w:fill="auto"/>
        </w:rPr>
      </w:pPr>
      <w:r>
        <w:rPr>
          <w:rFonts w:cs="宋体"/>
          <w:bCs w:val="0"/>
          <w:kern w:val="0"/>
          <w:shd w:val="clear" w:color="auto" w:fill="auto"/>
        </w:rPr>
        <w:t>在成果展示环节，每个小组制作PPT进行汇报</w:t>
      </w:r>
      <w:r>
        <w:rPr>
          <w:vertAlign w:val="superscript"/>
        </w:rPr>
        <w:t>[</w:t>
      </w:r>
      <w:r>
        <w:rPr>
          <w:rFonts w:hint="eastAsia"/>
          <w:vertAlign w:val="superscript"/>
        </w:rPr>
        <w:t>5</w:t>
      </w:r>
      <w:r>
        <w:rPr>
          <w:vertAlign w:val="superscript"/>
        </w:rPr>
        <w:t>]</w:t>
      </w:r>
      <w:r>
        <w:rPr>
          <w:rFonts w:cs="宋体"/>
          <w:bCs w:val="0"/>
          <w:kern w:val="0"/>
          <w:shd w:val="clear" w:color="auto" w:fill="auto"/>
        </w:rPr>
        <w:t>，展示所设计的营养午餐食谱及其分析过程。学生需清晰表达思考过程，包括如何收集数据、如何进行营养计算、如何平衡营养和成本等问题。</w:t>
      </w:r>
    </w:p>
    <w:p>
      <w:pPr>
        <w:widowControl/>
        <w:spacing w:before="100" w:beforeAutospacing="1" w:after="100" w:afterAutospacing="1"/>
        <w:ind w:firstLine="0" w:firstLineChars="0"/>
        <w:rPr>
          <w:rFonts w:hint="eastAsia" w:cs="宋体"/>
          <w:bCs w:val="0"/>
          <w:kern w:val="0"/>
          <w:shd w:val="clear" w:color="auto" w:fill="auto"/>
        </w:rPr>
      </w:pPr>
      <w:r>
        <w:rPr>
          <w:rFonts w:cs="宋体"/>
          <w:bCs w:val="0"/>
          <w:kern w:val="0"/>
          <w:shd w:val="clear" w:color="auto" w:fill="auto"/>
        </w:rPr>
        <w:t>表1 A组营养午餐食谱设计成果展示</w:t>
      </w:r>
    </w:p>
    <w:tbl>
      <w:tblPr>
        <w:tblStyle w:val="13"/>
        <w:tblW w:w="0" w:type="auto"/>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682"/>
        <w:gridCol w:w="407"/>
        <w:gridCol w:w="1507"/>
        <w:gridCol w:w="1080"/>
        <w:gridCol w:w="942"/>
        <w:gridCol w:w="856"/>
        <w:gridCol w:w="1162"/>
        <w:gridCol w:w="17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blCellSpacing w:w="15" w:type="dxa"/>
        </w:trPr>
        <w:tc>
          <w:tcPr>
            <w:tcW w:w="0" w:type="auto"/>
            <w:vAlign w:val="center"/>
          </w:tcPr>
          <w:p>
            <w:pPr>
              <w:widowControl/>
              <w:ind w:firstLine="0" w:firstLineChars="0"/>
              <w:jc w:val="center"/>
              <w:rPr>
                <w:rFonts w:hint="eastAsia" w:cs="宋体"/>
                <w:b/>
                <w:kern w:val="0"/>
                <w:shd w:val="clear" w:color="auto" w:fill="auto"/>
              </w:rPr>
            </w:pPr>
            <w:r>
              <w:rPr>
                <w:rFonts w:cs="宋体"/>
                <w:b/>
                <w:kern w:val="0"/>
                <w:shd w:val="clear" w:color="auto" w:fill="auto"/>
              </w:rPr>
              <w:t>年龄段</w:t>
            </w:r>
          </w:p>
        </w:tc>
        <w:tc>
          <w:tcPr>
            <w:tcW w:w="0" w:type="auto"/>
            <w:vAlign w:val="center"/>
          </w:tcPr>
          <w:p>
            <w:pPr>
              <w:widowControl/>
              <w:ind w:firstLine="0" w:firstLineChars="0"/>
              <w:jc w:val="center"/>
              <w:rPr>
                <w:rFonts w:hint="eastAsia" w:cs="宋体"/>
                <w:b/>
                <w:kern w:val="0"/>
                <w:shd w:val="clear" w:color="auto" w:fill="auto"/>
              </w:rPr>
            </w:pPr>
            <w:r>
              <w:rPr>
                <w:rFonts w:cs="宋体"/>
                <w:b/>
                <w:kern w:val="0"/>
                <w:shd w:val="clear" w:color="auto" w:fill="auto"/>
              </w:rPr>
              <w:t>性别</w:t>
            </w:r>
          </w:p>
        </w:tc>
        <w:tc>
          <w:tcPr>
            <w:tcW w:w="0" w:type="auto"/>
            <w:vAlign w:val="center"/>
          </w:tcPr>
          <w:p>
            <w:pPr>
              <w:widowControl/>
              <w:ind w:firstLine="0" w:firstLineChars="0"/>
              <w:jc w:val="center"/>
              <w:rPr>
                <w:rFonts w:hint="eastAsia" w:cs="宋体"/>
                <w:b/>
                <w:kern w:val="0"/>
                <w:shd w:val="clear" w:color="auto" w:fill="auto"/>
              </w:rPr>
            </w:pPr>
            <w:r>
              <w:rPr>
                <w:rFonts w:cs="宋体"/>
                <w:b/>
                <w:kern w:val="0"/>
                <w:shd w:val="clear" w:color="auto" w:fill="auto"/>
              </w:rPr>
              <w:t>活动量（千卡/日）</w:t>
            </w:r>
          </w:p>
        </w:tc>
        <w:tc>
          <w:tcPr>
            <w:tcW w:w="0" w:type="auto"/>
            <w:vAlign w:val="center"/>
          </w:tcPr>
          <w:p>
            <w:pPr>
              <w:widowControl/>
              <w:ind w:firstLine="0" w:firstLineChars="0"/>
              <w:jc w:val="center"/>
              <w:rPr>
                <w:rFonts w:hint="eastAsia" w:cs="宋体"/>
                <w:b/>
                <w:kern w:val="0"/>
                <w:shd w:val="clear" w:color="auto" w:fill="auto"/>
              </w:rPr>
            </w:pPr>
            <w:r>
              <w:rPr>
                <w:rFonts w:cs="宋体"/>
                <w:b/>
                <w:kern w:val="0"/>
                <w:shd w:val="clear" w:color="auto" w:fill="auto"/>
              </w:rPr>
              <w:t>推荐热量（千卡）</w:t>
            </w:r>
          </w:p>
        </w:tc>
        <w:tc>
          <w:tcPr>
            <w:tcW w:w="0" w:type="auto"/>
            <w:vAlign w:val="center"/>
          </w:tcPr>
          <w:p>
            <w:pPr>
              <w:widowControl/>
              <w:ind w:firstLine="0" w:firstLineChars="0"/>
              <w:jc w:val="center"/>
              <w:rPr>
                <w:rFonts w:hint="eastAsia" w:cs="宋体"/>
                <w:b/>
                <w:kern w:val="0"/>
                <w:shd w:val="clear" w:color="auto" w:fill="auto"/>
              </w:rPr>
            </w:pPr>
            <w:r>
              <w:rPr>
                <w:rFonts w:cs="宋体"/>
                <w:b/>
                <w:kern w:val="0"/>
                <w:shd w:val="clear" w:color="auto" w:fill="auto"/>
              </w:rPr>
              <w:t>蛋白质（g）</w:t>
            </w:r>
          </w:p>
        </w:tc>
        <w:tc>
          <w:tcPr>
            <w:tcW w:w="0" w:type="auto"/>
            <w:vAlign w:val="center"/>
          </w:tcPr>
          <w:p>
            <w:pPr>
              <w:widowControl/>
              <w:ind w:firstLine="0" w:firstLineChars="0"/>
              <w:jc w:val="center"/>
              <w:rPr>
                <w:rFonts w:hint="eastAsia" w:cs="宋体"/>
                <w:b/>
                <w:kern w:val="0"/>
                <w:shd w:val="clear" w:color="auto" w:fill="auto"/>
              </w:rPr>
            </w:pPr>
            <w:r>
              <w:rPr>
                <w:rFonts w:cs="宋体"/>
                <w:b/>
                <w:kern w:val="0"/>
                <w:shd w:val="clear" w:color="auto" w:fill="auto"/>
              </w:rPr>
              <w:t>脂肪（g）</w:t>
            </w:r>
          </w:p>
        </w:tc>
        <w:tc>
          <w:tcPr>
            <w:tcW w:w="0" w:type="auto"/>
            <w:vAlign w:val="center"/>
          </w:tcPr>
          <w:p>
            <w:pPr>
              <w:widowControl/>
              <w:ind w:firstLine="0" w:firstLineChars="0"/>
              <w:jc w:val="center"/>
              <w:rPr>
                <w:rFonts w:hint="eastAsia" w:cs="宋体"/>
                <w:b/>
                <w:kern w:val="0"/>
                <w:shd w:val="clear" w:color="auto" w:fill="auto"/>
              </w:rPr>
            </w:pPr>
            <w:r>
              <w:rPr>
                <w:rFonts w:cs="宋体"/>
                <w:b/>
                <w:kern w:val="0"/>
                <w:shd w:val="clear" w:color="auto" w:fill="auto"/>
              </w:rPr>
              <w:t>设计亮点</w:t>
            </w:r>
          </w:p>
        </w:tc>
        <w:tc>
          <w:tcPr>
            <w:tcW w:w="0" w:type="auto"/>
            <w:vAlign w:val="center"/>
          </w:tcPr>
          <w:p>
            <w:pPr>
              <w:widowControl/>
              <w:ind w:firstLine="0" w:firstLineChars="0"/>
              <w:jc w:val="center"/>
              <w:rPr>
                <w:rFonts w:hint="eastAsia" w:cs="宋体"/>
                <w:b/>
                <w:kern w:val="0"/>
                <w:shd w:val="clear" w:color="auto" w:fill="auto"/>
              </w:rPr>
            </w:pPr>
            <w:r>
              <w:rPr>
                <w:rFonts w:cs="宋体"/>
                <w:b/>
                <w:kern w:val="0"/>
                <w:shd w:val="clear" w:color="auto" w:fill="auto"/>
              </w:rPr>
              <w:t>膳食示例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6-8岁</w:t>
            </w:r>
          </w:p>
        </w:tc>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男</w:t>
            </w:r>
          </w:p>
        </w:tc>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1600-1800</w:t>
            </w:r>
          </w:p>
        </w:tc>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1750</w:t>
            </w:r>
          </w:p>
        </w:tc>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45-55</w:t>
            </w:r>
          </w:p>
        </w:tc>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≤50</w:t>
            </w:r>
          </w:p>
        </w:tc>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高钙、膳食纤维补充</w:t>
            </w:r>
          </w:p>
        </w:tc>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全麦三明治、牛奶、胡萝卜沙拉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9-12岁</w:t>
            </w:r>
          </w:p>
        </w:tc>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女</w:t>
            </w:r>
          </w:p>
        </w:tc>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1800-2000</w:t>
            </w:r>
          </w:p>
        </w:tc>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1900</w:t>
            </w:r>
          </w:p>
        </w:tc>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50-60</w:t>
            </w:r>
          </w:p>
        </w:tc>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≤55</w:t>
            </w:r>
          </w:p>
        </w:tc>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铁元素强化、低糖</w:t>
            </w:r>
          </w:p>
        </w:tc>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糙米饭、番茄炖牛肉、菠菜豆腐汤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初中生</w:t>
            </w:r>
          </w:p>
        </w:tc>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男</w:t>
            </w:r>
          </w:p>
        </w:tc>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2200-2400</w:t>
            </w:r>
          </w:p>
        </w:tc>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2300</w:t>
            </w:r>
          </w:p>
        </w:tc>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65-75</w:t>
            </w:r>
          </w:p>
        </w:tc>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≤65</w:t>
            </w:r>
          </w:p>
        </w:tc>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高蛋白、复合碳水</w:t>
            </w:r>
          </w:p>
        </w:tc>
        <w:tc>
          <w:tcPr>
            <w:tcW w:w="0" w:type="auto"/>
            <w:vAlign w:val="center"/>
          </w:tcPr>
          <w:p>
            <w:pPr>
              <w:widowControl/>
              <w:ind w:firstLine="0" w:firstLineChars="0"/>
              <w:rPr>
                <w:rFonts w:hint="eastAsia" w:cs="宋体"/>
                <w:bCs w:val="0"/>
                <w:kern w:val="0"/>
                <w:shd w:val="clear" w:color="auto" w:fill="auto"/>
              </w:rPr>
            </w:pPr>
            <w:r>
              <w:rPr>
                <w:rFonts w:cs="宋体"/>
                <w:bCs w:val="0"/>
                <w:kern w:val="0"/>
                <w:shd w:val="clear" w:color="auto" w:fill="auto"/>
              </w:rPr>
              <w:t>鸡胸肉沙拉、全麦意面、酸奶水果杯</w:t>
            </w:r>
          </w:p>
        </w:tc>
      </w:tr>
    </w:tbl>
    <w:p>
      <w:pPr>
        <w:widowControl/>
        <w:spacing w:before="100" w:beforeAutospacing="1" w:after="100" w:afterAutospacing="1"/>
        <w:rPr>
          <w:rFonts w:hint="eastAsia" w:cs="宋体"/>
          <w:bCs w:val="0"/>
          <w:kern w:val="0"/>
          <w:shd w:val="clear" w:color="auto" w:fill="auto"/>
        </w:rPr>
      </w:pPr>
      <w:r>
        <w:rPr>
          <w:rFonts w:cs="宋体"/>
          <w:bCs w:val="0"/>
          <w:kern w:val="0"/>
          <w:shd w:val="clear" w:color="auto" w:fill="auto"/>
        </w:rPr>
        <w:t>在汇报答辩中，教师引导学生思考：“图表能说明什么问题？能帮助我们做决策吗？”以A组为例，他们用柱状图比较设计食谱与学校现有午餐的热量分布，发现学校午餐热量波动较大，而设计食谱相对平稳。这一对比将图表发现与营养学原理联系起来，使统计图表从“呈现工具”升华为“推理工具”</w:t>
      </w:r>
      <w:r>
        <w:rPr>
          <w:rFonts w:hint="eastAsia" w:cs="宋体"/>
          <w:bCs w:val="0"/>
          <w:kern w:val="0"/>
          <w:shd w:val="clear" w:color="auto" w:fill="auto"/>
        </w:rPr>
        <w:t>。又如，</w:t>
      </w:r>
      <w:r>
        <w:t>哪些部分的数学计算有待加强，哪些方面的营养搭配可以进一步优化等</w:t>
      </w:r>
      <w:r>
        <w:rPr>
          <w:rFonts w:hint="eastAsia"/>
          <w:vertAlign w:val="superscript"/>
        </w:rPr>
        <w:t>[6]</w:t>
      </w:r>
      <w:r>
        <w:t>。</w:t>
      </w:r>
    </w:p>
    <w:p>
      <w:pPr>
        <w:widowControl/>
        <w:spacing w:before="100" w:beforeAutospacing="1" w:after="100" w:afterAutospacing="1"/>
        <w:rPr>
          <w:rFonts w:hint="eastAsia" w:cs="宋体"/>
          <w:bCs w:val="0"/>
          <w:kern w:val="0"/>
          <w:shd w:val="clear" w:color="auto" w:fill="auto"/>
        </w:rPr>
      </w:pPr>
      <w:r>
        <w:rPr>
          <w:rFonts w:cs="宋体"/>
          <w:bCs w:val="0"/>
          <w:kern w:val="0"/>
          <w:shd w:val="clear" w:color="auto" w:fill="auto"/>
        </w:rPr>
        <w:t>另一小组尝试用散点图分析食材成本与蛋白质含量的关系，发现鸡胸肉的单位蛋白质成本高于豆腐，可用豆腐部分替代肉类，在保证营养的同时降低成本。这一尝试体现了学生用数学关系描述现实约束的初步探索。</w:t>
      </w:r>
    </w:p>
    <w:p>
      <w:pPr>
        <w:widowControl/>
        <w:spacing w:before="100" w:beforeAutospacing="1" w:after="100" w:afterAutospacing="1"/>
        <w:ind w:firstLine="0" w:firstLineChars="0"/>
        <w:rPr>
          <w:rFonts w:hint="eastAsia" w:cs="宋体"/>
          <w:bCs w:val="0"/>
          <w:kern w:val="0"/>
          <w:shd w:val="clear" w:color="auto" w:fill="auto"/>
        </w:rPr>
      </w:pPr>
      <w:r>
        <w:rPr>
          <w:rFonts w:cs="宋体"/>
          <w:b/>
          <w:kern w:val="0"/>
          <w:shd w:val="clear" w:color="auto" w:fill="auto"/>
        </w:rPr>
        <w:t>四、教学反思</w:t>
      </w:r>
    </w:p>
    <w:p>
      <w:pPr>
        <w:widowControl/>
        <w:spacing w:before="100" w:beforeAutospacing="1" w:after="100" w:afterAutospacing="1"/>
        <w:ind w:firstLine="0" w:firstLineChars="0"/>
        <w:rPr>
          <w:rFonts w:hint="eastAsia" w:cs="宋体"/>
          <w:bCs w:val="0"/>
          <w:kern w:val="0"/>
          <w:shd w:val="clear" w:color="auto" w:fill="auto"/>
        </w:rPr>
      </w:pPr>
      <w:r>
        <w:rPr>
          <w:rFonts w:cs="宋体"/>
          <w:bCs w:val="0"/>
          <w:kern w:val="0"/>
          <w:shd w:val="clear" w:color="auto" w:fill="auto"/>
        </w:rPr>
        <w:t>4.1 数学思维主线的确立</w:t>
      </w:r>
    </w:p>
    <w:p>
      <w:pPr>
        <w:widowControl/>
        <w:spacing w:before="100" w:beforeAutospacing="1" w:after="100" w:afterAutospacing="1"/>
        <w:rPr>
          <w:rFonts w:hint="eastAsia" w:cs="宋体"/>
          <w:bCs w:val="0"/>
          <w:kern w:val="0"/>
          <w:shd w:val="clear" w:color="auto" w:fill="auto"/>
        </w:rPr>
      </w:pPr>
      <w:r>
        <w:rPr>
          <w:rFonts w:cs="宋体"/>
          <w:bCs w:val="0"/>
          <w:kern w:val="0"/>
          <w:shd w:val="clear" w:color="auto" w:fill="auto"/>
        </w:rPr>
        <w:t>项目化学习的优势在于将抽象数学知识与实际问题联系起来</w:t>
      </w:r>
      <w:r>
        <w:rPr>
          <w:vertAlign w:val="superscript"/>
        </w:rPr>
        <w:t>[</w:t>
      </w:r>
      <w:r>
        <w:rPr>
          <w:rFonts w:hint="eastAsia"/>
          <w:vertAlign w:val="superscript"/>
        </w:rPr>
        <w:t>7</w:t>
      </w:r>
      <w:r>
        <w:rPr>
          <w:vertAlign w:val="superscript"/>
        </w:rPr>
        <w:t>]</w:t>
      </w:r>
      <w:r>
        <w:rPr>
          <w:rFonts w:cs="宋体"/>
          <w:bCs w:val="0"/>
          <w:kern w:val="0"/>
          <w:shd w:val="clear" w:color="auto" w:fill="auto"/>
        </w:rPr>
        <w:t>。但本项目给我们的首要启示是：数学不能仅仅扮演“服务者”角色。如果数学知识只用来计算营养数据、绘制图表，而不参与问题识别、方案设计、决策优化，那么学生获得的仍是“数学工具”而非“数学思维”。真正的数学项目化学习，应让学生在真实问题中经历“数学化”的完整链条——从现实情境抽象出数学问题，建立模型，求解，将结果解释回现实，并对模型合理性进行反思。</w:t>
      </w:r>
    </w:p>
    <w:p>
      <w:pPr>
        <w:widowControl/>
        <w:spacing w:before="100" w:beforeAutospacing="1" w:after="100" w:afterAutospacing="1"/>
        <w:ind w:firstLine="0" w:firstLineChars="0"/>
        <w:rPr>
          <w:rFonts w:hint="eastAsia" w:cs="宋体"/>
          <w:bCs w:val="0"/>
          <w:kern w:val="0"/>
          <w:shd w:val="clear" w:color="auto" w:fill="auto"/>
        </w:rPr>
      </w:pPr>
      <w:r>
        <w:rPr>
          <w:rFonts w:cs="宋体"/>
          <w:bCs w:val="0"/>
          <w:kern w:val="0"/>
          <w:shd w:val="clear" w:color="auto" w:fill="auto"/>
        </w:rPr>
        <w:t>4.2 实施过程中存在的问题</w:t>
      </w:r>
    </w:p>
    <w:p>
      <w:pPr>
        <w:widowControl/>
        <w:spacing w:before="100" w:beforeAutospacing="1" w:after="100" w:afterAutospacing="1"/>
        <w:rPr>
          <w:rFonts w:hint="eastAsia" w:cs="宋体"/>
          <w:bCs w:val="0"/>
          <w:kern w:val="0"/>
          <w:shd w:val="clear" w:color="auto" w:fill="auto"/>
        </w:rPr>
      </w:pPr>
      <w:r>
        <w:rPr>
          <w:rFonts w:cs="宋体"/>
          <w:bCs w:val="0"/>
          <w:kern w:val="0"/>
          <w:shd w:val="clear" w:color="auto" w:fill="auto"/>
        </w:rPr>
        <w:t>尽管项目化学习在提高学生参与度方面取得成效，但实施中也出现一些问题。部分学生对食物营养成分的理解较为薄弱，影响数据收集的准确性；部分学生虽能运用数学方法计算，但对营养学知识掌握不够，难以根据年龄段、性别等因素调整食谱设计，导致食谱个性化不足。这些问题表明，数学思维与学科知识的整合需要更精细的设计。</w:t>
      </w:r>
    </w:p>
    <w:p>
      <w:pPr>
        <w:widowControl/>
        <w:spacing w:before="100" w:beforeAutospacing="1" w:after="100" w:afterAutospacing="1"/>
        <w:ind w:firstLine="0" w:firstLineChars="0"/>
        <w:rPr>
          <w:rFonts w:hint="eastAsia" w:cs="宋体"/>
          <w:bCs w:val="0"/>
          <w:kern w:val="0"/>
          <w:shd w:val="clear" w:color="auto" w:fill="auto"/>
        </w:rPr>
      </w:pPr>
      <w:r>
        <w:rPr>
          <w:rFonts w:cs="宋体"/>
          <w:bCs w:val="0"/>
          <w:kern w:val="0"/>
          <w:shd w:val="clear" w:color="auto" w:fill="auto"/>
        </w:rPr>
        <w:t>4.3 改进方向</w:t>
      </w:r>
    </w:p>
    <w:p>
      <w:pPr>
        <w:widowControl/>
        <w:spacing w:before="100" w:beforeAutospacing="1" w:after="100" w:afterAutospacing="1"/>
        <w:rPr>
          <w:rFonts w:hint="eastAsia" w:cs="宋体"/>
          <w:bCs w:val="0"/>
          <w:kern w:val="0"/>
          <w:shd w:val="clear" w:color="auto" w:fill="auto"/>
        </w:rPr>
      </w:pPr>
      <w:r>
        <w:rPr>
          <w:rFonts w:cs="宋体"/>
          <w:bCs w:val="0"/>
          <w:kern w:val="0"/>
          <w:shd w:val="clear" w:color="auto" w:fill="auto"/>
        </w:rPr>
        <w:t>针对上述问题，未来可从以下方面改进：一是项目开始前加强营养学基础知识讲解，帮助学生理解不同营养素的摄入量要求；二是增加实际案例分析，让学生学会根据不同人群需求调整膳食计划；三是完善评价机制，不仅关注参与度和合作能力，更关注学生的思维过程和问题解决能力。通过定期反馈和反思，帮助学生及时调整设计方案。</w:t>
      </w:r>
    </w:p>
    <w:p>
      <w:pPr>
        <w:widowControl/>
        <w:spacing w:before="100" w:beforeAutospacing="1" w:after="100" w:afterAutospacing="1"/>
        <w:ind w:firstLine="0" w:firstLineChars="0"/>
        <w:rPr>
          <w:rFonts w:hint="eastAsia" w:cs="宋体"/>
          <w:bCs w:val="0"/>
          <w:kern w:val="0"/>
          <w:shd w:val="clear" w:color="auto" w:fill="auto"/>
        </w:rPr>
      </w:pPr>
      <w:r>
        <w:rPr>
          <w:rFonts w:cs="宋体"/>
          <w:b/>
          <w:kern w:val="0"/>
          <w:shd w:val="clear" w:color="auto" w:fill="auto"/>
        </w:rPr>
        <w:t>五、结论</w:t>
      </w:r>
      <w:r>
        <w:rPr>
          <w:rFonts w:hint="eastAsia" w:cs="宋体"/>
          <w:b/>
          <w:kern w:val="0"/>
          <w:shd w:val="clear" w:color="auto" w:fill="auto"/>
        </w:rPr>
        <w:t>与展望</w:t>
      </w:r>
    </w:p>
    <w:p>
      <w:pPr>
        <w:pStyle w:val="36"/>
        <w:ind w:firstLine="480" w:firstLineChars="200"/>
        <w:rPr>
          <w:rFonts w:hint="eastAsia"/>
        </w:rPr>
      </w:pPr>
      <w:r>
        <w:t>本研究以六年级“健康膳食设计”项目为载体，探讨了数学项目化学习中如何凸显数学思维主导作用的问题。研究表明，数学项目化学习的核心不在于“用数学知识做事”，而在于“用数学的方式思考问题”。当学生从“计算营养数据”走向“审视数据前提”，从“绘制统计图表”走向“基于图表推理”，从“应用比例知识”走向“建立换算模型”，其数学思维经历了从工具性使用到反思性建构的跃升。</w:t>
      </w:r>
    </w:p>
    <w:p>
      <w:pPr>
        <w:pStyle w:val="36"/>
        <w:ind w:firstLine="480" w:firstLineChars="200"/>
        <w:rPr>
          <w:rFonts w:hint="eastAsia"/>
        </w:rPr>
      </w:pPr>
      <w:r>
        <w:t>本研究提炼的“问题发现—数学建模—偏差干预—成果优化”教学路径，以及“数据校准”“统计推断”“模型验证”等关键策略，可为初中数学“综合与实践”领域的教学提供参考。这些策略不仅适用于健康膳食设计，也可迁移至“校园垃圾分类统计”“家庭水电费优化”“运动会预算编制”等真实问题情境——其共性在于，都需要学生在现实情境中经历数学化的完整思维过程。</w:t>
      </w:r>
    </w:p>
    <w:p>
      <w:pPr>
        <w:pStyle w:val="36"/>
        <w:ind w:firstLine="480" w:firstLineChars="200"/>
        <w:rPr>
          <w:rFonts w:hint="eastAsia"/>
        </w:rPr>
      </w:pPr>
      <w:r>
        <w:t>本研究也存在一定局限：样本仅限于六年级一个年级，学生数学思维发展的长期效果有待追踪验证；数学素养表现指标的信度和效度仍需进一步检验。后续研究可拓展至七、八年级，探索不同学段数学项目化学习的适配性，如八年级可引入二元一次方程组解决膳食成本优化问题，九年级可尝试用函数模型描述营养素摄入与健康状况的关系。通过持续实践与反思，推动数学教学从“知识传授”向“素养培育”的根本转型。</w:t>
      </w:r>
    </w:p>
    <w:p>
      <w:pPr>
        <w:widowControl/>
        <w:spacing w:before="100" w:beforeAutospacing="1" w:after="100" w:afterAutospacing="1"/>
        <w:ind w:firstLine="0" w:firstLineChars="0"/>
        <w:rPr>
          <w:rFonts w:hint="eastAsia" w:cs="宋体"/>
          <w:bCs w:val="0"/>
          <w:kern w:val="0"/>
          <w:shd w:val="clear" w:color="auto" w:fill="auto"/>
        </w:rPr>
      </w:pPr>
      <w:r>
        <w:rPr>
          <w:rFonts w:cs="宋体"/>
          <w:b/>
          <w:kern w:val="0"/>
          <w:shd w:val="clear" w:color="auto" w:fill="auto"/>
        </w:rPr>
        <w:t>参考文献</w:t>
      </w:r>
    </w:p>
    <w:p>
      <w:pPr>
        <w:rPr>
          <w:rFonts w:hint="eastAsia"/>
        </w:rPr>
      </w:pPr>
      <w:r>
        <w:t>[1] 中华人民共和国教育部。义务教育数学课程标准（2022 年版）[S]. 北京：北京师范大学出版社，2022：45-48.</w:t>
      </w:r>
      <w:r>
        <w:rPr>
          <w:rFonts w:hint="eastAsia"/>
        </w:rPr>
        <w:t xml:space="preserve"> </w:t>
      </w:r>
    </w:p>
    <w:p>
      <w:pPr>
        <w:rPr>
          <w:rFonts w:hint="eastAsia"/>
        </w:rPr>
      </w:pPr>
      <w:r>
        <w:rPr>
          <w:rFonts w:hint="eastAsia"/>
        </w:rPr>
        <w:t>[2]徐丹. 跨学科视野下的初中数学项目化学习——以“一元二次方程”为切入点[J].华夏教师,2025,(12):105-107.DOI:10.16704/j.cnki.hxjs.2025.12.032.</w:t>
      </w:r>
    </w:p>
    <w:p>
      <w:pPr>
        <w:rPr>
          <w:rFonts w:hint="eastAsia"/>
        </w:rPr>
      </w:pPr>
      <w:r>
        <w:rPr>
          <w:rFonts w:hint="eastAsia"/>
        </w:rPr>
        <w:t>[3]刘金花. 项目化学习下小学数学计算教学开展路径[J].华夏教师,2025,(11):63-65.DOI:10.16704/j.cnki.hxjs.2025.11.021.</w:t>
      </w:r>
    </w:p>
    <w:p>
      <w:pPr>
        <w:rPr>
          <w:rFonts w:hint="eastAsia"/>
        </w:rPr>
      </w:pPr>
      <w:r>
        <w:rPr>
          <w:rFonts w:hint="eastAsia"/>
        </w:rPr>
        <w:t>[4]周勇俊. 基于问题解决能力培养的职业院校机电专业数学项目化学习策略研究[J].大学,2025,(08):143-146.</w:t>
      </w:r>
    </w:p>
    <w:p>
      <w:pPr>
        <w:rPr>
          <w:rFonts w:hint="eastAsia"/>
        </w:rPr>
      </w:pPr>
      <w:r>
        <w:rPr>
          <w:rFonts w:hint="eastAsia"/>
        </w:rPr>
        <w:t>[5]尹景忠. 新课标下小学数学项目化学习开展策略[J].亚太教育,2025,(06):93-95.DOI:10.16550/j.cnki.issn.2095-9214.2025.06.030.</w:t>
      </w:r>
    </w:p>
    <w:p>
      <w:pPr>
        <w:rPr>
          <w:rFonts w:hint="eastAsia"/>
        </w:rPr>
      </w:pPr>
      <w:r>
        <w:rPr>
          <w:rFonts w:hint="eastAsia"/>
        </w:rPr>
        <w:t>[6]俞树鹃. 基于项目化学习的小学数学教学策略[J].亚太教育,2025,(05):123-125.DOI:10.16550/j.cnki.issn.2095-9214.2025.05.039.</w:t>
      </w:r>
    </w:p>
    <w:p>
      <w:pPr>
        <w:rPr>
          <w:rFonts w:hint="eastAsia"/>
        </w:rPr>
      </w:pPr>
      <w:r>
        <w:rPr>
          <w:rFonts w:hint="eastAsia"/>
        </w:rPr>
        <w:t>[7]葛清英. 项目化学习在小学数学几何教学中的应用[J].华夏教师,2024,(35):60-62.DOI:10.16704/j.cnki.hxjs.2024.35.010.</w:t>
      </w:r>
    </w:p>
    <w:p>
      <w:pPr>
        <w:rPr>
          <w:rFonts w:hint="eastAsia"/>
        </w:rPr>
      </w:pPr>
    </w:p>
    <w:bookmarkEnd w:id="0"/>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80"/>
      </w:pPr>
      <w:r>
        <w:separator/>
      </w:r>
    </w:p>
  </w:endnote>
  <w:endnote w:type="continuationSeparator" w:id="1">
    <w:p>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Courier New">
    <w:panose1 w:val="02070309020205020404"/>
    <w:charset w:val="00"/>
    <w:family w:val="modern"/>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pPr>
          <w:pStyle w:val="8"/>
          <w:ind w:firstLine="360"/>
          <w:rPr>
            <w:rFonts w:hint="eastAsia"/>
          </w:rPr>
        </w:pPr>
        <w:r>
          <w:fldChar w:fldCharType="begin"/>
        </w:r>
        <w:r>
          <w:instrText xml:space="preserve">PAGE   \* MERGEFORMAT</w:instrText>
        </w:r>
        <w:r>
          <w:fldChar w:fldCharType="separate"/>
        </w:r>
        <w:r>
          <w:rPr>
            <w:lang w:val="zh-CN"/>
          </w:rPr>
          <w:t>3</w:t>
        </w:r>
        <w:r>
          <w:fldChar w:fldCharType="end"/>
        </w:r>
      </w:p>
    </w:sdtContent>
  </w:sdt>
  <w:p>
    <w:pPr>
      <w:pStyle w:val="8"/>
      <w:ind w:firstLine="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480"/>
      </w:pPr>
      <w:r>
        <w:separator/>
      </w:r>
    </w:p>
  </w:footnote>
  <w:footnote w:type="continuationSeparator" w:id="1">
    <w:p>
      <w:pPr>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EB5DBE"/>
    <w:multiLevelType w:val="multilevel"/>
    <w:tmpl w:val="13EB5DBE"/>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7A73533E"/>
    <w:multiLevelType w:val="multilevel"/>
    <w:tmpl w:val="7A73533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20"/>
  <w:drawingGridVerticalSpacing w:val="163"/>
  <w:displayHorizontalDrawingGridEvery w:val="2"/>
  <w:displayVertic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IxNWVlMmNiNTAyNjNmZDk0Zjk3MjJjY2U4M2QyOWYifQ=="/>
  </w:docVars>
  <w:rsids>
    <w:rsidRoot w:val="007E7214"/>
    <w:rsid w:val="000037DF"/>
    <w:rsid w:val="00007E1F"/>
    <w:rsid w:val="00014840"/>
    <w:rsid w:val="00016766"/>
    <w:rsid w:val="00016775"/>
    <w:rsid w:val="000167AA"/>
    <w:rsid w:val="00022992"/>
    <w:rsid w:val="0002474C"/>
    <w:rsid w:val="000374A2"/>
    <w:rsid w:val="0004154C"/>
    <w:rsid w:val="00050234"/>
    <w:rsid w:val="00053EEF"/>
    <w:rsid w:val="0005445D"/>
    <w:rsid w:val="0005508E"/>
    <w:rsid w:val="000700D0"/>
    <w:rsid w:val="000837BF"/>
    <w:rsid w:val="00083AC2"/>
    <w:rsid w:val="000907DD"/>
    <w:rsid w:val="00090D85"/>
    <w:rsid w:val="0009415E"/>
    <w:rsid w:val="000A35A4"/>
    <w:rsid w:val="000A66FC"/>
    <w:rsid w:val="000B21A8"/>
    <w:rsid w:val="000B4573"/>
    <w:rsid w:val="000B4FC7"/>
    <w:rsid w:val="000D0A12"/>
    <w:rsid w:val="000D6AE7"/>
    <w:rsid w:val="000D7FFD"/>
    <w:rsid w:val="001070EE"/>
    <w:rsid w:val="00112775"/>
    <w:rsid w:val="00114729"/>
    <w:rsid w:val="001153C1"/>
    <w:rsid w:val="001304DF"/>
    <w:rsid w:val="00140DF4"/>
    <w:rsid w:val="00150122"/>
    <w:rsid w:val="0015218A"/>
    <w:rsid w:val="00163BCA"/>
    <w:rsid w:val="00166018"/>
    <w:rsid w:val="001674E7"/>
    <w:rsid w:val="00186A65"/>
    <w:rsid w:val="001955D3"/>
    <w:rsid w:val="001B1B2E"/>
    <w:rsid w:val="001C23E0"/>
    <w:rsid w:val="001C2D5B"/>
    <w:rsid w:val="001D41F1"/>
    <w:rsid w:val="001F0890"/>
    <w:rsid w:val="001F2277"/>
    <w:rsid w:val="0020585A"/>
    <w:rsid w:val="002076F1"/>
    <w:rsid w:val="00210C18"/>
    <w:rsid w:val="002209AC"/>
    <w:rsid w:val="00221876"/>
    <w:rsid w:val="00232D8A"/>
    <w:rsid w:val="00242D0D"/>
    <w:rsid w:val="00250303"/>
    <w:rsid w:val="00254FF1"/>
    <w:rsid w:val="00265B65"/>
    <w:rsid w:val="002664BA"/>
    <w:rsid w:val="002713A1"/>
    <w:rsid w:val="00277BCE"/>
    <w:rsid w:val="0028082C"/>
    <w:rsid w:val="0029227B"/>
    <w:rsid w:val="00295E2D"/>
    <w:rsid w:val="00297AAA"/>
    <w:rsid w:val="002B5029"/>
    <w:rsid w:val="002B693A"/>
    <w:rsid w:val="002B798C"/>
    <w:rsid w:val="002C26DA"/>
    <w:rsid w:val="002D4413"/>
    <w:rsid w:val="002E218B"/>
    <w:rsid w:val="002E7E75"/>
    <w:rsid w:val="002F1DCF"/>
    <w:rsid w:val="00300BF4"/>
    <w:rsid w:val="00302E40"/>
    <w:rsid w:val="003036F3"/>
    <w:rsid w:val="00310CF3"/>
    <w:rsid w:val="00313674"/>
    <w:rsid w:val="00313A20"/>
    <w:rsid w:val="00321AF7"/>
    <w:rsid w:val="00334BF0"/>
    <w:rsid w:val="00335703"/>
    <w:rsid w:val="00340743"/>
    <w:rsid w:val="00343069"/>
    <w:rsid w:val="00350E0C"/>
    <w:rsid w:val="00353E26"/>
    <w:rsid w:val="003727B9"/>
    <w:rsid w:val="00385814"/>
    <w:rsid w:val="003A6E74"/>
    <w:rsid w:val="003A70D0"/>
    <w:rsid w:val="003D1939"/>
    <w:rsid w:val="003D73DE"/>
    <w:rsid w:val="003E133B"/>
    <w:rsid w:val="003E3B94"/>
    <w:rsid w:val="003F7C6D"/>
    <w:rsid w:val="00407734"/>
    <w:rsid w:val="00416C7E"/>
    <w:rsid w:val="00422AE7"/>
    <w:rsid w:val="00425C1D"/>
    <w:rsid w:val="00447F20"/>
    <w:rsid w:val="004514F3"/>
    <w:rsid w:val="004625E0"/>
    <w:rsid w:val="00467C8F"/>
    <w:rsid w:val="00474065"/>
    <w:rsid w:val="004846D5"/>
    <w:rsid w:val="00492193"/>
    <w:rsid w:val="00493910"/>
    <w:rsid w:val="00497545"/>
    <w:rsid w:val="004A2F27"/>
    <w:rsid w:val="004A4645"/>
    <w:rsid w:val="004B5121"/>
    <w:rsid w:val="004C12D3"/>
    <w:rsid w:val="004C7F1B"/>
    <w:rsid w:val="004D0A9D"/>
    <w:rsid w:val="004E0919"/>
    <w:rsid w:val="004E58F5"/>
    <w:rsid w:val="004F2F63"/>
    <w:rsid w:val="004F63BE"/>
    <w:rsid w:val="00514EF3"/>
    <w:rsid w:val="00515581"/>
    <w:rsid w:val="00516AD3"/>
    <w:rsid w:val="00530EC5"/>
    <w:rsid w:val="005435F1"/>
    <w:rsid w:val="005547DB"/>
    <w:rsid w:val="00576390"/>
    <w:rsid w:val="00585BB0"/>
    <w:rsid w:val="00587116"/>
    <w:rsid w:val="005A7DF1"/>
    <w:rsid w:val="005C4006"/>
    <w:rsid w:val="005C7B5D"/>
    <w:rsid w:val="005E6204"/>
    <w:rsid w:val="005E6462"/>
    <w:rsid w:val="005F6A4D"/>
    <w:rsid w:val="00601E1A"/>
    <w:rsid w:val="00602C25"/>
    <w:rsid w:val="00602EEC"/>
    <w:rsid w:val="00607D75"/>
    <w:rsid w:val="0061080E"/>
    <w:rsid w:val="00617AF8"/>
    <w:rsid w:val="00617B9C"/>
    <w:rsid w:val="006213D3"/>
    <w:rsid w:val="006334F0"/>
    <w:rsid w:val="006464C0"/>
    <w:rsid w:val="00651F6E"/>
    <w:rsid w:val="006651F8"/>
    <w:rsid w:val="006669B2"/>
    <w:rsid w:val="00687825"/>
    <w:rsid w:val="006879F5"/>
    <w:rsid w:val="0069177B"/>
    <w:rsid w:val="006B244C"/>
    <w:rsid w:val="006B452A"/>
    <w:rsid w:val="006C46CD"/>
    <w:rsid w:val="006E0DFA"/>
    <w:rsid w:val="0070520E"/>
    <w:rsid w:val="00710388"/>
    <w:rsid w:val="00722BC7"/>
    <w:rsid w:val="007244E4"/>
    <w:rsid w:val="00730427"/>
    <w:rsid w:val="007310CD"/>
    <w:rsid w:val="00764E8D"/>
    <w:rsid w:val="00772220"/>
    <w:rsid w:val="00784E9F"/>
    <w:rsid w:val="00797A81"/>
    <w:rsid w:val="007B1EE6"/>
    <w:rsid w:val="007B56CE"/>
    <w:rsid w:val="007D123B"/>
    <w:rsid w:val="007D1A33"/>
    <w:rsid w:val="007D32E4"/>
    <w:rsid w:val="007E1B9C"/>
    <w:rsid w:val="007E7214"/>
    <w:rsid w:val="007F246B"/>
    <w:rsid w:val="007F50F1"/>
    <w:rsid w:val="00804115"/>
    <w:rsid w:val="008134E1"/>
    <w:rsid w:val="00821D7A"/>
    <w:rsid w:val="00825F4F"/>
    <w:rsid w:val="00831260"/>
    <w:rsid w:val="008325F8"/>
    <w:rsid w:val="0083459C"/>
    <w:rsid w:val="00837D34"/>
    <w:rsid w:val="0085434A"/>
    <w:rsid w:val="008641AA"/>
    <w:rsid w:val="008723A0"/>
    <w:rsid w:val="00872F6D"/>
    <w:rsid w:val="00873199"/>
    <w:rsid w:val="008907B4"/>
    <w:rsid w:val="0089366E"/>
    <w:rsid w:val="008936B8"/>
    <w:rsid w:val="008A0019"/>
    <w:rsid w:val="008A6043"/>
    <w:rsid w:val="008B21C3"/>
    <w:rsid w:val="008C6765"/>
    <w:rsid w:val="008D10A7"/>
    <w:rsid w:val="008F1433"/>
    <w:rsid w:val="008F6403"/>
    <w:rsid w:val="009057EB"/>
    <w:rsid w:val="00906AF5"/>
    <w:rsid w:val="009135AF"/>
    <w:rsid w:val="00927682"/>
    <w:rsid w:val="00930FE3"/>
    <w:rsid w:val="00932795"/>
    <w:rsid w:val="00933275"/>
    <w:rsid w:val="0093447D"/>
    <w:rsid w:val="00947F12"/>
    <w:rsid w:val="0095497D"/>
    <w:rsid w:val="009555AE"/>
    <w:rsid w:val="00961700"/>
    <w:rsid w:val="0096677A"/>
    <w:rsid w:val="00967070"/>
    <w:rsid w:val="00974B2C"/>
    <w:rsid w:val="0098093B"/>
    <w:rsid w:val="00984243"/>
    <w:rsid w:val="00986193"/>
    <w:rsid w:val="00992E36"/>
    <w:rsid w:val="009A31EF"/>
    <w:rsid w:val="009B4C13"/>
    <w:rsid w:val="009C407D"/>
    <w:rsid w:val="009D1EA6"/>
    <w:rsid w:val="009D56D4"/>
    <w:rsid w:val="009D7F25"/>
    <w:rsid w:val="009E00C1"/>
    <w:rsid w:val="009E0EC7"/>
    <w:rsid w:val="009E6A84"/>
    <w:rsid w:val="009F38AD"/>
    <w:rsid w:val="00A110DF"/>
    <w:rsid w:val="00A15B63"/>
    <w:rsid w:val="00A168C4"/>
    <w:rsid w:val="00A169B0"/>
    <w:rsid w:val="00A32F6E"/>
    <w:rsid w:val="00A4252D"/>
    <w:rsid w:val="00A57267"/>
    <w:rsid w:val="00A57ABF"/>
    <w:rsid w:val="00A64945"/>
    <w:rsid w:val="00AA0693"/>
    <w:rsid w:val="00AA2E99"/>
    <w:rsid w:val="00AB0947"/>
    <w:rsid w:val="00AB52D5"/>
    <w:rsid w:val="00AC57C4"/>
    <w:rsid w:val="00AC71E6"/>
    <w:rsid w:val="00AD6526"/>
    <w:rsid w:val="00AD6AC8"/>
    <w:rsid w:val="00AF202E"/>
    <w:rsid w:val="00B06FF6"/>
    <w:rsid w:val="00B07B6D"/>
    <w:rsid w:val="00B119B5"/>
    <w:rsid w:val="00B247C3"/>
    <w:rsid w:val="00B24C0F"/>
    <w:rsid w:val="00B25834"/>
    <w:rsid w:val="00B32AE1"/>
    <w:rsid w:val="00B32D37"/>
    <w:rsid w:val="00B44974"/>
    <w:rsid w:val="00B468BE"/>
    <w:rsid w:val="00B875A4"/>
    <w:rsid w:val="00B91925"/>
    <w:rsid w:val="00B91CC7"/>
    <w:rsid w:val="00B9372B"/>
    <w:rsid w:val="00BA3685"/>
    <w:rsid w:val="00BA4062"/>
    <w:rsid w:val="00BB3704"/>
    <w:rsid w:val="00BB559E"/>
    <w:rsid w:val="00BC16A8"/>
    <w:rsid w:val="00BC2594"/>
    <w:rsid w:val="00BD7EA5"/>
    <w:rsid w:val="00BE02CE"/>
    <w:rsid w:val="00BF0A82"/>
    <w:rsid w:val="00BF449A"/>
    <w:rsid w:val="00BF6C1D"/>
    <w:rsid w:val="00C014B1"/>
    <w:rsid w:val="00C0617D"/>
    <w:rsid w:val="00C12414"/>
    <w:rsid w:val="00C16021"/>
    <w:rsid w:val="00C20384"/>
    <w:rsid w:val="00C22037"/>
    <w:rsid w:val="00C25DC3"/>
    <w:rsid w:val="00C35C3F"/>
    <w:rsid w:val="00C4107D"/>
    <w:rsid w:val="00C429AB"/>
    <w:rsid w:val="00C43565"/>
    <w:rsid w:val="00C45C9C"/>
    <w:rsid w:val="00C53FB8"/>
    <w:rsid w:val="00C54946"/>
    <w:rsid w:val="00C564F3"/>
    <w:rsid w:val="00C62C57"/>
    <w:rsid w:val="00C64F6C"/>
    <w:rsid w:val="00C745E4"/>
    <w:rsid w:val="00C7751F"/>
    <w:rsid w:val="00C833B4"/>
    <w:rsid w:val="00C85A18"/>
    <w:rsid w:val="00C96C16"/>
    <w:rsid w:val="00CA0923"/>
    <w:rsid w:val="00CA6052"/>
    <w:rsid w:val="00CB1AC3"/>
    <w:rsid w:val="00CC2E24"/>
    <w:rsid w:val="00CC69B4"/>
    <w:rsid w:val="00CC7B72"/>
    <w:rsid w:val="00CD716B"/>
    <w:rsid w:val="00CE7CD6"/>
    <w:rsid w:val="00CF2DB3"/>
    <w:rsid w:val="00CF3DCF"/>
    <w:rsid w:val="00D04B6C"/>
    <w:rsid w:val="00D20D64"/>
    <w:rsid w:val="00D24375"/>
    <w:rsid w:val="00D27F08"/>
    <w:rsid w:val="00D3587C"/>
    <w:rsid w:val="00D44274"/>
    <w:rsid w:val="00D474B2"/>
    <w:rsid w:val="00D500EE"/>
    <w:rsid w:val="00D5059F"/>
    <w:rsid w:val="00D50D96"/>
    <w:rsid w:val="00D56B32"/>
    <w:rsid w:val="00D65B6E"/>
    <w:rsid w:val="00D71FDB"/>
    <w:rsid w:val="00D74ADC"/>
    <w:rsid w:val="00D769D7"/>
    <w:rsid w:val="00D84476"/>
    <w:rsid w:val="00D84F4C"/>
    <w:rsid w:val="00D85340"/>
    <w:rsid w:val="00D90C8A"/>
    <w:rsid w:val="00D9593A"/>
    <w:rsid w:val="00DA7A65"/>
    <w:rsid w:val="00DB0A41"/>
    <w:rsid w:val="00DB74DF"/>
    <w:rsid w:val="00DE45AE"/>
    <w:rsid w:val="00DE4B77"/>
    <w:rsid w:val="00E00EFA"/>
    <w:rsid w:val="00E10D25"/>
    <w:rsid w:val="00E12335"/>
    <w:rsid w:val="00E33611"/>
    <w:rsid w:val="00E33A8E"/>
    <w:rsid w:val="00E34380"/>
    <w:rsid w:val="00E4275A"/>
    <w:rsid w:val="00E44C6C"/>
    <w:rsid w:val="00E50C33"/>
    <w:rsid w:val="00E610C1"/>
    <w:rsid w:val="00E66A4F"/>
    <w:rsid w:val="00E81DD8"/>
    <w:rsid w:val="00E821CB"/>
    <w:rsid w:val="00E902F7"/>
    <w:rsid w:val="00E90408"/>
    <w:rsid w:val="00E94751"/>
    <w:rsid w:val="00EA14FB"/>
    <w:rsid w:val="00EB2423"/>
    <w:rsid w:val="00EB4E15"/>
    <w:rsid w:val="00ED3E7F"/>
    <w:rsid w:val="00EE0DEC"/>
    <w:rsid w:val="00EE2BE8"/>
    <w:rsid w:val="00EE65BE"/>
    <w:rsid w:val="00F05B23"/>
    <w:rsid w:val="00F074EB"/>
    <w:rsid w:val="00F160C7"/>
    <w:rsid w:val="00F17409"/>
    <w:rsid w:val="00F2344B"/>
    <w:rsid w:val="00F331EC"/>
    <w:rsid w:val="00F42718"/>
    <w:rsid w:val="00F61067"/>
    <w:rsid w:val="00F61B40"/>
    <w:rsid w:val="00F6756D"/>
    <w:rsid w:val="00F75DD8"/>
    <w:rsid w:val="00F76ED3"/>
    <w:rsid w:val="00F81382"/>
    <w:rsid w:val="00F902D8"/>
    <w:rsid w:val="00F9179A"/>
    <w:rsid w:val="00FA74AD"/>
    <w:rsid w:val="00FB2F9B"/>
    <w:rsid w:val="00FB7FD7"/>
    <w:rsid w:val="00FC5DE7"/>
    <w:rsid w:val="00FE08CB"/>
    <w:rsid w:val="00FE7EFF"/>
    <w:rsid w:val="00FF7525"/>
    <w:rsid w:val="00FF7EB9"/>
    <w:rsid w:val="010D427B"/>
    <w:rsid w:val="014A53DC"/>
    <w:rsid w:val="01883901"/>
    <w:rsid w:val="01FD77EB"/>
    <w:rsid w:val="020C4FC1"/>
    <w:rsid w:val="0248250C"/>
    <w:rsid w:val="025A34EF"/>
    <w:rsid w:val="02B5633E"/>
    <w:rsid w:val="02D768EE"/>
    <w:rsid w:val="02E47282"/>
    <w:rsid w:val="02E55A6E"/>
    <w:rsid w:val="0317318F"/>
    <w:rsid w:val="032A3A2D"/>
    <w:rsid w:val="03362BDF"/>
    <w:rsid w:val="03511BC1"/>
    <w:rsid w:val="03A762C0"/>
    <w:rsid w:val="03B978B9"/>
    <w:rsid w:val="03F604D2"/>
    <w:rsid w:val="03F72BEF"/>
    <w:rsid w:val="03FA455B"/>
    <w:rsid w:val="03FD4132"/>
    <w:rsid w:val="044004C3"/>
    <w:rsid w:val="045F530E"/>
    <w:rsid w:val="0462333A"/>
    <w:rsid w:val="04671EF4"/>
    <w:rsid w:val="047D1717"/>
    <w:rsid w:val="048830F0"/>
    <w:rsid w:val="04B87228"/>
    <w:rsid w:val="04C76BFF"/>
    <w:rsid w:val="057202B8"/>
    <w:rsid w:val="05876E53"/>
    <w:rsid w:val="05CA44E8"/>
    <w:rsid w:val="05CF5FA2"/>
    <w:rsid w:val="05F44493"/>
    <w:rsid w:val="05F92E4A"/>
    <w:rsid w:val="06510766"/>
    <w:rsid w:val="065B4ADB"/>
    <w:rsid w:val="06A82FB1"/>
    <w:rsid w:val="06BA455D"/>
    <w:rsid w:val="06C86354"/>
    <w:rsid w:val="06D82577"/>
    <w:rsid w:val="071A04B6"/>
    <w:rsid w:val="07784792"/>
    <w:rsid w:val="077F5E2D"/>
    <w:rsid w:val="082F642E"/>
    <w:rsid w:val="08661C8A"/>
    <w:rsid w:val="086F1377"/>
    <w:rsid w:val="0877244E"/>
    <w:rsid w:val="089F7EAE"/>
    <w:rsid w:val="08A42AEE"/>
    <w:rsid w:val="08C22170"/>
    <w:rsid w:val="09574F20"/>
    <w:rsid w:val="0983157E"/>
    <w:rsid w:val="099E1F14"/>
    <w:rsid w:val="09AE4A14"/>
    <w:rsid w:val="09BB3B3A"/>
    <w:rsid w:val="09D26D54"/>
    <w:rsid w:val="09D75426"/>
    <w:rsid w:val="09E35987"/>
    <w:rsid w:val="09EB6F85"/>
    <w:rsid w:val="09F064E7"/>
    <w:rsid w:val="0A03621B"/>
    <w:rsid w:val="0A520FF1"/>
    <w:rsid w:val="0A7809B7"/>
    <w:rsid w:val="0ACD0482"/>
    <w:rsid w:val="0B0C1019"/>
    <w:rsid w:val="0B113ED2"/>
    <w:rsid w:val="0B371622"/>
    <w:rsid w:val="0B43789A"/>
    <w:rsid w:val="0B5C6F1B"/>
    <w:rsid w:val="0B630800"/>
    <w:rsid w:val="0B70168E"/>
    <w:rsid w:val="0B872FA8"/>
    <w:rsid w:val="0B9F3D21"/>
    <w:rsid w:val="0BA60FB7"/>
    <w:rsid w:val="0BD7795F"/>
    <w:rsid w:val="0C26275C"/>
    <w:rsid w:val="0C281F69"/>
    <w:rsid w:val="0C700226"/>
    <w:rsid w:val="0C791E53"/>
    <w:rsid w:val="0CA97502"/>
    <w:rsid w:val="0CB12CE7"/>
    <w:rsid w:val="0CB674B0"/>
    <w:rsid w:val="0D330BC5"/>
    <w:rsid w:val="0D336171"/>
    <w:rsid w:val="0D643F6D"/>
    <w:rsid w:val="0DD8176C"/>
    <w:rsid w:val="0DD82AA1"/>
    <w:rsid w:val="0E1951A0"/>
    <w:rsid w:val="0E230D15"/>
    <w:rsid w:val="0E680D42"/>
    <w:rsid w:val="0E686BF6"/>
    <w:rsid w:val="0EC37EEE"/>
    <w:rsid w:val="0ED939EE"/>
    <w:rsid w:val="0F07055B"/>
    <w:rsid w:val="0F36061F"/>
    <w:rsid w:val="0F4D7E05"/>
    <w:rsid w:val="0F7A2B0B"/>
    <w:rsid w:val="0F9123D3"/>
    <w:rsid w:val="0F9B4531"/>
    <w:rsid w:val="0FC47DD6"/>
    <w:rsid w:val="0FF56606"/>
    <w:rsid w:val="102962AF"/>
    <w:rsid w:val="10797070"/>
    <w:rsid w:val="108A1444"/>
    <w:rsid w:val="109202F8"/>
    <w:rsid w:val="10CD7880"/>
    <w:rsid w:val="11251530"/>
    <w:rsid w:val="11367D9E"/>
    <w:rsid w:val="11912DA2"/>
    <w:rsid w:val="11951E4E"/>
    <w:rsid w:val="11A93C63"/>
    <w:rsid w:val="11F07497"/>
    <w:rsid w:val="12BE3627"/>
    <w:rsid w:val="12BF111A"/>
    <w:rsid w:val="12C56763"/>
    <w:rsid w:val="12F540BE"/>
    <w:rsid w:val="130D1EB8"/>
    <w:rsid w:val="131015F2"/>
    <w:rsid w:val="13395A68"/>
    <w:rsid w:val="136A10B9"/>
    <w:rsid w:val="136C3083"/>
    <w:rsid w:val="13CC122C"/>
    <w:rsid w:val="14100781"/>
    <w:rsid w:val="143F42F3"/>
    <w:rsid w:val="1444190A"/>
    <w:rsid w:val="14502BC4"/>
    <w:rsid w:val="1453745E"/>
    <w:rsid w:val="14B60A78"/>
    <w:rsid w:val="14E23E06"/>
    <w:rsid w:val="14F7697C"/>
    <w:rsid w:val="14FB2389"/>
    <w:rsid w:val="15610299"/>
    <w:rsid w:val="15D32F45"/>
    <w:rsid w:val="15F70BD0"/>
    <w:rsid w:val="166E466F"/>
    <w:rsid w:val="16B42396"/>
    <w:rsid w:val="16BF1736"/>
    <w:rsid w:val="16C3162E"/>
    <w:rsid w:val="16ED0036"/>
    <w:rsid w:val="17291356"/>
    <w:rsid w:val="17334B71"/>
    <w:rsid w:val="174A7B06"/>
    <w:rsid w:val="17581019"/>
    <w:rsid w:val="17C20009"/>
    <w:rsid w:val="17DE5CEB"/>
    <w:rsid w:val="17F453F5"/>
    <w:rsid w:val="1800023D"/>
    <w:rsid w:val="18643986"/>
    <w:rsid w:val="18CF4573"/>
    <w:rsid w:val="18D53478"/>
    <w:rsid w:val="18EE0096"/>
    <w:rsid w:val="18F670A9"/>
    <w:rsid w:val="191E6BCD"/>
    <w:rsid w:val="191E724C"/>
    <w:rsid w:val="19A76B2B"/>
    <w:rsid w:val="1A382C36"/>
    <w:rsid w:val="1A7B2A2C"/>
    <w:rsid w:val="1A7D45FE"/>
    <w:rsid w:val="1A7F19BC"/>
    <w:rsid w:val="1A8451EB"/>
    <w:rsid w:val="1ABE49A6"/>
    <w:rsid w:val="1AD250C0"/>
    <w:rsid w:val="1B5763C6"/>
    <w:rsid w:val="1B6F54BE"/>
    <w:rsid w:val="1BBC349B"/>
    <w:rsid w:val="1BF647ED"/>
    <w:rsid w:val="1C0D4CD7"/>
    <w:rsid w:val="1C35306E"/>
    <w:rsid w:val="1C4A3668"/>
    <w:rsid w:val="1C6A30B0"/>
    <w:rsid w:val="1C9F19AA"/>
    <w:rsid w:val="1CDE395C"/>
    <w:rsid w:val="1CE11849"/>
    <w:rsid w:val="1D25067F"/>
    <w:rsid w:val="1D267D12"/>
    <w:rsid w:val="1D377A9E"/>
    <w:rsid w:val="1D6628F1"/>
    <w:rsid w:val="1D67727C"/>
    <w:rsid w:val="1D7734AE"/>
    <w:rsid w:val="1DBE2101"/>
    <w:rsid w:val="1E0E0A39"/>
    <w:rsid w:val="1E164317"/>
    <w:rsid w:val="1E2E5632"/>
    <w:rsid w:val="1E6476E8"/>
    <w:rsid w:val="1E780B2E"/>
    <w:rsid w:val="1E7F68D8"/>
    <w:rsid w:val="1F1903A6"/>
    <w:rsid w:val="1F723584"/>
    <w:rsid w:val="1FCD6C57"/>
    <w:rsid w:val="1FCE6D25"/>
    <w:rsid w:val="1FF64400"/>
    <w:rsid w:val="200124C3"/>
    <w:rsid w:val="200A022F"/>
    <w:rsid w:val="204D050C"/>
    <w:rsid w:val="209D63F5"/>
    <w:rsid w:val="20AD3C30"/>
    <w:rsid w:val="20D74F0A"/>
    <w:rsid w:val="20FC3C98"/>
    <w:rsid w:val="20FF32C7"/>
    <w:rsid w:val="21114A8B"/>
    <w:rsid w:val="2173382E"/>
    <w:rsid w:val="219057E6"/>
    <w:rsid w:val="21EB034C"/>
    <w:rsid w:val="21F20BF7"/>
    <w:rsid w:val="21FC31A4"/>
    <w:rsid w:val="22082832"/>
    <w:rsid w:val="22093805"/>
    <w:rsid w:val="22592A24"/>
    <w:rsid w:val="229E20A4"/>
    <w:rsid w:val="22FD22DD"/>
    <w:rsid w:val="23307C29"/>
    <w:rsid w:val="235C6C70"/>
    <w:rsid w:val="23867849"/>
    <w:rsid w:val="23B860E8"/>
    <w:rsid w:val="23C52040"/>
    <w:rsid w:val="23FD01D9"/>
    <w:rsid w:val="240B26AF"/>
    <w:rsid w:val="2438762A"/>
    <w:rsid w:val="24455956"/>
    <w:rsid w:val="24515D59"/>
    <w:rsid w:val="24F21357"/>
    <w:rsid w:val="25315C55"/>
    <w:rsid w:val="26296BB1"/>
    <w:rsid w:val="26752105"/>
    <w:rsid w:val="26754C56"/>
    <w:rsid w:val="26797B39"/>
    <w:rsid w:val="27055E26"/>
    <w:rsid w:val="27181303"/>
    <w:rsid w:val="277C0379"/>
    <w:rsid w:val="28277120"/>
    <w:rsid w:val="283A1500"/>
    <w:rsid w:val="285A74F6"/>
    <w:rsid w:val="285D4C84"/>
    <w:rsid w:val="28687E58"/>
    <w:rsid w:val="290E6A68"/>
    <w:rsid w:val="2986510F"/>
    <w:rsid w:val="29A32261"/>
    <w:rsid w:val="29DA7E84"/>
    <w:rsid w:val="29FF77DC"/>
    <w:rsid w:val="2A1753F8"/>
    <w:rsid w:val="2A1C0066"/>
    <w:rsid w:val="2AC33130"/>
    <w:rsid w:val="2ACB6D8B"/>
    <w:rsid w:val="2AD07545"/>
    <w:rsid w:val="2ADC1681"/>
    <w:rsid w:val="2AE8444C"/>
    <w:rsid w:val="2B2F6A18"/>
    <w:rsid w:val="2B641987"/>
    <w:rsid w:val="2B74798D"/>
    <w:rsid w:val="2B786611"/>
    <w:rsid w:val="2B911CB7"/>
    <w:rsid w:val="2B91465A"/>
    <w:rsid w:val="2BA319E8"/>
    <w:rsid w:val="2BB41171"/>
    <w:rsid w:val="2BB653D0"/>
    <w:rsid w:val="2BF74162"/>
    <w:rsid w:val="2C0910B0"/>
    <w:rsid w:val="2C2C0A77"/>
    <w:rsid w:val="2C3818FC"/>
    <w:rsid w:val="2C936A9E"/>
    <w:rsid w:val="2CA3217F"/>
    <w:rsid w:val="2CD56E91"/>
    <w:rsid w:val="2D485B6F"/>
    <w:rsid w:val="2D6B376C"/>
    <w:rsid w:val="2D850B71"/>
    <w:rsid w:val="2D8E211C"/>
    <w:rsid w:val="2DCE1445"/>
    <w:rsid w:val="2DD42F40"/>
    <w:rsid w:val="2DE43168"/>
    <w:rsid w:val="2DEC1BE9"/>
    <w:rsid w:val="2E0247B1"/>
    <w:rsid w:val="2E4C168F"/>
    <w:rsid w:val="2FA97892"/>
    <w:rsid w:val="2FB15BC8"/>
    <w:rsid w:val="2FE86676"/>
    <w:rsid w:val="30126C60"/>
    <w:rsid w:val="3038636F"/>
    <w:rsid w:val="309335A5"/>
    <w:rsid w:val="30C434AA"/>
    <w:rsid w:val="30D561DD"/>
    <w:rsid w:val="310B2373"/>
    <w:rsid w:val="31652A09"/>
    <w:rsid w:val="31BB4B47"/>
    <w:rsid w:val="31C8548C"/>
    <w:rsid w:val="31DE4CF4"/>
    <w:rsid w:val="32212727"/>
    <w:rsid w:val="32405AD5"/>
    <w:rsid w:val="3248301A"/>
    <w:rsid w:val="326525DA"/>
    <w:rsid w:val="32C0264B"/>
    <w:rsid w:val="32C27BB3"/>
    <w:rsid w:val="33802506"/>
    <w:rsid w:val="33890C8F"/>
    <w:rsid w:val="33C81901"/>
    <w:rsid w:val="33F250C4"/>
    <w:rsid w:val="34513C91"/>
    <w:rsid w:val="347E59E4"/>
    <w:rsid w:val="34F76399"/>
    <w:rsid w:val="34FE5900"/>
    <w:rsid w:val="350C1B78"/>
    <w:rsid w:val="356F57CA"/>
    <w:rsid w:val="357F5F20"/>
    <w:rsid w:val="358362DE"/>
    <w:rsid w:val="35B51DFA"/>
    <w:rsid w:val="36070CBD"/>
    <w:rsid w:val="362B6C89"/>
    <w:rsid w:val="368C2F70"/>
    <w:rsid w:val="36F154C9"/>
    <w:rsid w:val="37112281"/>
    <w:rsid w:val="37261960"/>
    <w:rsid w:val="373936BA"/>
    <w:rsid w:val="375C0B95"/>
    <w:rsid w:val="37677539"/>
    <w:rsid w:val="37835A33"/>
    <w:rsid w:val="37ED7A3F"/>
    <w:rsid w:val="37FC551F"/>
    <w:rsid w:val="38400E1E"/>
    <w:rsid w:val="38672A15"/>
    <w:rsid w:val="387C0DC3"/>
    <w:rsid w:val="3891348A"/>
    <w:rsid w:val="38935468"/>
    <w:rsid w:val="38CB515E"/>
    <w:rsid w:val="38D317BA"/>
    <w:rsid w:val="39012FDA"/>
    <w:rsid w:val="39331DC9"/>
    <w:rsid w:val="394A7E78"/>
    <w:rsid w:val="396015E6"/>
    <w:rsid w:val="39893EDD"/>
    <w:rsid w:val="39EA781C"/>
    <w:rsid w:val="3A4678DA"/>
    <w:rsid w:val="3A4E1D40"/>
    <w:rsid w:val="3A7A28C9"/>
    <w:rsid w:val="3A860A21"/>
    <w:rsid w:val="3A953F72"/>
    <w:rsid w:val="3AC55772"/>
    <w:rsid w:val="3B312338"/>
    <w:rsid w:val="3B6E17DC"/>
    <w:rsid w:val="3B8C756F"/>
    <w:rsid w:val="3C0D7830"/>
    <w:rsid w:val="3C6F6FDA"/>
    <w:rsid w:val="3C7C3A87"/>
    <w:rsid w:val="3CBA6FF3"/>
    <w:rsid w:val="3CCA47F2"/>
    <w:rsid w:val="3CCD516E"/>
    <w:rsid w:val="3D47606C"/>
    <w:rsid w:val="3D730794"/>
    <w:rsid w:val="3D913562"/>
    <w:rsid w:val="3DBA5E0C"/>
    <w:rsid w:val="3E377C66"/>
    <w:rsid w:val="3E5C04C3"/>
    <w:rsid w:val="3E630A5B"/>
    <w:rsid w:val="3E674A92"/>
    <w:rsid w:val="3E947BE0"/>
    <w:rsid w:val="3EE9647B"/>
    <w:rsid w:val="3F2B1CD8"/>
    <w:rsid w:val="3F4B66CC"/>
    <w:rsid w:val="3F8B72DF"/>
    <w:rsid w:val="3F964E60"/>
    <w:rsid w:val="3FF61706"/>
    <w:rsid w:val="401144E6"/>
    <w:rsid w:val="40596520"/>
    <w:rsid w:val="4081341A"/>
    <w:rsid w:val="409A7792"/>
    <w:rsid w:val="40AD420F"/>
    <w:rsid w:val="41BE1953"/>
    <w:rsid w:val="41DB6279"/>
    <w:rsid w:val="41DD5EF8"/>
    <w:rsid w:val="41DF489C"/>
    <w:rsid w:val="42353946"/>
    <w:rsid w:val="42366486"/>
    <w:rsid w:val="42674891"/>
    <w:rsid w:val="42684280"/>
    <w:rsid w:val="42784CF1"/>
    <w:rsid w:val="428601DB"/>
    <w:rsid w:val="42A94EAA"/>
    <w:rsid w:val="42AE1E1A"/>
    <w:rsid w:val="42BC2FBE"/>
    <w:rsid w:val="42D250F1"/>
    <w:rsid w:val="42DF2011"/>
    <w:rsid w:val="43027249"/>
    <w:rsid w:val="431E31A2"/>
    <w:rsid w:val="4334266B"/>
    <w:rsid w:val="434D3A87"/>
    <w:rsid w:val="437B7663"/>
    <w:rsid w:val="43954D4B"/>
    <w:rsid w:val="43AE0B7B"/>
    <w:rsid w:val="43B81044"/>
    <w:rsid w:val="43C53F65"/>
    <w:rsid w:val="445552E9"/>
    <w:rsid w:val="44843E65"/>
    <w:rsid w:val="44957D23"/>
    <w:rsid w:val="44C02694"/>
    <w:rsid w:val="44D330A4"/>
    <w:rsid w:val="44E716AC"/>
    <w:rsid w:val="44F56185"/>
    <w:rsid w:val="45655845"/>
    <w:rsid w:val="46065C69"/>
    <w:rsid w:val="46503FBA"/>
    <w:rsid w:val="468808A5"/>
    <w:rsid w:val="468E3FE4"/>
    <w:rsid w:val="46961055"/>
    <w:rsid w:val="46C7425F"/>
    <w:rsid w:val="46DE2696"/>
    <w:rsid w:val="46E22739"/>
    <w:rsid w:val="470B4362"/>
    <w:rsid w:val="472C0263"/>
    <w:rsid w:val="473E11D3"/>
    <w:rsid w:val="47447D8B"/>
    <w:rsid w:val="476A4B03"/>
    <w:rsid w:val="47A50B05"/>
    <w:rsid w:val="47C22C96"/>
    <w:rsid w:val="47C816C0"/>
    <w:rsid w:val="47D148DA"/>
    <w:rsid w:val="47D97FDF"/>
    <w:rsid w:val="48027536"/>
    <w:rsid w:val="480D3E99"/>
    <w:rsid w:val="48233A4F"/>
    <w:rsid w:val="483D36AD"/>
    <w:rsid w:val="48741AB6"/>
    <w:rsid w:val="48AA1C5D"/>
    <w:rsid w:val="48D569F9"/>
    <w:rsid w:val="48DD2E62"/>
    <w:rsid w:val="49251A00"/>
    <w:rsid w:val="49380D36"/>
    <w:rsid w:val="499724A8"/>
    <w:rsid w:val="49EB7B56"/>
    <w:rsid w:val="49FA5FEB"/>
    <w:rsid w:val="4A7E6C1C"/>
    <w:rsid w:val="4A7F6A22"/>
    <w:rsid w:val="4A8D3982"/>
    <w:rsid w:val="4A975523"/>
    <w:rsid w:val="4AA236EF"/>
    <w:rsid w:val="4AB039E6"/>
    <w:rsid w:val="4ABA40F8"/>
    <w:rsid w:val="4ABE413E"/>
    <w:rsid w:val="4AC92CF0"/>
    <w:rsid w:val="4AE271AB"/>
    <w:rsid w:val="4B114F1A"/>
    <w:rsid w:val="4B1823EC"/>
    <w:rsid w:val="4B3A2B43"/>
    <w:rsid w:val="4B3C3949"/>
    <w:rsid w:val="4B561C5F"/>
    <w:rsid w:val="4B6127C6"/>
    <w:rsid w:val="4B95764E"/>
    <w:rsid w:val="4C066EC9"/>
    <w:rsid w:val="4C082C41"/>
    <w:rsid w:val="4C2250A5"/>
    <w:rsid w:val="4C2555A1"/>
    <w:rsid w:val="4C2A502A"/>
    <w:rsid w:val="4C55038A"/>
    <w:rsid w:val="4C6A7458"/>
    <w:rsid w:val="4C771B75"/>
    <w:rsid w:val="4C8B11CD"/>
    <w:rsid w:val="4C8E79DB"/>
    <w:rsid w:val="4CA82C7B"/>
    <w:rsid w:val="4CCA196F"/>
    <w:rsid w:val="4CD9638C"/>
    <w:rsid w:val="4CFB4554"/>
    <w:rsid w:val="4D2910C1"/>
    <w:rsid w:val="4D6836B5"/>
    <w:rsid w:val="4DA818CF"/>
    <w:rsid w:val="4E257C30"/>
    <w:rsid w:val="4E925169"/>
    <w:rsid w:val="4F4912DF"/>
    <w:rsid w:val="4F8D09DC"/>
    <w:rsid w:val="4F8E3AE4"/>
    <w:rsid w:val="4F93316A"/>
    <w:rsid w:val="4FEC32C8"/>
    <w:rsid w:val="4FF16CDA"/>
    <w:rsid w:val="504C59DB"/>
    <w:rsid w:val="506073EF"/>
    <w:rsid w:val="507664A5"/>
    <w:rsid w:val="50C95D0D"/>
    <w:rsid w:val="50D46B08"/>
    <w:rsid w:val="50D47596"/>
    <w:rsid w:val="51024103"/>
    <w:rsid w:val="51194225"/>
    <w:rsid w:val="51222E0F"/>
    <w:rsid w:val="514D173E"/>
    <w:rsid w:val="514E7348"/>
    <w:rsid w:val="51646B6C"/>
    <w:rsid w:val="516C175E"/>
    <w:rsid w:val="51E94475"/>
    <w:rsid w:val="521844A9"/>
    <w:rsid w:val="52365D7A"/>
    <w:rsid w:val="52E06F1B"/>
    <w:rsid w:val="52E31D12"/>
    <w:rsid w:val="52EC6E19"/>
    <w:rsid w:val="52ED2CD7"/>
    <w:rsid w:val="52EF4B5B"/>
    <w:rsid w:val="536C1D18"/>
    <w:rsid w:val="53915C12"/>
    <w:rsid w:val="539227A8"/>
    <w:rsid w:val="539F6953"/>
    <w:rsid w:val="53F561A1"/>
    <w:rsid w:val="541E4F0E"/>
    <w:rsid w:val="54623055"/>
    <w:rsid w:val="54752E3E"/>
    <w:rsid w:val="548A5790"/>
    <w:rsid w:val="54904C17"/>
    <w:rsid w:val="54D42633"/>
    <w:rsid w:val="552E67FE"/>
    <w:rsid w:val="552F3E57"/>
    <w:rsid w:val="55393E6B"/>
    <w:rsid w:val="553B7BE4"/>
    <w:rsid w:val="5554111F"/>
    <w:rsid w:val="5558730C"/>
    <w:rsid w:val="55825812"/>
    <w:rsid w:val="559C0EFE"/>
    <w:rsid w:val="55C531CF"/>
    <w:rsid w:val="563A27D4"/>
    <w:rsid w:val="56481CC2"/>
    <w:rsid w:val="56696DCD"/>
    <w:rsid w:val="56844BC8"/>
    <w:rsid w:val="568D14EB"/>
    <w:rsid w:val="56AD753D"/>
    <w:rsid w:val="56BA0E52"/>
    <w:rsid w:val="56F68C98"/>
    <w:rsid w:val="570C5CDB"/>
    <w:rsid w:val="5712706A"/>
    <w:rsid w:val="572B3C88"/>
    <w:rsid w:val="57452F9B"/>
    <w:rsid w:val="57475FD8"/>
    <w:rsid w:val="575B631B"/>
    <w:rsid w:val="57C1112B"/>
    <w:rsid w:val="58070251"/>
    <w:rsid w:val="58092BFD"/>
    <w:rsid w:val="583F5E0F"/>
    <w:rsid w:val="58EB1921"/>
    <w:rsid w:val="59060509"/>
    <w:rsid w:val="59140E77"/>
    <w:rsid w:val="592831C1"/>
    <w:rsid w:val="594828CF"/>
    <w:rsid w:val="594F3740"/>
    <w:rsid w:val="595E2F11"/>
    <w:rsid w:val="59A57D21"/>
    <w:rsid w:val="59FA12A6"/>
    <w:rsid w:val="5A1565FC"/>
    <w:rsid w:val="5A4F2A17"/>
    <w:rsid w:val="5A66023E"/>
    <w:rsid w:val="5A985AD8"/>
    <w:rsid w:val="5ACE41BA"/>
    <w:rsid w:val="5B0E2386"/>
    <w:rsid w:val="5B3A6B8F"/>
    <w:rsid w:val="5B3C2907"/>
    <w:rsid w:val="5B6C3892"/>
    <w:rsid w:val="5B956C38"/>
    <w:rsid w:val="5B960AB1"/>
    <w:rsid w:val="5BB95D06"/>
    <w:rsid w:val="5BC16969"/>
    <w:rsid w:val="5C090A3C"/>
    <w:rsid w:val="5C451348"/>
    <w:rsid w:val="5C7B25A9"/>
    <w:rsid w:val="5C982624"/>
    <w:rsid w:val="5CF62531"/>
    <w:rsid w:val="5D327E7C"/>
    <w:rsid w:val="5D557CB0"/>
    <w:rsid w:val="5D6615F6"/>
    <w:rsid w:val="5D683074"/>
    <w:rsid w:val="5D890783"/>
    <w:rsid w:val="5D9562FF"/>
    <w:rsid w:val="5DB91FED"/>
    <w:rsid w:val="5DCB3ACF"/>
    <w:rsid w:val="5DEC3226"/>
    <w:rsid w:val="5DED49B6"/>
    <w:rsid w:val="5E1216FE"/>
    <w:rsid w:val="5E2A6A47"/>
    <w:rsid w:val="5E7474A5"/>
    <w:rsid w:val="5E8C3F90"/>
    <w:rsid w:val="5EB822A5"/>
    <w:rsid w:val="5ED91AEB"/>
    <w:rsid w:val="5EE512F5"/>
    <w:rsid w:val="5F2A581E"/>
    <w:rsid w:val="5F697A43"/>
    <w:rsid w:val="5F82274F"/>
    <w:rsid w:val="5F84662B"/>
    <w:rsid w:val="5FA828E1"/>
    <w:rsid w:val="5FFE018B"/>
    <w:rsid w:val="601F06F1"/>
    <w:rsid w:val="60A24FBB"/>
    <w:rsid w:val="60EE0200"/>
    <w:rsid w:val="60FB0B6F"/>
    <w:rsid w:val="613C02C6"/>
    <w:rsid w:val="61CB6793"/>
    <w:rsid w:val="61D03DA9"/>
    <w:rsid w:val="61F17FEF"/>
    <w:rsid w:val="62126170"/>
    <w:rsid w:val="624D193B"/>
    <w:rsid w:val="62A21AEF"/>
    <w:rsid w:val="62D60F4C"/>
    <w:rsid w:val="63035AB9"/>
    <w:rsid w:val="63446CF1"/>
    <w:rsid w:val="649314DF"/>
    <w:rsid w:val="6497581F"/>
    <w:rsid w:val="64FC1EA9"/>
    <w:rsid w:val="64FE185E"/>
    <w:rsid w:val="653A7EB8"/>
    <w:rsid w:val="65993414"/>
    <w:rsid w:val="65A76BCF"/>
    <w:rsid w:val="65BB124D"/>
    <w:rsid w:val="65BE62D3"/>
    <w:rsid w:val="65F77B57"/>
    <w:rsid w:val="660B53B0"/>
    <w:rsid w:val="66320B8F"/>
    <w:rsid w:val="66672291"/>
    <w:rsid w:val="66976C44"/>
    <w:rsid w:val="66DE0D17"/>
    <w:rsid w:val="66E3634A"/>
    <w:rsid w:val="67076D23"/>
    <w:rsid w:val="673152EA"/>
    <w:rsid w:val="674A1F08"/>
    <w:rsid w:val="67786A75"/>
    <w:rsid w:val="678673E4"/>
    <w:rsid w:val="678D122A"/>
    <w:rsid w:val="67980EC5"/>
    <w:rsid w:val="67B26BEF"/>
    <w:rsid w:val="67C27F56"/>
    <w:rsid w:val="68286BB3"/>
    <w:rsid w:val="68624E4C"/>
    <w:rsid w:val="68AB69D7"/>
    <w:rsid w:val="68E979EA"/>
    <w:rsid w:val="68EB3277"/>
    <w:rsid w:val="694E6824"/>
    <w:rsid w:val="696D0C49"/>
    <w:rsid w:val="698A665E"/>
    <w:rsid w:val="698F3528"/>
    <w:rsid w:val="69B27C8E"/>
    <w:rsid w:val="6A132A85"/>
    <w:rsid w:val="6AE7141A"/>
    <w:rsid w:val="6BB3468A"/>
    <w:rsid w:val="6CB14753"/>
    <w:rsid w:val="6DB368A5"/>
    <w:rsid w:val="6DE80E02"/>
    <w:rsid w:val="6E3B07FD"/>
    <w:rsid w:val="6E9D5013"/>
    <w:rsid w:val="6EE6351B"/>
    <w:rsid w:val="6EEF41E7"/>
    <w:rsid w:val="6EFF182A"/>
    <w:rsid w:val="6EFF790A"/>
    <w:rsid w:val="6F047048"/>
    <w:rsid w:val="6F2D06E1"/>
    <w:rsid w:val="6F691972"/>
    <w:rsid w:val="6F6F075E"/>
    <w:rsid w:val="6F9D57CA"/>
    <w:rsid w:val="6FF869A5"/>
    <w:rsid w:val="7084695D"/>
    <w:rsid w:val="70A66401"/>
    <w:rsid w:val="70BC76B7"/>
    <w:rsid w:val="70E0702B"/>
    <w:rsid w:val="71317FFB"/>
    <w:rsid w:val="713F6CC0"/>
    <w:rsid w:val="714125CE"/>
    <w:rsid w:val="7153093F"/>
    <w:rsid w:val="717169A4"/>
    <w:rsid w:val="71B51E3B"/>
    <w:rsid w:val="71C70611"/>
    <w:rsid w:val="721657C7"/>
    <w:rsid w:val="728C7879"/>
    <w:rsid w:val="72A7047D"/>
    <w:rsid w:val="72FF004B"/>
    <w:rsid w:val="73014ED1"/>
    <w:rsid w:val="73175AC6"/>
    <w:rsid w:val="733C3432"/>
    <w:rsid w:val="73942E89"/>
    <w:rsid w:val="73E723D7"/>
    <w:rsid w:val="73F20F2D"/>
    <w:rsid w:val="740B5AF8"/>
    <w:rsid w:val="741311E6"/>
    <w:rsid w:val="744F2D5D"/>
    <w:rsid w:val="74532181"/>
    <w:rsid w:val="747506AF"/>
    <w:rsid w:val="751071E2"/>
    <w:rsid w:val="75D738C5"/>
    <w:rsid w:val="75EB48B6"/>
    <w:rsid w:val="764346F2"/>
    <w:rsid w:val="765870DA"/>
    <w:rsid w:val="767924B5"/>
    <w:rsid w:val="7680694B"/>
    <w:rsid w:val="768A2321"/>
    <w:rsid w:val="76B24813"/>
    <w:rsid w:val="76CC59AF"/>
    <w:rsid w:val="76F313F3"/>
    <w:rsid w:val="76F51793"/>
    <w:rsid w:val="772938E8"/>
    <w:rsid w:val="77530135"/>
    <w:rsid w:val="777911B7"/>
    <w:rsid w:val="77F0668A"/>
    <w:rsid w:val="782E76B4"/>
    <w:rsid w:val="78574485"/>
    <w:rsid w:val="786D5A56"/>
    <w:rsid w:val="788E7B34"/>
    <w:rsid w:val="78A94268"/>
    <w:rsid w:val="78C012F9"/>
    <w:rsid w:val="792F0F5E"/>
    <w:rsid w:val="795721B7"/>
    <w:rsid w:val="79751067"/>
    <w:rsid w:val="79787CF5"/>
    <w:rsid w:val="79865022"/>
    <w:rsid w:val="79DA2877"/>
    <w:rsid w:val="79FB492F"/>
    <w:rsid w:val="7A5213A8"/>
    <w:rsid w:val="7A5549F4"/>
    <w:rsid w:val="7A5D1BCC"/>
    <w:rsid w:val="7A8D74D1"/>
    <w:rsid w:val="7AA85505"/>
    <w:rsid w:val="7AB72001"/>
    <w:rsid w:val="7AD93877"/>
    <w:rsid w:val="7B2530B1"/>
    <w:rsid w:val="7B462BE6"/>
    <w:rsid w:val="7B4E54E7"/>
    <w:rsid w:val="7BE6249B"/>
    <w:rsid w:val="7BE67846"/>
    <w:rsid w:val="7BE67FFA"/>
    <w:rsid w:val="7C134B67"/>
    <w:rsid w:val="7C554AEA"/>
    <w:rsid w:val="7CA52E61"/>
    <w:rsid w:val="7CBB1486"/>
    <w:rsid w:val="7CDC5497"/>
    <w:rsid w:val="7D152B90"/>
    <w:rsid w:val="7D2232B3"/>
    <w:rsid w:val="7D47583D"/>
    <w:rsid w:val="7D72027E"/>
    <w:rsid w:val="7D7E4262"/>
    <w:rsid w:val="7D904E39"/>
    <w:rsid w:val="7DCF5ED6"/>
    <w:rsid w:val="7DFA0F20"/>
    <w:rsid w:val="7E1D1CCD"/>
    <w:rsid w:val="7E5F5E41"/>
    <w:rsid w:val="7E822605"/>
    <w:rsid w:val="7EDC1B88"/>
    <w:rsid w:val="7EF0265A"/>
    <w:rsid w:val="7F1255AA"/>
    <w:rsid w:val="7F3062D8"/>
    <w:rsid w:val="7F7F5D00"/>
    <w:rsid w:val="7FA77AA0"/>
    <w:rsid w:val="7FCC0E4E"/>
    <w:rsid w:val="7FD05249"/>
    <w:rsid w:val="7FE15FC4"/>
    <w:rsid w:val="7FEB2083"/>
    <w:rsid w:val="7FEC7F76"/>
    <w:rsid w:val="91DA356D"/>
    <w:rsid w:val="BEBA92FF"/>
    <w:rsid w:val="EFF8CB21"/>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ind w:firstLine="480" w:firstLineChars="200"/>
    </w:pPr>
    <w:rPr>
      <w:rFonts w:ascii="宋体" w:hAnsi="宋体" w:eastAsia="宋体" w:cs="Segoe UI"/>
      <w:bCs/>
      <w:kern w:val="2"/>
      <w:sz w:val="24"/>
      <w:szCs w:val="24"/>
      <w:shd w:val="clear" w:color="auto" w:fill="FFFFFF"/>
      <w:lang w:val="en-US" w:eastAsia="zh-CN" w:bidi="ar-SA"/>
    </w:rPr>
  </w:style>
  <w:style w:type="paragraph" w:styleId="2">
    <w:name w:val="heading 1"/>
    <w:basedOn w:val="1"/>
    <w:next w:val="1"/>
    <w:link w:val="20"/>
    <w:autoRedefine/>
    <w:qFormat/>
    <w:uiPriority w:val="9"/>
    <w:pPr>
      <w:widowControl/>
      <w:spacing w:before="100" w:beforeAutospacing="1" w:after="100" w:afterAutospacing="1"/>
      <w:outlineLvl w:val="0"/>
    </w:pPr>
    <w:rPr>
      <w:rFonts w:cs="宋体"/>
      <w:bCs w:val="0"/>
      <w:kern w:val="36"/>
      <w:sz w:val="32"/>
      <w:szCs w:val="48"/>
    </w:rPr>
  </w:style>
  <w:style w:type="paragraph" w:styleId="3">
    <w:name w:val="heading 2"/>
    <w:basedOn w:val="1"/>
    <w:next w:val="1"/>
    <w:link w:val="29"/>
    <w:autoRedefine/>
    <w:semiHidden/>
    <w:unhideWhenUsed/>
    <w:qFormat/>
    <w:uiPriority w:val="9"/>
    <w:pPr>
      <w:keepNext/>
      <w:keepLines/>
      <w:spacing w:before="260" w:after="260" w:line="416" w:lineRule="auto"/>
      <w:outlineLvl w:val="1"/>
    </w:pPr>
    <w:rPr>
      <w:rFonts w:asciiTheme="majorHAnsi" w:hAnsiTheme="majorHAnsi" w:eastAsiaTheme="majorEastAsia" w:cstheme="majorBidi"/>
      <w:bCs w:val="0"/>
      <w:sz w:val="32"/>
      <w:szCs w:val="32"/>
    </w:rPr>
  </w:style>
  <w:style w:type="paragraph" w:styleId="4">
    <w:name w:val="heading 3"/>
    <w:basedOn w:val="1"/>
    <w:next w:val="1"/>
    <w:semiHidden/>
    <w:unhideWhenUsed/>
    <w:qFormat/>
    <w:uiPriority w:val="9"/>
    <w:pPr>
      <w:spacing w:beforeAutospacing="1" w:afterAutospacing="1"/>
      <w:outlineLvl w:val="2"/>
    </w:pPr>
    <w:rPr>
      <w:rFonts w:hint="eastAsia" w:cs="Times New Roman"/>
      <w:b/>
      <w:kern w:val="0"/>
      <w:sz w:val="27"/>
      <w:szCs w:val="27"/>
    </w:rPr>
  </w:style>
  <w:style w:type="paragraph" w:styleId="5">
    <w:name w:val="heading 4"/>
    <w:basedOn w:val="1"/>
    <w:next w:val="1"/>
    <w:link w:val="35"/>
    <w:semiHidden/>
    <w:unhideWhenUsed/>
    <w:qFormat/>
    <w:uiPriority w:val="9"/>
    <w:pPr>
      <w:keepNext/>
      <w:keepLines/>
      <w:spacing w:before="280" w:after="290" w:line="376" w:lineRule="auto"/>
      <w:outlineLvl w:val="3"/>
    </w:pPr>
    <w:rPr>
      <w:rFonts w:asciiTheme="majorHAnsi" w:hAnsiTheme="majorHAnsi" w:eastAsiaTheme="majorEastAsia" w:cstheme="majorBidi"/>
      <w:b/>
      <w:sz w:val="28"/>
      <w:szCs w:val="28"/>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autoRedefine/>
    <w:semiHidden/>
    <w:unhideWhenUsed/>
    <w:qFormat/>
    <w:uiPriority w:val="99"/>
  </w:style>
  <w:style w:type="paragraph" w:styleId="7">
    <w:name w:val="Balloon Text"/>
    <w:basedOn w:val="1"/>
    <w:link w:val="31"/>
    <w:autoRedefine/>
    <w:semiHidden/>
    <w:unhideWhenUsed/>
    <w:qFormat/>
    <w:uiPriority w:val="99"/>
    <w:rPr>
      <w:sz w:val="18"/>
      <w:szCs w:val="18"/>
    </w:rPr>
  </w:style>
  <w:style w:type="paragraph" w:styleId="8">
    <w:name w:val="footer"/>
    <w:basedOn w:val="1"/>
    <w:link w:val="26"/>
    <w:autoRedefine/>
    <w:unhideWhenUsed/>
    <w:qFormat/>
    <w:uiPriority w:val="99"/>
    <w:pPr>
      <w:tabs>
        <w:tab w:val="center" w:pos="4153"/>
        <w:tab w:val="right" w:pos="8306"/>
      </w:tabs>
      <w:snapToGrid w:val="0"/>
    </w:pPr>
    <w:rPr>
      <w:sz w:val="18"/>
      <w:szCs w:val="18"/>
    </w:rPr>
  </w:style>
  <w:style w:type="paragraph" w:styleId="9">
    <w:name w:val="header"/>
    <w:basedOn w:val="1"/>
    <w:link w:val="25"/>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autoRedefine/>
    <w:unhideWhenUsed/>
    <w:qFormat/>
    <w:uiPriority w:val="39"/>
  </w:style>
  <w:style w:type="paragraph" w:styleId="11">
    <w:name w:val="footnote text"/>
    <w:basedOn w:val="1"/>
    <w:link w:val="30"/>
    <w:autoRedefine/>
    <w:semiHidden/>
    <w:unhideWhenUsed/>
    <w:qFormat/>
    <w:uiPriority w:val="99"/>
    <w:pPr>
      <w:snapToGrid w:val="0"/>
    </w:pPr>
    <w:rPr>
      <w:sz w:val="18"/>
      <w:szCs w:val="18"/>
    </w:rPr>
  </w:style>
  <w:style w:type="paragraph" w:styleId="12">
    <w:name w:val="Normal (Web)"/>
    <w:basedOn w:val="1"/>
    <w:autoRedefine/>
    <w:unhideWhenUsed/>
    <w:qFormat/>
    <w:uiPriority w:val="99"/>
    <w:pPr>
      <w:widowControl/>
      <w:spacing w:before="100" w:beforeAutospacing="1" w:after="100" w:afterAutospacing="1"/>
    </w:pPr>
    <w:rPr>
      <w:rFonts w:cs="宋体"/>
      <w:kern w:val="0"/>
    </w:rPr>
  </w:style>
  <w:style w:type="table" w:styleId="14">
    <w:name w:val="Table Grid"/>
    <w:basedOn w:val="13"/>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22"/>
    <w:rPr>
      <w:b/>
      <w:bCs/>
    </w:rPr>
  </w:style>
  <w:style w:type="character" w:styleId="17">
    <w:name w:val="Hyperlink"/>
    <w:basedOn w:val="15"/>
    <w:autoRedefine/>
    <w:unhideWhenUsed/>
    <w:qFormat/>
    <w:uiPriority w:val="99"/>
    <w:rPr>
      <w:color w:val="0563C1" w:themeColor="hyperlink"/>
      <w:u w:val="single"/>
      <w14:textFill>
        <w14:solidFill>
          <w14:schemeClr w14:val="hlink"/>
        </w14:solidFill>
      </w14:textFill>
    </w:rPr>
  </w:style>
  <w:style w:type="character" w:styleId="18">
    <w:name w:val="footnote reference"/>
    <w:basedOn w:val="15"/>
    <w:autoRedefine/>
    <w:semiHidden/>
    <w:unhideWhenUsed/>
    <w:qFormat/>
    <w:uiPriority w:val="99"/>
    <w:rPr>
      <w:vertAlign w:val="superscript"/>
    </w:rPr>
  </w:style>
  <w:style w:type="paragraph" w:styleId="19">
    <w:name w:val="List Paragraph"/>
    <w:basedOn w:val="1"/>
    <w:autoRedefine/>
    <w:qFormat/>
    <w:uiPriority w:val="34"/>
    <w:pPr>
      <w:ind w:firstLine="420"/>
    </w:pPr>
  </w:style>
  <w:style w:type="character" w:customStyle="1" w:styleId="20">
    <w:name w:val="标题 1 字符"/>
    <w:basedOn w:val="15"/>
    <w:link w:val="2"/>
    <w:autoRedefine/>
    <w:qFormat/>
    <w:uiPriority w:val="9"/>
    <w:rPr>
      <w:rFonts w:ascii="宋体" w:hAnsi="宋体" w:eastAsia="宋体" w:cs="宋体"/>
      <w:b/>
      <w:bCs/>
      <w:kern w:val="36"/>
      <w:sz w:val="32"/>
      <w:szCs w:val="48"/>
    </w:rPr>
  </w:style>
  <w:style w:type="table" w:customStyle="1" w:styleId="21">
    <w:name w:val="网格表 2 - 着色 11"/>
    <w:basedOn w:val="13"/>
    <w:autoRedefine/>
    <w:qFormat/>
    <w:uiPriority w:val="47"/>
    <w:tblPr>
      <w:tblBorders>
        <w:top w:val="single" w:color="9CC2E5" w:themeColor="accent1" w:themeTint="99" w:sz="2" w:space="0"/>
        <w:bottom w:val="single" w:color="9CC2E5" w:themeColor="accent1" w:themeTint="99" w:sz="2" w:space="0"/>
        <w:insideH w:val="single" w:color="9CC2E5" w:themeColor="accent1" w:themeTint="99" w:sz="2" w:space="0"/>
        <w:insideV w:val="single" w:color="9CC2E5" w:themeColor="accent1" w:themeTint="99" w:sz="2" w:space="0"/>
      </w:tblBorders>
    </w:tblPr>
    <w:tblStylePr w:type="firstRow">
      <w:rPr>
        <w:b/>
        <w:bCs/>
      </w:rPr>
      <w:tcPr>
        <w:tcBorders>
          <w:top w:val="nil"/>
          <w:bottom w:val="single" w:color="9CC2E5" w:themeColor="accent1" w:themeTint="99" w:sz="12" w:space="0"/>
          <w:insideH w:val="nil"/>
          <w:insideV w:val="nil"/>
        </w:tcBorders>
        <w:shd w:val="clear" w:color="auto" w:fill="FFFFFF" w:themeFill="background1"/>
      </w:tcPr>
    </w:tblStylePr>
    <w:tblStylePr w:type="lastRow">
      <w:rPr>
        <w:b/>
        <w:bCs/>
      </w:rPr>
      <w:tcPr>
        <w:tcBorders>
          <w:top w:val="double" w:color="9CC2E5"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DEEAF6" w:themeFill="accent1" w:themeFillTint="33"/>
      </w:tcPr>
    </w:tblStylePr>
    <w:tblStylePr w:type="band1Horz">
      <w:tcPr>
        <w:shd w:val="clear" w:color="auto" w:fill="DEEAF6" w:themeFill="accent1" w:themeFillTint="33"/>
      </w:tcPr>
    </w:tblStylePr>
  </w:style>
  <w:style w:type="table" w:customStyle="1" w:styleId="22">
    <w:name w:val="网格表 21"/>
    <w:basedOn w:val="13"/>
    <w:autoRedefine/>
    <w:qFormat/>
    <w:uiPriority w:val="47"/>
    <w:tblPr>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cPr>
        <w:tcBorders>
          <w:top w:val="nil"/>
          <w:bottom w:val="single" w:color="666666" w:themeColor="text1" w:themeTint="99" w:sz="12" w:space="0"/>
          <w:insideH w:val="nil"/>
          <w:insideV w:val="nil"/>
        </w:tcBorders>
        <w:shd w:val="clear" w:color="auto" w:fill="FFFFFF" w:themeFill="background1"/>
      </w:tcPr>
    </w:tblStylePr>
    <w:tblStylePr w:type="lastRow">
      <w:rPr>
        <w:b/>
        <w:bCs/>
      </w:r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23">
    <w:name w:val="网格表 5 深色 - 着色 11"/>
    <w:basedOn w:val="13"/>
    <w:autoRedefine/>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EEAF6" w:themeFill="accent1"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5B9BD5" w:themeFill="accent1"/>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5B9BD5" w:themeFill="accent1"/>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5B9BD5" w:themeFill="accent1"/>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5B9BD5" w:themeFill="accent1"/>
      </w:tcPr>
    </w:tblStylePr>
    <w:tblStylePr w:type="band1Vert">
      <w:tcPr>
        <w:shd w:val="clear" w:color="auto" w:fill="BDD6EE" w:themeFill="accent1" w:themeFillTint="66"/>
      </w:tcPr>
    </w:tblStylePr>
    <w:tblStylePr w:type="band1Horz">
      <w:tcPr>
        <w:shd w:val="clear" w:color="auto" w:fill="BDD6EE" w:themeFill="accent1" w:themeFillTint="66"/>
      </w:tcPr>
    </w:tblStylePr>
  </w:style>
  <w:style w:type="table" w:customStyle="1" w:styleId="24">
    <w:name w:val="清单表 3 - 着色 51"/>
    <w:basedOn w:val="13"/>
    <w:autoRedefine/>
    <w:qFormat/>
    <w:uiPriority w:val="48"/>
    <w:tblPr>
      <w:tblBorders>
        <w:top w:val="single" w:color="4472C4" w:themeColor="accent5" w:sz="4" w:space="0"/>
        <w:left w:val="single" w:color="4472C4" w:themeColor="accent5" w:sz="4" w:space="0"/>
        <w:bottom w:val="single" w:color="4472C4" w:themeColor="accent5" w:sz="4" w:space="0"/>
        <w:right w:val="single" w:color="4472C4" w:themeColor="accent5" w:sz="4" w:space="0"/>
      </w:tblBorders>
    </w:tblPr>
    <w:tblStylePr w:type="firstRow">
      <w:rPr>
        <w:b/>
        <w:bCs/>
        <w:color w:val="FFFFFF" w:themeColor="background1"/>
        <w14:textFill>
          <w14:solidFill>
            <w14:schemeClr w14:val="bg1"/>
          </w14:solidFill>
        </w14:textFill>
      </w:rPr>
      <w:tcPr>
        <w:shd w:val="clear" w:color="auto" w:fill="4472C4" w:themeFill="accent5"/>
      </w:tcPr>
    </w:tblStylePr>
    <w:tblStylePr w:type="lastRow">
      <w:rPr>
        <w:b/>
        <w:bCs/>
      </w:rPr>
      <w:tcPr>
        <w:tcBorders>
          <w:top w:val="double" w:color="4472C4" w:themeColor="accent5"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4472C4" w:themeColor="accent5" w:sz="4" w:space="0"/>
          <w:right w:val="single" w:color="4472C4" w:themeColor="accent5" w:sz="4" w:space="0"/>
        </w:tcBorders>
      </w:tcPr>
    </w:tblStylePr>
    <w:tblStylePr w:type="band1Horz">
      <w:tcPr>
        <w:tcBorders>
          <w:top w:val="single" w:color="4472C4" w:themeColor="accent5" w:sz="4" w:space="0"/>
          <w:bottom w:val="single" w:color="4472C4" w:themeColor="accent5"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4472C4" w:themeColor="accent5" w:sz="4" w:space="0"/>
          <w:left w:val="nil"/>
        </w:tcBorders>
      </w:tcPr>
    </w:tblStylePr>
    <w:tblStylePr w:type="swCell">
      <w:tcPr>
        <w:tcBorders>
          <w:top w:val="double" w:color="4472C4" w:themeColor="accent5" w:sz="4" w:space="0"/>
          <w:right w:val="nil"/>
        </w:tcBorders>
      </w:tcPr>
    </w:tblStylePr>
  </w:style>
  <w:style w:type="character" w:customStyle="1" w:styleId="25">
    <w:name w:val="页眉 字符"/>
    <w:basedOn w:val="15"/>
    <w:link w:val="9"/>
    <w:autoRedefine/>
    <w:qFormat/>
    <w:uiPriority w:val="99"/>
    <w:rPr>
      <w:sz w:val="18"/>
      <w:szCs w:val="18"/>
    </w:rPr>
  </w:style>
  <w:style w:type="character" w:customStyle="1" w:styleId="26">
    <w:name w:val="页脚 字符"/>
    <w:basedOn w:val="15"/>
    <w:link w:val="8"/>
    <w:autoRedefine/>
    <w:qFormat/>
    <w:uiPriority w:val="99"/>
    <w:rPr>
      <w:sz w:val="18"/>
      <w:szCs w:val="18"/>
    </w:rPr>
  </w:style>
  <w:style w:type="paragraph" w:customStyle="1" w:styleId="27">
    <w:name w:val="样式1"/>
    <w:basedOn w:val="3"/>
    <w:link w:val="28"/>
    <w:autoRedefine/>
    <w:qFormat/>
    <w:uiPriority w:val="0"/>
    <w:rPr>
      <w:rFonts w:eastAsia="宋体"/>
    </w:rPr>
  </w:style>
  <w:style w:type="character" w:customStyle="1" w:styleId="28">
    <w:name w:val="样式1 字符"/>
    <w:basedOn w:val="29"/>
    <w:link w:val="27"/>
    <w:autoRedefine/>
    <w:qFormat/>
    <w:uiPriority w:val="0"/>
    <w:rPr>
      <w:rFonts w:eastAsia="宋体" w:asciiTheme="majorHAnsi" w:hAnsiTheme="majorHAnsi" w:cstheme="majorBidi"/>
      <w:sz w:val="32"/>
      <w:szCs w:val="32"/>
    </w:rPr>
  </w:style>
  <w:style w:type="character" w:customStyle="1" w:styleId="29">
    <w:name w:val="标题 2 字符"/>
    <w:basedOn w:val="15"/>
    <w:link w:val="3"/>
    <w:autoRedefine/>
    <w:semiHidden/>
    <w:qFormat/>
    <w:uiPriority w:val="9"/>
    <w:rPr>
      <w:rFonts w:asciiTheme="majorHAnsi" w:hAnsiTheme="majorHAnsi" w:eastAsiaTheme="majorEastAsia" w:cstheme="majorBidi"/>
      <w:b/>
      <w:bCs/>
      <w:sz w:val="32"/>
      <w:szCs w:val="32"/>
    </w:rPr>
  </w:style>
  <w:style w:type="character" w:customStyle="1" w:styleId="30">
    <w:name w:val="脚注文本 字符"/>
    <w:basedOn w:val="15"/>
    <w:link w:val="11"/>
    <w:autoRedefine/>
    <w:semiHidden/>
    <w:qFormat/>
    <w:uiPriority w:val="99"/>
    <w:rPr>
      <w:sz w:val="18"/>
      <w:szCs w:val="18"/>
    </w:rPr>
  </w:style>
  <w:style w:type="character" w:customStyle="1" w:styleId="31">
    <w:name w:val="批注框文本 字符"/>
    <w:basedOn w:val="15"/>
    <w:link w:val="7"/>
    <w:autoRedefine/>
    <w:semiHidden/>
    <w:qFormat/>
    <w:uiPriority w:val="99"/>
    <w:rPr>
      <w:sz w:val="18"/>
      <w:szCs w:val="18"/>
    </w:rPr>
  </w:style>
  <w:style w:type="paragraph" w:customStyle="1" w:styleId="32">
    <w:name w:val="TOC 标题1"/>
    <w:basedOn w:val="2"/>
    <w:next w:val="1"/>
    <w:autoRedefine/>
    <w:unhideWhenUsed/>
    <w:qFormat/>
    <w:uiPriority w:val="39"/>
    <w:pPr>
      <w:keepNext/>
      <w:keepLines/>
      <w:spacing w:before="240" w:beforeAutospacing="0" w:after="0" w:afterAutospacing="0" w:line="259" w:lineRule="auto"/>
      <w:outlineLvl w:val="9"/>
    </w:pPr>
    <w:rPr>
      <w:rFonts w:asciiTheme="majorHAnsi" w:hAnsiTheme="majorHAnsi" w:eastAsiaTheme="majorEastAsia" w:cstheme="majorBidi"/>
      <w:b/>
      <w:bCs/>
      <w:color w:val="2E75B6" w:themeColor="accent1" w:themeShade="BF"/>
      <w:kern w:val="0"/>
      <w:szCs w:val="32"/>
    </w:rPr>
  </w:style>
  <w:style w:type="paragraph" w:customStyle="1" w:styleId="33">
    <w:name w:val="WPSOffice手动目录 1"/>
    <w:autoRedefine/>
    <w:qFormat/>
    <w:uiPriority w:val="0"/>
    <w:rPr>
      <w:rFonts w:asciiTheme="minorHAnsi" w:hAnsiTheme="minorHAnsi" w:eastAsiaTheme="minorEastAsia" w:cstheme="minorBidi"/>
      <w:lang w:val="en-US" w:eastAsia="zh-CN" w:bidi="ar-SA"/>
    </w:rPr>
  </w:style>
  <w:style w:type="character" w:customStyle="1" w:styleId="34">
    <w:name w:val="translated-span"/>
    <w:basedOn w:val="15"/>
    <w:qFormat/>
    <w:uiPriority w:val="0"/>
  </w:style>
  <w:style w:type="character" w:customStyle="1" w:styleId="35">
    <w:name w:val="标题 4 字符"/>
    <w:basedOn w:val="15"/>
    <w:link w:val="5"/>
    <w:semiHidden/>
    <w:qFormat/>
    <w:uiPriority w:val="9"/>
    <w:rPr>
      <w:rFonts w:asciiTheme="majorHAnsi" w:hAnsiTheme="majorHAnsi" w:eastAsiaTheme="majorEastAsia" w:cstheme="majorBidi"/>
      <w:b/>
      <w:bCs/>
      <w:kern w:val="2"/>
      <w:sz w:val="28"/>
      <w:szCs w:val="28"/>
    </w:rPr>
  </w:style>
  <w:style w:type="paragraph" w:customStyle="1" w:styleId="36">
    <w:name w:val="ds-markdown-paragraph"/>
    <w:basedOn w:val="1"/>
    <w:qFormat/>
    <w:uiPriority w:val="0"/>
    <w:pPr>
      <w:widowControl/>
      <w:spacing w:before="100" w:beforeAutospacing="1" w:after="100" w:afterAutospacing="1"/>
      <w:ind w:firstLine="0" w:firstLineChars="0"/>
    </w:pPr>
    <w:rPr>
      <w:rFonts w:cs="宋体"/>
      <w:bCs w:val="0"/>
      <w:kern w:val="0"/>
      <w:shd w:val="clear" w:color="auto" w:fill="auto"/>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Version="6" StyleName="APA" SelectedStyle="\APASixthEditionOfficeOnline.xsl"/>
</file>

<file path=customXml/itemProps1.xml><?xml version="1.0" encoding="utf-8"?>
<ds:datastoreItem xmlns:ds="http://schemas.openxmlformats.org/officeDocument/2006/customXml" ds:itemID="{C2A88A73-8D70-467D-8A06-0F009FB0EAE2}">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6</Pages>
  <Words>4919</Words>
  <Characters>5536</Characters>
  <Lines>40</Lines>
  <Paragraphs>11</Paragraphs>
  <TotalTime>6</TotalTime>
  <ScaleCrop>false</ScaleCrop>
  <LinksUpToDate>false</LinksUpToDate>
  <CharactersWithSpaces>5569</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2026-02-24T12:09:00Z</dcterms:created>
  <dc:creator>微软用户</dc:creator>
  <cp:lastModifiedBy>徐晓燕</cp:lastModifiedBy>
  <cp:lastPrinted>2020-06-15T18:13:00Z</cp:lastPrinted>
  <dcterms:modified xsi:type="dcterms:W3CDTF">2026-03-20T03:00:33Z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9C32514DC4254515B88F586FBD8C5B80_13</vt:lpwstr>
  </property>
</Properties>
</file>