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C5E6D">
      <w:pPr>
        <w:pStyle w:val="16"/>
        <w:ind w:firstLine="0" w:firstLineChars="0"/>
        <w:jc w:val="center"/>
        <w:rPr>
          <w:rFonts w:ascii="宋体" w:hAnsi="宋体" w:cs="宋体"/>
          <w:b/>
          <w:kern w:val="0"/>
          <w:sz w:val="30"/>
          <w:szCs w:val="30"/>
        </w:rPr>
      </w:pPr>
      <w:r>
        <w:rPr>
          <w:rFonts w:hint="eastAsia"/>
          <w:b/>
          <w:sz w:val="30"/>
          <w:szCs w:val="30"/>
        </w:rPr>
        <w:t>基于学科核心素养的初中高年级英语听说测试“复述活动”教学策略的研究实施</w:t>
      </w:r>
    </w:p>
    <w:p w14:paraId="6E01902C">
      <w:pPr>
        <w:pStyle w:val="16"/>
        <w:ind w:firstLine="608" w:firstLineChars="202"/>
        <w:rPr>
          <w:rFonts w:ascii="宋体" w:hAnsi="宋体" w:cs="宋体"/>
          <w:bCs/>
          <w:kern w:val="0"/>
          <w:sz w:val="24"/>
          <w:szCs w:val="24"/>
        </w:rPr>
      </w:pPr>
      <w:r>
        <w:rPr>
          <w:rFonts w:hint="eastAsia" w:ascii="宋体" w:hAnsi="宋体" w:cs="宋体"/>
          <w:b/>
          <w:kern w:val="0"/>
          <w:sz w:val="30"/>
          <w:szCs w:val="30"/>
        </w:rPr>
        <w:t xml:space="preserve">            </w:t>
      </w:r>
      <w:r>
        <w:rPr>
          <w:rFonts w:hint="eastAsia" w:ascii="宋体" w:hAnsi="宋体" w:cs="宋体"/>
          <w:bCs/>
          <w:kern w:val="0"/>
          <w:sz w:val="24"/>
          <w:szCs w:val="24"/>
        </w:rPr>
        <w:t xml:space="preserve"> 上海市南洋模范初级中学  戴浩</w:t>
      </w:r>
    </w:p>
    <w:p w14:paraId="39F46A63">
      <w:pPr>
        <w:pStyle w:val="7"/>
        <w:widowControl/>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bidi="ar-SA"/>
        </w:rPr>
        <w:t>摘要：</w:t>
      </w:r>
      <w:r>
        <w:rPr>
          <w:rFonts w:ascii="Times New Roman" w:hAnsi="Times New Roman" w:eastAsia="宋体" w:cs="Times New Roman"/>
          <w:kern w:val="0"/>
          <w:sz w:val="24"/>
          <w:szCs w:val="24"/>
          <w:lang w:val="en-US" w:eastAsia="zh-CN" w:bidi="ar-SA"/>
        </w:rPr>
        <w:t>本文</w:t>
      </w:r>
      <w:r>
        <w:rPr>
          <w:rFonts w:hint="eastAsia" w:ascii="Times New Roman" w:hAnsi="Times New Roman" w:eastAsia="宋体" w:cs="Times New Roman"/>
          <w:kern w:val="0"/>
          <w:sz w:val="24"/>
          <w:szCs w:val="24"/>
          <w:lang w:val="en-US" w:eastAsia="zh-CN" w:bidi="ar-SA"/>
        </w:rPr>
        <w:t>聚焦</w:t>
      </w:r>
      <w:r>
        <w:rPr>
          <w:rFonts w:ascii="Times New Roman" w:hAnsi="Times New Roman" w:eastAsia="宋体" w:cs="Times New Roman"/>
          <w:kern w:val="0"/>
          <w:sz w:val="24"/>
          <w:szCs w:val="24"/>
          <w:lang w:val="en-US" w:eastAsia="zh-CN" w:bidi="ar-SA"/>
        </w:rPr>
        <w:t>初中高年级英语听说测试中的“复述活动”，以《义务教育英语课程标准（2022年版）》为指导，针对学生普遍存在的复述概念不清、笔记策略低效、语言转换困难及测试焦虑等问题，设计并实施了基于学科核心素养的教学策略干预。研究构建了“发现问题-修正问题-归纳策略-运用实践-反思改进”的课堂微循环教学模式，通过提供分层语料、引导学生自主归纳笔记与表达策略、利用移动终端实现即时反馈与自评互评等具体方法，系统培养了学生的复述能力。实证结果表明，该策略体系能有效提升学生的听说综合表现，增强其学习策略运用意识与自主学习能力，从而促进语言能力、学习能力等核心素养维度的协同发展。</w:t>
      </w:r>
    </w:p>
    <w:p w14:paraId="039F7067">
      <w:pPr>
        <w:pStyle w:val="7"/>
        <w:widowControl/>
        <w:rPr>
          <w:rFonts w:ascii="Segoe UI" w:hAnsi="Segoe UI" w:eastAsia="Segoe UI" w:cs="Segoe UI"/>
          <w:color w:val="0F1115"/>
          <w:szCs w:val="24"/>
          <w:shd w:val="clear" w:color="auto" w:fill="FFFFFF"/>
        </w:rPr>
      </w:pPr>
    </w:p>
    <w:p w14:paraId="690D4236">
      <w:pPr>
        <w:pStyle w:val="7"/>
        <w:widowControl/>
        <w:rPr>
          <w:rFonts w:ascii="var(--dsw-font-markdown-base)" w:hAnsi="var(--dsw-font-markdown-base)" w:eastAsia="var(--dsw-font-markdown-base)" w:cs="var(--dsw-font-markdown-base)"/>
        </w:rPr>
      </w:pPr>
      <w:r>
        <w:rPr>
          <w:rFonts w:hint="eastAsia" w:ascii="Segoe UI" w:hAnsi="Segoe UI" w:cs="Segoe UI"/>
          <w:color w:val="0F1115"/>
          <w:szCs w:val="24"/>
          <w:shd w:val="clear" w:color="auto" w:fill="FFFFFF"/>
        </w:rPr>
        <w:t>关键词：</w:t>
      </w:r>
      <w:r>
        <w:rPr>
          <w:rFonts w:ascii="Segoe UI" w:hAnsi="Segoe UI" w:eastAsia="Segoe UI" w:cs="Segoe UI"/>
          <w:color w:val="0F1115"/>
          <w:szCs w:val="24"/>
          <w:shd w:val="clear" w:color="auto" w:fill="FFFFFF"/>
        </w:rPr>
        <w:t>核心素养</w:t>
      </w:r>
      <w:r>
        <w:rPr>
          <w:rFonts w:hint="eastAsia" w:ascii="Segoe UI" w:hAnsi="Segoe UI" w:cs="Segoe UI"/>
          <w:color w:val="0F1115"/>
          <w:szCs w:val="24"/>
          <w:shd w:val="clear" w:color="auto" w:fill="FFFFFF"/>
        </w:rPr>
        <w:t>；</w:t>
      </w:r>
      <w:r>
        <w:rPr>
          <w:rFonts w:ascii="Segoe UI" w:hAnsi="Segoe UI" w:eastAsia="Segoe UI" w:cs="Segoe UI"/>
          <w:color w:val="0F1115"/>
          <w:szCs w:val="24"/>
          <w:shd w:val="clear" w:color="auto" w:fill="FFFFFF"/>
        </w:rPr>
        <w:t>听说测试</w:t>
      </w:r>
      <w:r>
        <w:rPr>
          <w:rFonts w:hint="eastAsia" w:ascii="Segoe UI" w:hAnsi="Segoe UI" w:cs="Segoe UI"/>
          <w:color w:val="0F1115"/>
          <w:szCs w:val="24"/>
          <w:shd w:val="clear" w:color="auto" w:fill="FFFFFF"/>
        </w:rPr>
        <w:t>；</w:t>
      </w:r>
      <w:r>
        <w:rPr>
          <w:rFonts w:ascii="Segoe UI" w:hAnsi="Segoe UI" w:eastAsia="Segoe UI" w:cs="Segoe UI"/>
          <w:color w:val="0F1115"/>
          <w:szCs w:val="24"/>
          <w:shd w:val="clear" w:color="auto" w:fill="FFFFFF"/>
        </w:rPr>
        <w:t>复述活动</w:t>
      </w:r>
      <w:r>
        <w:rPr>
          <w:rFonts w:hint="eastAsia" w:ascii="Segoe UI" w:hAnsi="Segoe UI" w:cs="Segoe UI"/>
          <w:color w:val="0F1115"/>
          <w:szCs w:val="24"/>
          <w:shd w:val="clear" w:color="auto" w:fill="FFFFFF"/>
        </w:rPr>
        <w:t>；</w:t>
      </w:r>
      <w:r>
        <w:rPr>
          <w:rFonts w:ascii="Segoe UI" w:hAnsi="Segoe UI" w:eastAsia="Segoe UI" w:cs="Segoe UI"/>
          <w:color w:val="0F1115"/>
          <w:szCs w:val="24"/>
          <w:shd w:val="clear" w:color="auto" w:fill="FFFFFF"/>
        </w:rPr>
        <w:t>学习策略</w:t>
      </w:r>
    </w:p>
    <w:p w14:paraId="34C696CA">
      <w:pPr>
        <w:pStyle w:val="2"/>
        <w:widowControl/>
        <w:shd w:val="clear" w:color="auto" w:fill="FFFFFF"/>
        <w:spacing w:before="480" w:beforeAutospacing="0" w:after="240" w:afterAutospacing="0"/>
        <w:rPr>
          <w:rFonts w:ascii="Times New Roman" w:hAnsi="Times New Roman" w:eastAsiaTheme="minorEastAsia"/>
          <w:sz w:val="24"/>
          <w:szCs w:val="24"/>
        </w:rPr>
      </w:pPr>
      <w:r>
        <w:rPr>
          <w:rStyle w:val="10"/>
          <w:rFonts w:hint="default" w:ascii="Segoe UI" w:hAnsi="Segoe UI" w:eastAsia="Segoe UI" w:cs="Segoe UI"/>
          <w:b/>
          <w:color w:val="0F1115"/>
          <w:shd w:val="clear" w:color="auto" w:fill="FFFFFF"/>
        </w:rPr>
        <w:t>一、 引言与研究背景</w:t>
      </w:r>
      <w:r>
        <w:rPr>
          <w:rStyle w:val="10"/>
          <w:rFonts w:ascii="Segoe UI" w:hAnsi="Segoe UI" w:cs="Segoe UI" w:eastAsiaTheme="minorEastAsia"/>
          <w:b/>
          <w:color w:val="0F1115"/>
          <w:shd w:val="clear" w:color="auto" w:fill="FFFFFF"/>
        </w:rPr>
        <w:t xml:space="preserve"> </w:t>
      </w:r>
      <w:r>
        <w:rPr>
          <w:rStyle w:val="10"/>
          <w:rFonts w:hint="default" w:ascii="Segoe UI" w:hAnsi="Segoe UI" w:cs="Segoe UI" w:eastAsiaTheme="minorEastAsia"/>
          <w:b/>
          <w:color w:val="0F1115"/>
          <w:shd w:val="clear" w:color="auto" w:fill="FFFFFF"/>
        </w:rPr>
        <w:t xml:space="preserve"> </w:t>
      </w:r>
    </w:p>
    <w:p w14:paraId="630DEE18">
      <w:pPr>
        <w:pStyle w:val="16"/>
        <w:ind w:firstLine="484" w:firstLineChars="202"/>
        <w:rPr>
          <w:rFonts w:ascii="Times New Roman" w:hAnsi="Times New Roman"/>
          <w:kern w:val="0"/>
          <w:sz w:val="24"/>
          <w:szCs w:val="24"/>
        </w:rPr>
      </w:pPr>
      <w:r>
        <w:rPr>
          <w:rFonts w:ascii="Times New Roman" w:hAnsi="Times New Roman"/>
          <w:kern w:val="0"/>
          <w:sz w:val="24"/>
          <w:szCs w:val="24"/>
        </w:rPr>
        <w:t>《义务教育英语课程标准（2022年版）》（教育部，2022 ；以下简称《新课标》）</w:t>
      </w:r>
      <w:r>
        <w:rPr>
          <w:rStyle w:val="12"/>
          <w:rFonts w:ascii="Times New Roman" w:hAnsi="Times New Roman"/>
          <w:kern w:val="0"/>
          <w:sz w:val="24"/>
          <w:szCs w:val="24"/>
        </w:rPr>
        <w:footnoteReference w:id="0"/>
      </w:r>
      <w:r>
        <w:rPr>
          <w:rFonts w:ascii="Times New Roman" w:hAnsi="Times New Roman"/>
          <w:kern w:val="0"/>
          <w:sz w:val="24"/>
          <w:szCs w:val="24"/>
        </w:rPr>
        <w:t>提出，英语课程内容的六要素之一就是语言技能，而听、说能力则是语言技能的重要组成部分。在听说能力中，听是理解性技能，说是表达性技能。理解性技能和表达性技能在语言学习过程中相辅相成、相互促进（教育部，2022）。</w:t>
      </w:r>
    </w:p>
    <w:p w14:paraId="768280B7">
      <w:pPr>
        <w:pStyle w:val="16"/>
        <w:ind w:firstLine="484" w:firstLineChars="202"/>
        <w:rPr>
          <w:rFonts w:ascii="Times New Roman" w:hAnsi="Times New Roman"/>
          <w:kern w:val="0"/>
          <w:sz w:val="24"/>
          <w:szCs w:val="24"/>
        </w:rPr>
      </w:pPr>
      <w:r>
        <w:rPr>
          <w:rFonts w:ascii="Times New Roman" w:hAnsi="Times New Roman"/>
          <w:kern w:val="0"/>
          <w:sz w:val="24"/>
          <w:szCs w:val="24"/>
        </w:rPr>
        <w:t>随着中考新政的推出，中考英语科目增设了听说测试，标志着上海基础教育课程改革逐步迈向“核心素养”时代。核心素养是课程育人价值的集中体现，是学生通过课程学习逐步形成的适应个人终身发展和社会发展需要的正确价值观、必备品格和关键能力。英语课程要培养的学生核心素养包括语言能力、文化意识、思维品质和学习能力等方面。语言能力是核心素养的基础要素,文化意识体现核心素养的价值取向，思维品质反映核心素养的心智特征，学习能力是核心素养发展的关键要素。核心素养的四个方面相互渗透，融合互动，协同发展</w:t>
      </w:r>
      <w:r>
        <w:rPr>
          <w:rStyle w:val="12"/>
          <w:rFonts w:ascii="Times New Roman" w:hAnsi="Times New Roman"/>
          <w:kern w:val="0"/>
          <w:sz w:val="24"/>
          <w:szCs w:val="24"/>
        </w:rPr>
        <w:footnoteReference w:id="1"/>
      </w:r>
      <w:r>
        <w:rPr>
          <w:rFonts w:ascii="Times New Roman" w:hAnsi="Times New Roman"/>
          <w:kern w:val="0"/>
          <w:sz w:val="24"/>
          <w:szCs w:val="24"/>
        </w:rPr>
        <w:t>。</w:t>
      </w:r>
    </w:p>
    <w:p w14:paraId="471CD284">
      <w:pPr>
        <w:pStyle w:val="16"/>
        <w:ind w:firstLine="484" w:firstLineChars="202"/>
        <w:rPr>
          <w:rFonts w:ascii="Times New Roman" w:hAnsi="Times New Roman"/>
          <w:kern w:val="0"/>
          <w:sz w:val="24"/>
          <w:szCs w:val="24"/>
        </w:rPr>
      </w:pPr>
      <w:r>
        <w:rPr>
          <w:rFonts w:ascii="Times New Roman" w:hAnsi="Times New Roman"/>
          <w:kern w:val="0"/>
          <w:sz w:val="24"/>
          <w:szCs w:val="24"/>
        </w:rPr>
        <w:t>根据参加新政下听说测试模拟考学生的真实反馈，听说测试有一定难度，不少学生尤其对retell即复述部分</w:t>
      </w:r>
      <w:r>
        <w:rPr>
          <w:rFonts w:hint="eastAsia" w:ascii="Times New Roman" w:hAnsi="Times New Roman"/>
          <w:kern w:val="0"/>
          <w:sz w:val="24"/>
          <w:szCs w:val="24"/>
        </w:rPr>
        <w:t>感到</w:t>
      </w:r>
      <w:r>
        <w:rPr>
          <w:rFonts w:ascii="Times New Roman" w:hAnsi="Times New Roman"/>
          <w:kern w:val="0"/>
          <w:sz w:val="24"/>
          <w:szCs w:val="24"/>
        </w:rPr>
        <w:t>无所适从。通过复听学生录音、查看学生复述笔记以及问卷调查，发现主要问题在于：</w:t>
      </w:r>
    </w:p>
    <w:p w14:paraId="49BFB6A5">
      <w:pPr>
        <w:pStyle w:val="16"/>
        <w:numPr>
          <w:ilvl w:val="0"/>
          <w:numId w:val="1"/>
        </w:numPr>
        <w:ind w:firstLine="484" w:firstLineChars="202"/>
        <w:rPr>
          <w:rFonts w:ascii="Times New Roman" w:hAnsi="Times New Roman"/>
          <w:kern w:val="0"/>
          <w:sz w:val="24"/>
          <w:szCs w:val="24"/>
        </w:rPr>
      </w:pPr>
      <w:r>
        <w:rPr>
          <w:rFonts w:ascii="Segoe UI" w:hAnsi="Segoe UI" w:eastAsia="Segoe UI" w:cs="Segoe UI"/>
          <w:color w:val="0F1115"/>
          <w:sz w:val="24"/>
          <w:szCs w:val="24"/>
          <w:shd w:val="clear" w:color="auto" w:fill="FFFFFF"/>
        </w:rPr>
        <w:t>复述概念不清</w:t>
      </w:r>
      <w:r>
        <w:rPr>
          <w:rFonts w:hint="eastAsia" w:ascii="Segoe UI" w:hAnsi="Segoe UI" w:cs="Segoe UI"/>
          <w:color w:val="0F1115"/>
          <w:sz w:val="24"/>
          <w:szCs w:val="24"/>
          <w:shd w:val="clear" w:color="auto" w:fill="FFFFFF"/>
        </w:rPr>
        <w:t>。</w:t>
      </w:r>
      <w:r>
        <w:rPr>
          <w:rFonts w:ascii="Times New Roman" w:hAnsi="Times New Roman"/>
          <w:kern w:val="0"/>
          <w:sz w:val="24"/>
          <w:szCs w:val="24"/>
        </w:rPr>
        <w:t>大部分学生根本不知道何为复述，以为复述只是对文本的简单重复，继而把大量的精力集中在复制和背诵文本上。</w:t>
      </w:r>
    </w:p>
    <w:p w14:paraId="7D33E79F">
      <w:pPr>
        <w:pStyle w:val="16"/>
        <w:numPr>
          <w:ilvl w:val="0"/>
          <w:numId w:val="2"/>
        </w:numPr>
        <w:ind w:firstLine="484" w:firstLineChars="202"/>
        <w:rPr>
          <w:rFonts w:ascii="Times New Roman" w:hAnsi="Times New Roman"/>
          <w:kern w:val="0"/>
          <w:sz w:val="24"/>
          <w:szCs w:val="24"/>
        </w:rPr>
      </w:pPr>
      <w:r>
        <w:rPr>
          <w:rFonts w:ascii="Segoe UI" w:hAnsi="Segoe UI" w:eastAsia="Segoe UI" w:cs="Segoe UI"/>
          <w:color w:val="0F1115"/>
          <w:sz w:val="24"/>
          <w:szCs w:val="24"/>
          <w:shd w:val="clear" w:color="auto" w:fill="FFFFFF"/>
        </w:rPr>
        <w:t>笔记策略低效</w:t>
      </w:r>
      <w:r>
        <w:rPr>
          <w:rFonts w:hint="eastAsia" w:ascii="Segoe UI" w:hAnsi="Segoe UI" w:cs="Segoe UI"/>
          <w:color w:val="0F1115"/>
          <w:sz w:val="24"/>
          <w:szCs w:val="24"/>
          <w:shd w:val="clear" w:color="auto" w:fill="FFFFFF"/>
        </w:rPr>
        <w:t>。</w:t>
      </w:r>
      <w:r>
        <w:rPr>
          <w:rFonts w:ascii="Times New Roman" w:hAnsi="Times New Roman"/>
          <w:kern w:val="0"/>
          <w:sz w:val="24"/>
          <w:szCs w:val="24"/>
        </w:rPr>
        <w:t>学生记录笔记时，总是企图把所有的词句都记录下来，最终顾此失彼，反而遗漏重要信息。</w:t>
      </w:r>
    </w:p>
    <w:p w14:paraId="633B8B67">
      <w:pPr>
        <w:pStyle w:val="16"/>
        <w:numPr>
          <w:ilvl w:val="0"/>
          <w:numId w:val="2"/>
        </w:numPr>
        <w:ind w:firstLine="484" w:firstLineChars="202"/>
        <w:rPr>
          <w:rFonts w:ascii="Times New Roman" w:hAnsi="Times New Roman"/>
          <w:kern w:val="0"/>
          <w:sz w:val="24"/>
          <w:szCs w:val="24"/>
        </w:rPr>
      </w:pPr>
      <w:r>
        <w:rPr>
          <w:rFonts w:ascii="Segoe UI" w:hAnsi="Segoe UI" w:eastAsia="Segoe UI" w:cs="Segoe UI"/>
          <w:color w:val="0F1115"/>
          <w:sz w:val="24"/>
          <w:szCs w:val="24"/>
          <w:shd w:val="clear" w:color="auto" w:fill="FFFFFF"/>
        </w:rPr>
        <w:t>语言转换困难</w:t>
      </w:r>
      <w:r>
        <w:rPr>
          <w:rFonts w:hint="eastAsia" w:ascii="Segoe UI" w:hAnsi="Segoe UI" w:cs="Segoe UI"/>
          <w:color w:val="0F1115"/>
          <w:sz w:val="24"/>
          <w:szCs w:val="24"/>
          <w:shd w:val="clear" w:color="auto" w:fill="FFFFFF"/>
        </w:rPr>
        <w:t>。</w:t>
      </w:r>
      <w:r>
        <w:rPr>
          <w:rFonts w:ascii="Times New Roman" w:hAnsi="Times New Roman"/>
          <w:kern w:val="0"/>
          <w:sz w:val="24"/>
          <w:szCs w:val="24"/>
        </w:rPr>
        <w:t>学生在复述中，存在语法</w:t>
      </w:r>
      <w:r>
        <w:rPr>
          <w:rFonts w:hint="eastAsia" w:ascii="Times New Roman" w:hAnsi="Times New Roman"/>
          <w:kern w:val="0"/>
          <w:sz w:val="24"/>
          <w:szCs w:val="24"/>
        </w:rPr>
        <w:t>和逻辑</w:t>
      </w:r>
      <w:r>
        <w:rPr>
          <w:rFonts w:ascii="Times New Roman" w:hAnsi="Times New Roman"/>
          <w:kern w:val="0"/>
          <w:sz w:val="24"/>
          <w:szCs w:val="24"/>
        </w:rPr>
        <w:t>等其他表述错误。</w:t>
      </w:r>
    </w:p>
    <w:p w14:paraId="0E6ACA85">
      <w:pPr>
        <w:pStyle w:val="16"/>
        <w:ind w:firstLine="484" w:firstLineChars="202"/>
        <w:rPr>
          <w:rFonts w:ascii="Times New Roman" w:hAnsi="Times New Roman"/>
          <w:kern w:val="0"/>
          <w:sz w:val="24"/>
          <w:szCs w:val="24"/>
        </w:rPr>
      </w:pPr>
      <w:r>
        <w:rPr>
          <w:rFonts w:ascii="Times New Roman" w:hAnsi="Times New Roman"/>
          <w:kern w:val="0"/>
          <w:sz w:val="24"/>
          <w:szCs w:val="24"/>
        </w:rPr>
        <w:t>4.</w:t>
      </w:r>
      <w:r>
        <w:rPr>
          <w:rFonts w:hint="eastAsia" w:ascii="Times New Roman" w:hAnsi="Times New Roman"/>
          <w:kern w:val="0"/>
          <w:sz w:val="24"/>
          <w:szCs w:val="24"/>
        </w:rPr>
        <w:t xml:space="preserve"> </w:t>
      </w:r>
      <w:r>
        <w:rPr>
          <w:rFonts w:ascii="Segoe UI" w:hAnsi="Segoe UI" w:eastAsia="Segoe UI" w:cs="Segoe UI"/>
          <w:color w:val="0F1115"/>
          <w:sz w:val="24"/>
          <w:szCs w:val="24"/>
          <w:shd w:val="clear" w:color="auto" w:fill="FFFFFF"/>
        </w:rPr>
        <w:t>测试</w:t>
      </w:r>
      <w:r>
        <w:rPr>
          <w:rFonts w:hint="eastAsia" w:ascii="Segoe UI" w:hAnsi="Segoe UI" w:cs="Segoe UI"/>
          <w:color w:val="0F1115"/>
          <w:sz w:val="24"/>
          <w:szCs w:val="24"/>
          <w:shd w:val="clear" w:color="auto" w:fill="FFFFFF"/>
        </w:rPr>
        <w:t>个人</w:t>
      </w:r>
      <w:r>
        <w:rPr>
          <w:rFonts w:ascii="Segoe UI" w:hAnsi="Segoe UI" w:eastAsia="Segoe UI" w:cs="Segoe UI"/>
          <w:color w:val="0F1115"/>
          <w:sz w:val="24"/>
          <w:szCs w:val="24"/>
          <w:shd w:val="clear" w:color="auto" w:fill="FFFFFF"/>
        </w:rPr>
        <w:t>焦虑</w:t>
      </w:r>
      <w:r>
        <w:rPr>
          <w:rFonts w:hint="eastAsia" w:ascii="Segoe UI" w:hAnsi="Segoe UI" w:cs="Segoe UI"/>
          <w:color w:val="0F1115"/>
          <w:sz w:val="24"/>
          <w:szCs w:val="24"/>
          <w:shd w:val="clear" w:color="auto" w:fill="FFFFFF"/>
        </w:rPr>
        <w:t>。</w:t>
      </w:r>
      <w:r>
        <w:rPr>
          <w:rFonts w:ascii="Times New Roman" w:hAnsi="Times New Roman"/>
          <w:kern w:val="0"/>
          <w:sz w:val="24"/>
          <w:szCs w:val="24"/>
        </w:rPr>
        <w:t>被非智力因素比如</w:t>
      </w:r>
      <w:r>
        <w:rPr>
          <w:rFonts w:hint="eastAsia" w:ascii="Times New Roman" w:hAnsi="Times New Roman"/>
          <w:kern w:val="0"/>
          <w:sz w:val="24"/>
          <w:szCs w:val="24"/>
        </w:rPr>
        <w:t>焦虑</w:t>
      </w:r>
      <w:r>
        <w:rPr>
          <w:rFonts w:ascii="Times New Roman" w:hAnsi="Times New Roman"/>
          <w:kern w:val="0"/>
          <w:sz w:val="24"/>
          <w:szCs w:val="24"/>
        </w:rPr>
        <w:t>情绪左右，无法专注。</w:t>
      </w:r>
    </w:p>
    <w:p w14:paraId="10ED6123">
      <w:pPr>
        <w:pStyle w:val="16"/>
        <w:ind w:firstLine="484" w:firstLineChars="202"/>
        <w:rPr>
          <w:rFonts w:ascii="Times New Roman" w:hAnsi="Times New Roman"/>
          <w:kern w:val="0"/>
          <w:sz w:val="24"/>
          <w:szCs w:val="24"/>
        </w:rPr>
      </w:pPr>
      <w:r>
        <w:rPr>
          <w:rFonts w:ascii="Times New Roman" w:hAnsi="Times New Roman"/>
          <w:kern w:val="0"/>
          <w:sz w:val="24"/>
          <w:szCs w:val="24"/>
        </w:rPr>
        <w:t>要帮助学生解决问题，必须教会他们解决问题的方法，即学习策略。学习策略指的是学生在学习过程中为促进学习而有意进行的一系列活动</w:t>
      </w:r>
      <w:r>
        <w:rPr>
          <w:rStyle w:val="12"/>
          <w:rFonts w:ascii="Times New Roman" w:hAnsi="Times New Roman"/>
          <w:kern w:val="0"/>
          <w:sz w:val="24"/>
          <w:szCs w:val="24"/>
        </w:rPr>
        <w:footnoteReference w:id="2"/>
      </w:r>
      <w:r>
        <w:rPr>
          <w:rFonts w:ascii="Times New Roman" w:hAnsi="Times New Roman"/>
          <w:kern w:val="0"/>
          <w:sz w:val="24"/>
          <w:szCs w:val="24"/>
        </w:rPr>
        <w:t>。新课标指出：在英语教学过程中，教师要有意识地帮助指导学生形成适合自己的学习策略，并不断调整自己的学习策略。在英语课程实施中，帮助学生有效地使用学习策略，不仅有利于他们把握学习的方向，采用科学的途径，提高学习效率，而且还有助于他们形成自主学习的能力，为终身可持续性学习奠定基础。学习策略的培养是课堂教学的一项重要内容。</w:t>
      </w:r>
    </w:p>
    <w:p w14:paraId="429AAA36">
      <w:pPr>
        <w:pStyle w:val="16"/>
        <w:ind w:firstLine="484" w:firstLineChars="202"/>
        <w:rPr>
          <w:rFonts w:ascii="Times New Roman" w:hAnsi="Times New Roman"/>
          <w:kern w:val="0"/>
          <w:sz w:val="24"/>
          <w:szCs w:val="24"/>
        </w:rPr>
      </w:pPr>
      <w:r>
        <w:rPr>
          <w:rFonts w:ascii="Times New Roman" w:hAnsi="Times New Roman"/>
          <w:kern w:val="0"/>
          <w:sz w:val="24"/>
          <w:szCs w:val="24"/>
        </w:rPr>
        <w:t>由此，本次课题研究成果报告以初中高年级即九年级听说测试复述策略指导课为切入点，详细说明如何在初中高年级听说课堂中培养学生形成基于“学科核心素养”的听说能力学习策略，以期发展学生的核心素养。</w:t>
      </w:r>
    </w:p>
    <w:p w14:paraId="4A729A49">
      <w:pPr>
        <w:pStyle w:val="16"/>
        <w:ind w:firstLine="484" w:firstLineChars="202"/>
        <w:rPr>
          <w:rFonts w:ascii="Times New Roman" w:hAnsi="Times New Roman"/>
          <w:kern w:val="0"/>
          <w:sz w:val="24"/>
          <w:szCs w:val="24"/>
        </w:rPr>
      </w:pPr>
    </w:p>
    <w:p w14:paraId="175D970A">
      <w:pPr>
        <w:pStyle w:val="16"/>
        <w:ind w:firstLine="484" w:firstLineChars="202"/>
        <w:rPr>
          <w:rFonts w:ascii="Times New Roman" w:hAnsi="Times New Roman"/>
          <w:kern w:val="0"/>
          <w:sz w:val="24"/>
          <w:szCs w:val="24"/>
        </w:rPr>
      </w:pPr>
      <w:r>
        <w:rPr>
          <w:rFonts w:ascii="Times New Roman" w:hAnsi="Times New Roman"/>
          <w:kern w:val="0"/>
          <w:sz w:val="24"/>
          <w:szCs w:val="24"/>
        </w:rPr>
        <w:t>二、实践研究剖析</w:t>
      </w:r>
    </w:p>
    <w:p w14:paraId="18DED5DC">
      <w:pPr>
        <w:pStyle w:val="16"/>
        <w:ind w:firstLine="484" w:firstLineChars="202"/>
        <w:rPr>
          <w:rFonts w:ascii="Times New Roman" w:hAnsi="Times New Roman"/>
          <w:kern w:val="0"/>
          <w:sz w:val="24"/>
          <w:szCs w:val="24"/>
        </w:rPr>
      </w:pPr>
      <w:r>
        <w:rPr>
          <w:rFonts w:ascii="Times New Roman" w:hAnsi="Times New Roman"/>
          <w:kern w:val="0"/>
          <w:sz w:val="24"/>
          <w:szCs w:val="24"/>
        </w:rPr>
        <w:t>（一）研究设计</w:t>
      </w:r>
    </w:p>
    <w:p w14:paraId="559EFC06">
      <w:pPr>
        <w:pStyle w:val="16"/>
        <w:ind w:firstLine="484" w:firstLineChars="202"/>
        <w:rPr>
          <w:rFonts w:ascii="Times New Roman" w:hAnsi="Times New Roman"/>
          <w:kern w:val="0"/>
          <w:sz w:val="24"/>
          <w:szCs w:val="24"/>
        </w:rPr>
      </w:pPr>
      <w:r>
        <w:rPr>
          <w:rFonts w:ascii="Times New Roman" w:hAnsi="Times New Roman"/>
          <w:kern w:val="0"/>
          <w:sz w:val="24"/>
          <w:szCs w:val="24"/>
        </w:rPr>
        <w:t>1. 研究对象: 参加本研究的是我校</w:t>
      </w:r>
      <w:r>
        <w:rPr>
          <w:rFonts w:hint="eastAsia" w:ascii="Times New Roman" w:hAnsi="Times New Roman"/>
          <w:kern w:val="0"/>
          <w:sz w:val="24"/>
          <w:szCs w:val="24"/>
        </w:rPr>
        <w:t>高年级：</w:t>
      </w:r>
      <w:r>
        <w:rPr>
          <w:rFonts w:ascii="Times New Roman" w:hAnsi="Times New Roman"/>
          <w:kern w:val="0"/>
          <w:sz w:val="24"/>
          <w:szCs w:val="24"/>
        </w:rPr>
        <w:t>九年级四个班级的 168 名学生。在实验前和实验后进行了两次集中问卷调查，共收回有效问卷 162 份( 实验前 81 份，实验后 81 份) 。</w:t>
      </w:r>
    </w:p>
    <w:p w14:paraId="6D4ED76D">
      <w:pPr>
        <w:pStyle w:val="16"/>
        <w:ind w:firstLine="484" w:firstLineChars="202"/>
        <w:rPr>
          <w:rFonts w:ascii="Times New Roman" w:hAnsi="Times New Roman"/>
          <w:kern w:val="0"/>
          <w:sz w:val="24"/>
          <w:szCs w:val="24"/>
        </w:rPr>
      </w:pPr>
    </w:p>
    <w:p w14:paraId="3F8E0426">
      <w:pPr>
        <w:pStyle w:val="16"/>
        <w:ind w:firstLine="484" w:firstLineChars="202"/>
        <w:rPr>
          <w:rFonts w:ascii="Times New Roman" w:hAnsi="Times New Roman"/>
          <w:kern w:val="0"/>
          <w:sz w:val="24"/>
          <w:szCs w:val="24"/>
        </w:rPr>
      </w:pPr>
      <w:r>
        <w:rPr>
          <w:rFonts w:ascii="Times New Roman" w:hAnsi="Times New Roman"/>
          <w:kern w:val="0"/>
          <w:sz w:val="24"/>
          <w:szCs w:val="24"/>
        </w:rPr>
        <w:t>2. 研究材料: 为了提升学生的积极参与度和热情，复述材料选用符合新课标初三听说测试难度的材料，难易程度由浅入深，使学生每完成一篇材料的复述具备一定的成就感。</w:t>
      </w:r>
    </w:p>
    <w:p w14:paraId="1E395F72">
      <w:pPr>
        <w:pStyle w:val="16"/>
        <w:ind w:firstLine="484" w:firstLineChars="202"/>
        <w:rPr>
          <w:rFonts w:ascii="Times New Roman" w:hAnsi="Times New Roman"/>
          <w:kern w:val="0"/>
          <w:sz w:val="24"/>
          <w:szCs w:val="24"/>
        </w:rPr>
      </w:pPr>
    </w:p>
    <w:p w14:paraId="006A4F0C">
      <w:pPr>
        <w:pStyle w:val="16"/>
        <w:ind w:firstLine="484" w:firstLineChars="202"/>
        <w:rPr>
          <w:rFonts w:ascii="Times New Roman" w:hAnsi="Times New Roman"/>
          <w:kern w:val="0"/>
          <w:sz w:val="24"/>
          <w:szCs w:val="24"/>
        </w:rPr>
      </w:pPr>
      <w:r>
        <w:rPr>
          <w:rFonts w:ascii="Times New Roman" w:hAnsi="Times New Roman"/>
          <w:kern w:val="0"/>
          <w:sz w:val="24"/>
          <w:szCs w:val="24"/>
        </w:rPr>
        <w:t>3. 研究步骤: 研究期间，每次听说复述课后都给学生布置复述作业。要求每位学生每周复述 2 ～ 3 篇不同体裁的听说材料，每周至少总结出一篇听说复述策略心得，使学生既可在复述中扩大词汇的认知，又可在写作中学会如何使用认知的词汇。老师要及时总结，鼓励学生取得的成绩，并及时对复述技巧和复述策略加以指导。</w:t>
      </w:r>
    </w:p>
    <w:p w14:paraId="11870AFE">
      <w:pPr>
        <w:pStyle w:val="16"/>
        <w:ind w:firstLine="484" w:firstLineChars="202"/>
        <w:rPr>
          <w:rFonts w:ascii="Times New Roman" w:hAnsi="Times New Roman"/>
          <w:kern w:val="0"/>
          <w:sz w:val="24"/>
          <w:szCs w:val="24"/>
        </w:rPr>
      </w:pPr>
    </w:p>
    <w:p w14:paraId="0AD1D079">
      <w:pPr>
        <w:pStyle w:val="16"/>
        <w:ind w:firstLine="484" w:firstLineChars="202"/>
        <w:rPr>
          <w:rFonts w:ascii="Times New Roman" w:hAnsi="Times New Roman"/>
          <w:kern w:val="0"/>
          <w:sz w:val="24"/>
          <w:szCs w:val="24"/>
        </w:rPr>
      </w:pPr>
      <w:r>
        <w:rPr>
          <w:rFonts w:ascii="Times New Roman" w:hAnsi="Times New Roman"/>
          <w:kern w:val="0"/>
          <w:sz w:val="24"/>
          <w:szCs w:val="24"/>
        </w:rPr>
        <w:t>（二）结果和分析</w:t>
      </w:r>
    </w:p>
    <w:p w14:paraId="5F4A8FB5">
      <w:pPr>
        <w:pStyle w:val="16"/>
        <w:ind w:firstLine="484" w:firstLineChars="202"/>
        <w:rPr>
          <w:rFonts w:ascii="Times New Roman" w:hAnsi="Times New Roman"/>
          <w:kern w:val="0"/>
          <w:sz w:val="24"/>
          <w:szCs w:val="24"/>
        </w:rPr>
      </w:pPr>
      <w:r>
        <w:rPr>
          <w:rFonts w:ascii="Times New Roman" w:hAnsi="Times New Roman"/>
          <w:kern w:val="0"/>
          <w:sz w:val="24"/>
          <w:szCs w:val="24"/>
        </w:rPr>
        <w:t>1. 抽样调查结果</w:t>
      </w:r>
    </w:p>
    <w:p w14:paraId="7BA66AB0">
      <w:pPr>
        <w:pStyle w:val="16"/>
        <w:ind w:firstLine="484" w:firstLineChars="202"/>
        <w:rPr>
          <w:rFonts w:ascii="Times New Roman" w:hAnsi="Times New Roman"/>
          <w:kern w:val="0"/>
          <w:sz w:val="24"/>
          <w:szCs w:val="24"/>
        </w:rPr>
      </w:pPr>
      <w:r>
        <w:rPr>
          <w:rFonts w:ascii="Times New Roman" w:hAnsi="Times New Roman"/>
          <w:kern w:val="0"/>
          <w:sz w:val="24"/>
          <w:szCs w:val="24"/>
        </w:rPr>
        <w:t>为了证明复述策略对提高英语核心素养的助推和提升作用，本人对9年级的 4 个班级168人进行了两次集中的抽样调查，共收回抽样调查问卷 162 份( 实验前 81 份，实验后 81 份) 。班级分别为: 01，02，03，04。</w:t>
      </w:r>
    </w:p>
    <w:p w14:paraId="183205F3">
      <w:pPr>
        <w:pStyle w:val="16"/>
        <w:ind w:firstLine="484" w:firstLineChars="202"/>
        <w:rPr>
          <w:rFonts w:ascii="Times New Roman" w:hAnsi="Times New Roman"/>
          <w:kern w:val="0"/>
          <w:sz w:val="24"/>
          <w:szCs w:val="24"/>
        </w:rPr>
      </w:pPr>
      <w:r>
        <w:rPr>
          <w:rFonts w:ascii="Times New Roman" w:hAnsi="Times New Roman"/>
          <w:kern w:val="0"/>
          <w:sz w:val="24"/>
          <w:szCs w:val="24"/>
        </w:rPr>
        <w:t>实验前: 202</w:t>
      </w:r>
      <w:r>
        <w:rPr>
          <w:rFonts w:hint="eastAsia" w:ascii="Times New Roman" w:hAnsi="Times New Roman"/>
          <w:kern w:val="0"/>
          <w:sz w:val="24"/>
          <w:szCs w:val="24"/>
        </w:rPr>
        <w:t>3</w:t>
      </w:r>
      <w:r>
        <w:rPr>
          <w:rFonts w:ascii="Times New Roman" w:hAnsi="Times New Roman"/>
          <w:kern w:val="0"/>
          <w:sz w:val="24"/>
          <w:szCs w:val="24"/>
        </w:rPr>
        <w:t xml:space="preserve"> 年 11 月 2 日 实验后: 202</w:t>
      </w:r>
      <w:r>
        <w:rPr>
          <w:rFonts w:hint="eastAsia" w:ascii="Times New Roman" w:hAnsi="Times New Roman"/>
          <w:kern w:val="0"/>
          <w:sz w:val="24"/>
          <w:szCs w:val="24"/>
        </w:rPr>
        <w:t>4</w:t>
      </w:r>
      <w:r>
        <w:rPr>
          <w:rFonts w:ascii="Times New Roman" w:hAnsi="Times New Roman"/>
          <w:kern w:val="0"/>
          <w:sz w:val="24"/>
          <w:szCs w:val="24"/>
        </w:rPr>
        <w:t xml:space="preserve"> 年 11 月 20 日</w:t>
      </w:r>
    </w:p>
    <w:p w14:paraId="6FBA3594">
      <w:pPr>
        <w:pStyle w:val="16"/>
        <w:ind w:firstLine="484" w:firstLineChars="202"/>
        <w:rPr>
          <w:rFonts w:ascii="Times New Roman" w:hAnsi="Times New Roman"/>
          <w:kern w:val="0"/>
          <w:sz w:val="24"/>
          <w:szCs w:val="24"/>
        </w:rPr>
      </w:pPr>
    </w:p>
    <w:tbl>
      <w:tblPr>
        <w:tblStyle w:val="8"/>
        <w:tblW w:w="0" w:type="auto"/>
        <w:tblInd w:w="1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49"/>
        <w:gridCol w:w="1076"/>
        <w:gridCol w:w="587"/>
        <w:gridCol w:w="963"/>
        <w:gridCol w:w="650"/>
        <w:gridCol w:w="919"/>
      </w:tblGrid>
      <w:tr w14:paraId="6EBFD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2449" w:type="dxa"/>
            <w:tcBorders>
              <w:left w:val="single" w:color="000000" w:sz="8" w:space="0"/>
            </w:tcBorders>
          </w:tcPr>
          <w:p w14:paraId="4F9AA720">
            <w:pPr>
              <w:pStyle w:val="16"/>
              <w:ind w:firstLine="303" w:firstLineChars="202"/>
              <w:rPr>
                <w:rFonts w:ascii="Times New Roman" w:hAnsi="Times New Roman"/>
                <w:kern w:val="0"/>
                <w:sz w:val="15"/>
                <w:szCs w:val="15"/>
              </w:rPr>
            </w:pPr>
          </w:p>
          <w:p w14:paraId="16F9B80A">
            <w:pPr>
              <w:pStyle w:val="16"/>
              <w:ind w:firstLine="303" w:firstLineChars="202"/>
              <w:rPr>
                <w:rFonts w:ascii="Times New Roman" w:hAnsi="Times New Roman"/>
                <w:kern w:val="0"/>
                <w:sz w:val="15"/>
                <w:szCs w:val="15"/>
              </w:rPr>
            </w:pPr>
            <w:r>
              <w:rPr>
                <w:rFonts w:ascii="Times New Roman" w:hAnsi="Times New Roman"/>
                <w:kern w:val="0"/>
                <w:sz w:val="15"/>
                <w:szCs w:val="15"/>
              </w:rPr>
              <w:t>调查内容</w:t>
            </w:r>
          </w:p>
        </w:tc>
        <w:tc>
          <w:tcPr>
            <w:tcW w:w="1076" w:type="dxa"/>
          </w:tcPr>
          <w:p w14:paraId="108F2FB7">
            <w:pPr>
              <w:pStyle w:val="16"/>
              <w:ind w:firstLine="303" w:firstLineChars="202"/>
              <w:rPr>
                <w:rFonts w:ascii="Times New Roman" w:hAnsi="Times New Roman"/>
                <w:kern w:val="0"/>
                <w:sz w:val="15"/>
                <w:szCs w:val="15"/>
              </w:rPr>
            </w:pPr>
            <w:r>
              <w:rPr>
                <w:rFonts w:ascii="Times New Roman" w:hAnsi="Times New Roman"/>
                <w:kern w:val="0"/>
                <w:sz w:val="15"/>
                <w:szCs w:val="15"/>
              </w:rPr>
              <w:t>实验前收</w:t>
            </w:r>
          </w:p>
          <w:p w14:paraId="5AABEA94">
            <w:pPr>
              <w:pStyle w:val="16"/>
              <w:ind w:firstLine="303" w:firstLineChars="202"/>
              <w:rPr>
                <w:rFonts w:ascii="Times New Roman" w:hAnsi="Times New Roman"/>
                <w:kern w:val="0"/>
                <w:sz w:val="15"/>
                <w:szCs w:val="15"/>
              </w:rPr>
            </w:pPr>
            <w:r>
              <w:rPr>
                <w:rFonts w:ascii="Times New Roman" w:hAnsi="Times New Roman"/>
                <w:kern w:val="0"/>
                <w:sz w:val="15"/>
                <w:szCs w:val="15"/>
              </w:rPr>
              <w:t>表人数</w:t>
            </w:r>
          </w:p>
        </w:tc>
        <w:tc>
          <w:tcPr>
            <w:tcW w:w="587" w:type="dxa"/>
          </w:tcPr>
          <w:p w14:paraId="3575D5D3">
            <w:pPr>
              <w:pStyle w:val="16"/>
              <w:ind w:firstLine="303" w:firstLineChars="202"/>
              <w:rPr>
                <w:rFonts w:ascii="Times New Roman" w:hAnsi="Times New Roman"/>
                <w:kern w:val="0"/>
                <w:sz w:val="15"/>
                <w:szCs w:val="15"/>
              </w:rPr>
            </w:pPr>
          </w:p>
          <w:p w14:paraId="1C147AB2">
            <w:pPr>
              <w:pStyle w:val="16"/>
              <w:ind w:firstLine="303" w:firstLineChars="202"/>
              <w:rPr>
                <w:rFonts w:ascii="Times New Roman" w:hAnsi="Times New Roman"/>
                <w:kern w:val="0"/>
                <w:sz w:val="15"/>
                <w:szCs w:val="15"/>
              </w:rPr>
            </w:pPr>
            <w:r>
              <w:rPr>
                <w:rFonts w:ascii="Times New Roman" w:hAnsi="Times New Roman"/>
                <w:kern w:val="0"/>
                <w:sz w:val="15"/>
                <w:szCs w:val="15"/>
              </w:rPr>
              <w:t>%</w:t>
            </w:r>
          </w:p>
        </w:tc>
        <w:tc>
          <w:tcPr>
            <w:tcW w:w="963" w:type="dxa"/>
          </w:tcPr>
          <w:p w14:paraId="03FE8D12">
            <w:pPr>
              <w:pStyle w:val="16"/>
              <w:ind w:firstLine="303" w:firstLineChars="202"/>
              <w:rPr>
                <w:rFonts w:ascii="Times New Roman" w:hAnsi="Times New Roman"/>
                <w:kern w:val="0"/>
                <w:sz w:val="15"/>
                <w:szCs w:val="15"/>
              </w:rPr>
            </w:pPr>
            <w:r>
              <w:rPr>
                <w:rFonts w:ascii="Times New Roman" w:hAnsi="Times New Roman"/>
                <w:kern w:val="0"/>
                <w:sz w:val="15"/>
                <w:szCs w:val="15"/>
              </w:rPr>
              <w:t>实验后收</w:t>
            </w:r>
          </w:p>
          <w:p w14:paraId="7C8C4D7F">
            <w:pPr>
              <w:pStyle w:val="16"/>
              <w:ind w:firstLine="303" w:firstLineChars="202"/>
              <w:rPr>
                <w:rFonts w:ascii="Times New Roman" w:hAnsi="Times New Roman"/>
                <w:kern w:val="0"/>
                <w:sz w:val="15"/>
                <w:szCs w:val="15"/>
              </w:rPr>
            </w:pPr>
            <w:r>
              <w:rPr>
                <w:rFonts w:ascii="Times New Roman" w:hAnsi="Times New Roman"/>
                <w:kern w:val="0"/>
                <w:sz w:val="15"/>
                <w:szCs w:val="15"/>
              </w:rPr>
              <w:t>表人数</w:t>
            </w:r>
          </w:p>
        </w:tc>
        <w:tc>
          <w:tcPr>
            <w:tcW w:w="650" w:type="dxa"/>
          </w:tcPr>
          <w:p w14:paraId="0E171674">
            <w:pPr>
              <w:pStyle w:val="16"/>
              <w:ind w:firstLine="303" w:firstLineChars="202"/>
              <w:rPr>
                <w:rFonts w:ascii="Times New Roman" w:hAnsi="Times New Roman"/>
                <w:kern w:val="0"/>
                <w:sz w:val="15"/>
                <w:szCs w:val="15"/>
              </w:rPr>
            </w:pPr>
          </w:p>
          <w:p w14:paraId="3CE7F2D2">
            <w:pPr>
              <w:pStyle w:val="16"/>
              <w:ind w:firstLine="303" w:firstLineChars="202"/>
              <w:rPr>
                <w:rFonts w:ascii="Times New Roman" w:hAnsi="Times New Roman"/>
                <w:kern w:val="0"/>
                <w:sz w:val="15"/>
                <w:szCs w:val="15"/>
              </w:rPr>
            </w:pPr>
            <w:r>
              <w:rPr>
                <w:rFonts w:ascii="Times New Roman" w:hAnsi="Times New Roman"/>
                <w:kern w:val="0"/>
                <w:sz w:val="15"/>
                <w:szCs w:val="15"/>
              </w:rPr>
              <w:t>%</w:t>
            </w:r>
          </w:p>
        </w:tc>
        <w:tc>
          <w:tcPr>
            <w:tcW w:w="919" w:type="dxa"/>
            <w:tcBorders>
              <w:right w:val="single" w:color="000000" w:sz="8" w:space="0"/>
            </w:tcBorders>
          </w:tcPr>
          <w:p w14:paraId="6EEB7E21">
            <w:pPr>
              <w:pStyle w:val="16"/>
              <w:ind w:firstLine="303" w:firstLineChars="202"/>
              <w:rPr>
                <w:rFonts w:ascii="Times New Roman" w:hAnsi="Times New Roman"/>
                <w:kern w:val="0"/>
                <w:sz w:val="15"/>
                <w:szCs w:val="15"/>
              </w:rPr>
            </w:pPr>
          </w:p>
          <w:p w14:paraId="19BA4AB3">
            <w:pPr>
              <w:pStyle w:val="16"/>
              <w:ind w:firstLine="303" w:firstLineChars="202"/>
              <w:rPr>
                <w:rFonts w:ascii="Times New Roman" w:hAnsi="Times New Roman"/>
                <w:kern w:val="0"/>
                <w:sz w:val="15"/>
                <w:szCs w:val="15"/>
              </w:rPr>
            </w:pPr>
            <w:r>
              <w:rPr>
                <w:rFonts w:ascii="Times New Roman" w:hAnsi="Times New Roman"/>
                <w:kern w:val="0"/>
                <w:sz w:val="15"/>
                <w:szCs w:val="15"/>
              </w:rPr>
              <w:t>% 差异</w:t>
            </w:r>
          </w:p>
        </w:tc>
      </w:tr>
      <w:tr w14:paraId="78420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2449" w:type="dxa"/>
            <w:tcBorders>
              <w:left w:val="single" w:color="000000" w:sz="8" w:space="0"/>
            </w:tcBorders>
          </w:tcPr>
          <w:p w14:paraId="03B80AE2">
            <w:pPr>
              <w:pStyle w:val="16"/>
              <w:ind w:firstLine="303" w:firstLineChars="202"/>
              <w:rPr>
                <w:rFonts w:ascii="Times New Roman" w:hAnsi="Times New Roman"/>
                <w:kern w:val="0"/>
                <w:sz w:val="15"/>
                <w:szCs w:val="15"/>
              </w:rPr>
            </w:pPr>
          </w:p>
        </w:tc>
        <w:tc>
          <w:tcPr>
            <w:tcW w:w="1076" w:type="dxa"/>
          </w:tcPr>
          <w:p w14:paraId="1DBF5AEE">
            <w:pPr>
              <w:pStyle w:val="16"/>
              <w:ind w:firstLine="303" w:firstLineChars="202"/>
              <w:rPr>
                <w:rFonts w:ascii="Times New Roman" w:hAnsi="Times New Roman"/>
                <w:kern w:val="0"/>
                <w:sz w:val="15"/>
                <w:szCs w:val="15"/>
              </w:rPr>
            </w:pPr>
            <w:r>
              <w:rPr>
                <w:rFonts w:ascii="Times New Roman" w:hAnsi="Times New Roman"/>
                <w:kern w:val="0"/>
                <w:sz w:val="15"/>
                <w:szCs w:val="15"/>
              </w:rPr>
              <w:t>81</w:t>
            </w:r>
          </w:p>
        </w:tc>
        <w:tc>
          <w:tcPr>
            <w:tcW w:w="587" w:type="dxa"/>
          </w:tcPr>
          <w:p w14:paraId="4C7A6A9A">
            <w:pPr>
              <w:pStyle w:val="16"/>
              <w:ind w:firstLine="303" w:firstLineChars="202"/>
              <w:rPr>
                <w:rFonts w:ascii="Times New Roman" w:hAnsi="Times New Roman"/>
                <w:kern w:val="0"/>
                <w:sz w:val="15"/>
                <w:szCs w:val="15"/>
              </w:rPr>
            </w:pPr>
          </w:p>
        </w:tc>
        <w:tc>
          <w:tcPr>
            <w:tcW w:w="963" w:type="dxa"/>
          </w:tcPr>
          <w:p w14:paraId="022E9FC6">
            <w:pPr>
              <w:pStyle w:val="16"/>
              <w:ind w:firstLine="303" w:firstLineChars="202"/>
              <w:rPr>
                <w:rFonts w:ascii="Times New Roman" w:hAnsi="Times New Roman"/>
                <w:kern w:val="0"/>
                <w:sz w:val="15"/>
                <w:szCs w:val="15"/>
              </w:rPr>
            </w:pPr>
            <w:r>
              <w:rPr>
                <w:rFonts w:ascii="Times New Roman" w:hAnsi="Times New Roman"/>
                <w:kern w:val="0"/>
                <w:sz w:val="15"/>
                <w:szCs w:val="15"/>
              </w:rPr>
              <w:t>81</w:t>
            </w:r>
          </w:p>
        </w:tc>
        <w:tc>
          <w:tcPr>
            <w:tcW w:w="650" w:type="dxa"/>
          </w:tcPr>
          <w:p w14:paraId="752A9749">
            <w:pPr>
              <w:pStyle w:val="16"/>
              <w:ind w:firstLine="303" w:firstLineChars="202"/>
              <w:rPr>
                <w:rFonts w:ascii="Times New Roman" w:hAnsi="Times New Roman"/>
                <w:kern w:val="0"/>
                <w:sz w:val="15"/>
                <w:szCs w:val="15"/>
              </w:rPr>
            </w:pPr>
          </w:p>
        </w:tc>
        <w:tc>
          <w:tcPr>
            <w:tcW w:w="919" w:type="dxa"/>
            <w:tcBorders>
              <w:right w:val="single" w:color="000000" w:sz="8" w:space="0"/>
            </w:tcBorders>
          </w:tcPr>
          <w:p w14:paraId="3180082C">
            <w:pPr>
              <w:pStyle w:val="16"/>
              <w:ind w:firstLine="303" w:firstLineChars="202"/>
              <w:rPr>
                <w:rFonts w:ascii="Times New Roman" w:hAnsi="Times New Roman"/>
                <w:kern w:val="0"/>
                <w:sz w:val="15"/>
                <w:szCs w:val="15"/>
              </w:rPr>
            </w:pPr>
          </w:p>
        </w:tc>
      </w:tr>
      <w:tr w14:paraId="1F609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2449" w:type="dxa"/>
            <w:tcBorders>
              <w:left w:val="single" w:color="000000" w:sz="8" w:space="0"/>
            </w:tcBorders>
          </w:tcPr>
          <w:p w14:paraId="4E69C2A5">
            <w:pPr>
              <w:pStyle w:val="16"/>
              <w:ind w:firstLine="303" w:firstLineChars="202"/>
              <w:rPr>
                <w:rFonts w:ascii="Times New Roman" w:hAnsi="Times New Roman"/>
                <w:kern w:val="0"/>
                <w:sz w:val="15"/>
                <w:szCs w:val="15"/>
              </w:rPr>
            </w:pPr>
            <w:r>
              <w:rPr>
                <w:rFonts w:ascii="Times New Roman" w:hAnsi="Times New Roman"/>
                <w:kern w:val="0"/>
                <w:sz w:val="15"/>
                <w:szCs w:val="15"/>
              </w:rPr>
              <w:t>理解学习策略</w:t>
            </w:r>
          </w:p>
        </w:tc>
        <w:tc>
          <w:tcPr>
            <w:tcW w:w="1076" w:type="dxa"/>
          </w:tcPr>
          <w:p w14:paraId="4952D958">
            <w:pPr>
              <w:pStyle w:val="16"/>
              <w:ind w:firstLine="303" w:firstLineChars="202"/>
              <w:rPr>
                <w:rFonts w:ascii="Times New Roman" w:hAnsi="Times New Roman"/>
                <w:kern w:val="0"/>
                <w:sz w:val="15"/>
                <w:szCs w:val="15"/>
              </w:rPr>
            </w:pPr>
            <w:r>
              <w:rPr>
                <w:rFonts w:ascii="Times New Roman" w:hAnsi="Times New Roman"/>
                <w:kern w:val="0"/>
                <w:sz w:val="15"/>
                <w:szCs w:val="15"/>
              </w:rPr>
              <w:t>2</w:t>
            </w:r>
          </w:p>
        </w:tc>
        <w:tc>
          <w:tcPr>
            <w:tcW w:w="587" w:type="dxa"/>
          </w:tcPr>
          <w:p w14:paraId="6D1410AB">
            <w:pPr>
              <w:pStyle w:val="16"/>
              <w:ind w:firstLine="303" w:firstLineChars="202"/>
              <w:rPr>
                <w:rFonts w:ascii="Times New Roman" w:hAnsi="Times New Roman"/>
                <w:kern w:val="0"/>
                <w:sz w:val="15"/>
                <w:szCs w:val="15"/>
              </w:rPr>
            </w:pPr>
            <w:r>
              <w:rPr>
                <w:rFonts w:ascii="Times New Roman" w:hAnsi="Times New Roman"/>
                <w:kern w:val="0"/>
                <w:sz w:val="15"/>
                <w:szCs w:val="15"/>
              </w:rPr>
              <w:t>2.46</w:t>
            </w:r>
          </w:p>
        </w:tc>
        <w:tc>
          <w:tcPr>
            <w:tcW w:w="963" w:type="dxa"/>
          </w:tcPr>
          <w:p w14:paraId="15FA5EDE">
            <w:pPr>
              <w:pStyle w:val="16"/>
              <w:ind w:firstLine="303" w:firstLineChars="202"/>
              <w:rPr>
                <w:rFonts w:ascii="Times New Roman" w:hAnsi="Times New Roman"/>
                <w:kern w:val="0"/>
                <w:sz w:val="15"/>
                <w:szCs w:val="15"/>
              </w:rPr>
            </w:pPr>
            <w:r>
              <w:rPr>
                <w:rFonts w:ascii="Times New Roman" w:hAnsi="Times New Roman"/>
                <w:kern w:val="0"/>
                <w:sz w:val="15"/>
                <w:szCs w:val="15"/>
              </w:rPr>
              <w:t>12</w:t>
            </w:r>
          </w:p>
        </w:tc>
        <w:tc>
          <w:tcPr>
            <w:tcW w:w="650" w:type="dxa"/>
          </w:tcPr>
          <w:p w14:paraId="10B872E8">
            <w:pPr>
              <w:pStyle w:val="16"/>
              <w:ind w:left="0" w:leftChars="0" w:firstLine="0" w:firstLineChars="0"/>
              <w:rPr>
                <w:rFonts w:ascii="Times New Roman" w:hAnsi="Times New Roman"/>
                <w:kern w:val="0"/>
                <w:sz w:val="15"/>
                <w:szCs w:val="15"/>
              </w:rPr>
            </w:pPr>
            <w:r>
              <w:rPr>
                <w:rFonts w:ascii="Times New Roman" w:hAnsi="Times New Roman"/>
                <w:kern w:val="0"/>
                <w:sz w:val="15"/>
                <w:szCs w:val="15"/>
              </w:rPr>
              <w:t>14.81</w:t>
            </w:r>
          </w:p>
        </w:tc>
        <w:tc>
          <w:tcPr>
            <w:tcW w:w="919" w:type="dxa"/>
            <w:tcBorders>
              <w:right w:val="single" w:color="000000" w:sz="8" w:space="0"/>
            </w:tcBorders>
          </w:tcPr>
          <w:p w14:paraId="5C7BA241">
            <w:pPr>
              <w:pStyle w:val="16"/>
              <w:ind w:firstLine="303" w:firstLineChars="202"/>
              <w:rPr>
                <w:rFonts w:ascii="Times New Roman" w:hAnsi="Times New Roman"/>
                <w:kern w:val="0"/>
                <w:sz w:val="15"/>
                <w:szCs w:val="15"/>
              </w:rPr>
            </w:pPr>
            <w:r>
              <w:rPr>
                <w:rFonts w:ascii="Times New Roman" w:hAnsi="Times New Roman"/>
                <w:kern w:val="0"/>
                <w:sz w:val="15"/>
                <w:szCs w:val="15"/>
              </w:rPr>
              <w:t>+ 12.355</w:t>
            </w:r>
          </w:p>
        </w:tc>
      </w:tr>
      <w:tr w14:paraId="3B140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449" w:type="dxa"/>
            <w:tcBorders>
              <w:left w:val="single" w:color="000000" w:sz="8" w:space="0"/>
            </w:tcBorders>
          </w:tcPr>
          <w:p w14:paraId="27111F35">
            <w:pPr>
              <w:pStyle w:val="16"/>
              <w:ind w:firstLine="303" w:firstLineChars="202"/>
              <w:rPr>
                <w:rFonts w:ascii="Times New Roman" w:hAnsi="Times New Roman"/>
                <w:kern w:val="0"/>
                <w:sz w:val="15"/>
                <w:szCs w:val="15"/>
              </w:rPr>
            </w:pPr>
            <w:r>
              <w:rPr>
                <w:rFonts w:ascii="Times New Roman" w:hAnsi="Times New Roman"/>
                <w:kern w:val="0"/>
                <w:sz w:val="15"/>
                <w:szCs w:val="15"/>
              </w:rPr>
              <w:t>理解听说复述学习策略</w:t>
            </w:r>
          </w:p>
        </w:tc>
        <w:tc>
          <w:tcPr>
            <w:tcW w:w="1076" w:type="dxa"/>
          </w:tcPr>
          <w:p w14:paraId="211F8B16">
            <w:pPr>
              <w:pStyle w:val="16"/>
              <w:ind w:firstLine="303" w:firstLineChars="202"/>
              <w:rPr>
                <w:rFonts w:ascii="Times New Roman" w:hAnsi="Times New Roman"/>
                <w:kern w:val="0"/>
                <w:sz w:val="15"/>
                <w:szCs w:val="15"/>
              </w:rPr>
            </w:pPr>
            <w:r>
              <w:rPr>
                <w:rFonts w:ascii="Times New Roman" w:hAnsi="Times New Roman"/>
                <w:kern w:val="0"/>
                <w:sz w:val="15"/>
                <w:szCs w:val="15"/>
              </w:rPr>
              <w:t>0</w:t>
            </w:r>
          </w:p>
        </w:tc>
        <w:tc>
          <w:tcPr>
            <w:tcW w:w="587" w:type="dxa"/>
          </w:tcPr>
          <w:p w14:paraId="5D8FC14D">
            <w:pPr>
              <w:pStyle w:val="16"/>
              <w:ind w:firstLine="303" w:firstLineChars="202"/>
              <w:rPr>
                <w:rFonts w:ascii="Times New Roman" w:hAnsi="Times New Roman"/>
                <w:kern w:val="0"/>
                <w:sz w:val="15"/>
                <w:szCs w:val="15"/>
              </w:rPr>
            </w:pPr>
            <w:r>
              <w:rPr>
                <w:rFonts w:ascii="Times New Roman" w:hAnsi="Times New Roman"/>
                <w:kern w:val="0"/>
                <w:sz w:val="15"/>
                <w:szCs w:val="15"/>
              </w:rPr>
              <w:t>0</w:t>
            </w:r>
          </w:p>
        </w:tc>
        <w:tc>
          <w:tcPr>
            <w:tcW w:w="963" w:type="dxa"/>
          </w:tcPr>
          <w:p w14:paraId="4735ED07">
            <w:pPr>
              <w:pStyle w:val="16"/>
              <w:ind w:firstLine="303" w:firstLineChars="202"/>
              <w:rPr>
                <w:rFonts w:ascii="Times New Roman" w:hAnsi="Times New Roman"/>
                <w:kern w:val="0"/>
                <w:sz w:val="15"/>
                <w:szCs w:val="15"/>
              </w:rPr>
            </w:pPr>
            <w:r>
              <w:rPr>
                <w:rFonts w:ascii="Times New Roman" w:hAnsi="Times New Roman"/>
                <w:kern w:val="0"/>
                <w:sz w:val="15"/>
                <w:szCs w:val="15"/>
              </w:rPr>
              <w:t>10</w:t>
            </w:r>
          </w:p>
        </w:tc>
        <w:tc>
          <w:tcPr>
            <w:tcW w:w="650" w:type="dxa"/>
          </w:tcPr>
          <w:p w14:paraId="38138240">
            <w:pPr>
              <w:pStyle w:val="16"/>
              <w:ind w:left="0" w:leftChars="0" w:firstLine="0" w:firstLineChars="0"/>
              <w:rPr>
                <w:rFonts w:ascii="Times New Roman" w:hAnsi="Times New Roman"/>
                <w:kern w:val="0"/>
                <w:sz w:val="15"/>
                <w:szCs w:val="15"/>
              </w:rPr>
            </w:pPr>
            <w:r>
              <w:rPr>
                <w:rFonts w:ascii="Times New Roman" w:hAnsi="Times New Roman"/>
                <w:kern w:val="0"/>
                <w:sz w:val="15"/>
                <w:szCs w:val="15"/>
              </w:rPr>
              <w:t>12.35</w:t>
            </w:r>
          </w:p>
        </w:tc>
        <w:tc>
          <w:tcPr>
            <w:tcW w:w="919" w:type="dxa"/>
            <w:tcBorders>
              <w:right w:val="single" w:color="000000" w:sz="8" w:space="0"/>
            </w:tcBorders>
          </w:tcPr>
          <w:p w14:paraId="559C1057">
            <w:pPr>
              <w:pStyle w:val="16"/>
              <w:ind w:firstLine="303" w:firstLineChars="202"/>
              <w:rPr>
                <w:rFonts w:ascii="Times New Roman" w:hAnsi="Times New Roman"/>
                <w:kern w:val="0"/>
                <w:sz w:val="15"/>
                <w:szCs w:val="15"/>
              </w:rPr>
            </w:pPr>
            <w:r>
              <w:rPr>
                <w:rFonts w:ascii="Times New Roman" w:hAnsi="Times New Roman"/>
                <w:kern w:val="0"/>
                <w:sz w:val="15"/>
                <w:szCs w:val="15"/>
              </w:rPr>
              <w:t>+ 12.35</w:t>
            </w:r>
          </w:p>
        </w:tc>
      </w:tr>
      <w:tr w14:paraId="56940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2449" w:type="dxa"/>
            <w:tcBorders>
              <w:left w:val="single" w:color="000000" w:sz="8" w:space="0"/>
            </w:tcBorders>
          </w:tcPr>
          <w:p w14:paraId="184CA3C1">
            <w:pPr>
              <w:pStyle w:val="16"/>
              <w:ind w:firstLine="303" w:firstLineChars="202"/>
              <w:rPr>
                <w:rFonts w:ascii="Times New Roman" w:hAnsi="Times New Roman"/>
                <w:kern w:val="0"/>
                <w:sz w:val="15"/>
                <w:szCs w:val="15"/>
              </w:rPr>
            </w:pPr>
            <w:r>
              <w:rPr>
                <w:rFonts w:ascii="Times New Roman" w:hAnsi="Times New Roman"/>
                <w:kern w:val="0"/>
                <w:sz w:val="15"/>
                <w:szCs w:val="15"/>
              </w:rPr>
              <w:t>使用复述学习策略提高英语听力</w:t>
            </w:r>
          </w:p>
        </w:tc>
        <w:tc>
          <w:tcPr>
            <w:tcW w:w="1076" w:type="dxa"/>
          </w:tcPr>
          <w:p w14:paraId="6111E244">
            <w:pPr>
              <w:pStyle w:val="16"/>
              <w:ind w:firstLine="303" w:firstLineChars="202"/>
              <w:rPr>
                <w:rFonts w:ascii="Times New Roman" w:hAnsi="Times New Roman"/>
                <w:kern w:val="0"/>
                <w:sz w:val="15"/>
                <w:szCs w:val="15"/>
              </w:rPr>
            </w:pPr>
            <w:r>
              <w:rPr>
                <w:rFonts w:ascii="Times New Roman" w:hAnsi="Times New Roman"/>
                <w:kern w:val="0"/>
                <w:sz w:val="15"/>
                <w:szCs w:val="15"/>
              </w:rPr>
              <w:t>2</w:t>
            </w:r>
          </w:p>
        </w:tc>
        <w:tc>
          <w:tcPr>
            <w:tcW w:w="587" w:type="dxa"/>
          </w:tcPr>
          <w:p w14:paraId="27DE7BC2">
            <w:pPr>
              <w:pStyle w:val="16"/>
              <w:ind w:firstLine="303" w:firstLineChars="202"/>
              <w:rPr>
                <w:rFonts w:ascii="Times New Roman" w:hAnsi="Times New Roman"/>
                <w:kern w:val="0"/>
                <w:sz w:val="15"/>
                <w:szCs w:val="15"/>
              </w:rPr>
            </w:pPr>
            <w:r>
              <w:rPr>
                <w:rFonts w:ascii="Times New Roman" w:hAnsi="Times New Roman"/>
                <w:kern w:val="0"/>
                <w:sz w:val="15"/>
                <w:szCs w:val="15"/>
              </w:rPr>
              <w:t>2.4</w:t>
            </w:r>
          </w:p>
        </w:tc>
        <w:tc>
          <w:tcPr>
            <w:tcW w:w="963" w:type="dxa"/>
          </w:tcPr>
          <w:p w14:paraId="2591E531">
            <w:pPr>
              <w:pStyle w:val="16"/>
              <w:ind w:firstLine="303" w:firstLineChars="202"/>
              <w:rPr>
                <w:rFonts w:ascii="Times New Roman" w:hAnsi="Times New Roman"/>
                <w:kern w:val="0"/>
                <w:sz w:val="15"/>
                <w:szCs w:val="15"/>
              </w:rPr>
            </w:pPr>
            <w:r>
              <w:rPr>
                <w:rFonts w:ascii="Times New Roman" w:hAnsi="Times New Roman"/>
                <w:kern w:val="0"/>
                <w:sz w:val="15"/>
                <w:szCs w:val="15"/>
              </w:rPr>
              <w:t>21</w:t>
            </w:r>
          </w:p>
        </w:tc>
        <w:tc>
          <w:tcPr>
            <w:tcW w:w="650" w:type="dxa"/>
          </w:tcPr>
          <w:p w14:paraId="382BF027">
            <w:pPr>
              <w:pStyle w:val="16"/>
              <w:ind w:firstLine="303" w:firstLineChars="202"/>
              <w:rPr>
                <w:rFonts w:ascii="Times New Roman" w:hAnsi="Times New Roman"/>
                <w:kern w:val="0"/>
                <w:sz w:val="15"/>
                <w:szCs w:val="15"/>
              </w:rPr>
            </w:pPr>
            <w:r>
              <w:rPr>
                <w:rFonts w:ascii="Times New Roman" w:hAnsi="Times New Roman"/>
                <w:kern w:val="0"/>
                <w:sz w:val="15"/>
                <w:szCs w:val="15"/>
              </w:rPr>
              <w:t>21． 67</w:t>
            </w:r>
          </w:p>
        </w:tc>
        <w:tc>
          <w:tcPr>
            <w:tcW w:w="919" w:type="dxa"/>
            <w:tcBorders>
              <w:right w:val="single" w:color="000000" w:sz="8" w:space="0"/>
            </w:tcBorders>
          </w:tcPr>
          <w:p w14:paraId="3C5F0865">
            <w:pPr>
              <w:pStyle w:val="16"/>
              <w:ind w:firstLine="303" w:firstLineChars="202"/>
              <w:rPr>
                <w:rFonts w:ascii="Times New Roman" w:hAnsi="Times New Roman"/>
                <w:kern w:val="0"/>
                <w:sz w:val="15"/>
                <w:szCs w:val="15"/>
              </w:rPr>
            </w:pPr>
            <w:r>
              <w:rPr>
                <w:rFonts w:ascii="Times New Roman" w:hAnsi="Times New Roman"/>
                <w:kern w:val="0"/>
                <w:sz w:val="15"/>
                <w:szCs w:val="15"/>
              </w:rPr>
              <w:t>+ 17.28</w:t>
            </w:r>
          </w:p>
        </w:tc>
      </w:tr>
      <w:tr w14:paraId="70719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2449" w:type="dxa"/>
            <w:tcBorders>
              <w:left w:val="single" w:color="000000" w:sz="8" w:space="0"/>
            </w:tcBorders>
          </w:tcPr>
          <w:p w14:paraId="51B17C7E">
            <w:pPr>
              <w:pStyle w:val="16"/>
              <w:ind w:firstLine="303" w:firstLineChars="202"/>
              <w:rPr>
                <w:rFonts w:ascii="Times New Roman" w:hAnsi="Times New Roman"/>
                <w:kern w:val="0"/>
                <w:sz w:val="15"/>
                <w:szCs w:val="15"/>
              </w:rPr>
            </w:pPr>
            <w:r>
              <w:rPr>
                <w:rFonts w:ascii="Times New Roman" w:hAnsi="Times New Roman"/>
                <w:kern w:val="0"/>
                <w:sz w:val="15"/>
                <w:szCs w:val="15"/>
              </w:rPr>
              <w:t>使用复述策略提高英语核心素养</w:t>
            </w:r>
          </w:p>
        </w:tc>
        <w:tc>
          <w:tcPr>
            <w:tcW w:w="1076" w:type="dxa"/>
          </w:tcPr>
          <w:p w14:paraId="146C35B7">
            <w:pPr>
              <w:pStyle w:val="16"/>
              <w:ind w:firstLine="303" w:firstLineChars="202"/>
              <w:rPr>
                <w:rFonts w:ascii="Times New Roman" w:hAnsi="Times New Roman"/>
                <w:kern w:val="0"/>
                <w:sz w:val="15"/>
                <w:szCs w:val="15"/>
              </w:rPr>
            </w:pPr>
            <w:r>
              <w:rPr>
                <w:rFonts w:ascii="Times New Roman" w:hAnsi="Times New Roman"/>
                <w:kern w:val="0"/>
                <w:sz w:val="15"/>
                <w:szCs w:val="15"/>
              </w:rPr>
              <w:t>4</w:t>
            </w:r>
          </w:p>
        </w:tc>
        <w:tc>
          <w:tcPr>
            <w:tcW w:w="587" w:type="dxa"/>
          </w:tcPr>
          <w:p w14:paraId="1F4ECC57">
            <w:pPr>
              <w:pStyle w:val="16"/>
              <w:ind w:firstLine="303" w:firstLineChars="202"/>
              <w:rPr>
                <w:rFonts w:ascii="Times New Roman" w:hAnsi="Times New Roman"/>
                <w:kern w:val="0"/>
                <w:sz w:val="15"/>
                <w:szCs w:val="15"/>
              </w:rPr>
            </w:pPr>
            <w:r>
              <w:rPr>
                <w:rFonts w:ascii="Times New Roman" w:hAnsi="Times New Roman"/>
                <w:kern w:val="0"/>
                <w:sz w:val="15"/>
                <w:szCs w:val="15"/>
              </w:rPr>
              <w:t>3． 34</w:t>
            </w:r>
          </w:p>
        </w:tc>
        <w:tc>
          <w:tcPr>
            <w:tcW w:w="963" w:type="dxa"/>
          </w:tcPr>
          <w:p w14:paraId="730BF18A">
            <w:pPr>
              <w:pStyle w:val="16"/>
              <w:ind w:firstLine="303" w:firstLineChars="202"/>
              <w:rPr>
                <w:rFonts w:ascii="Times New Roman" w:hAnsi="Times New Roman"/>
                <w:kern w:val="0"/>
                <w:sz w:val="15"/>
                <w:szCs w:val="15"/>
              </w:rPr>
            </w:pPr>
            <w:r>
              <w:rPr>
                <w:rFonts w:ascii="Times New Roman" w:hAnsi="Times New Roman"/>
                <w:kern w:val="0"/>
                <w:sz w:val="15"/>
                <w:szCs w:val="15"/>
              </w:rPr>
              <w:t>34</w:t>
            </w:r>
          </w:p>
        </w:tc>
        <w:tc>
          <w:tcPr>
            <w:tcW w:w="650" w:type="dxa"/>
          </w:tcPr>
          <w:p w14:paraId="73122537">
            <w:pPr>
              <w:pStyle w:val="16"/>
              <w:ind w:firstLine="303" w:firstLineChars="202"/>
              <w:rPr>
                <w:rFonts w:ascii="Times New Roman" w:hAnsi="Times New Roman"/>
                <w:kern w:val="0"/>
                <w:sz w:val="15"/>
                <w:szCs w:val="15"/>
              </w:rPr>
            </w:pPr>
            <w:r>
              <w:rPr>
                <w:rFonts w:ascii="Times New Roman" w:hAnsi="Times New Roman"/>
                <w:kern w:val="0"/>
                <w:sz w:val="15"/>
                <w:szCs w:val="15"/>
              </w:rPr>
              <w:t>41.98</w:t>
            </w:r>
          </w:p>
        </w:tc>
        <w:tc>
          <w:tcPr>
            <w:tcW w:w="919" w:type="dxa"/>
            <w:tcBorders>
              <w:right w:val="single" w:color="000000" w:sz="8" w:space="0"/>
            </w:tcBorders>
          </w:tcPr>
          <w:p w14:paraId="14DE8963">
            <w:pPr>
              <w:pStyle w:val="16"/>
              <w:ind w:firstLine="303" w:firstLineChars="202"/>
              <w:rPr>
                <w:rFonts w:ascii="Times New Roman" w:hAnsi="Times New Roman"/>
                <w:kern w:val="0"/>
                <w:sz w:val="15"/>
                <w:szCs w:val="15"/>
              </w:rPr>
            </w:pPr>
            <w:r>
              <w:rPr>
                <w:rFonts w:ascii="Times New Roman" w:hAnsi="Times New Roman"/>
                <w:kern w:val="0"/>
                <w:sz w:val="15"/>
                <w:szCs w:val="15"/>
              </w:rPr>
              <w:t>+ 37.04</w:t>
            </w:r>
          </w:p>
        </w:tc>
      </w:tr>
      <w:tr w14:paraId="11C9F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449" w:type="dxa"/>
            <w:tcBorders>
              <w:left w:val="single" w:color="000000" w:sz="8" w:space="0"/>
            </w:tcBorders>
          </w:tcPr>
          <w:p w14:paraId="4418EFD2">
            <w:pPr>
              <w:pStyle w:val="16"/>
              <w:ind w:firstLine="303" w:firstLineChars="202"/>
              <w:rPr>
                <w:rFonts w:ascii="Times New Roman" w:hAnsi="Times New Roman"/>
                <w:kern w:val="0"/>
                <w:sz w:val="15"/>
                <w:szCs w:val="15"/>
              </w:rPr>
            </w:pPr>
            <w:r>
              <w:rPr>
                <w:rFonts w:ascii="Times New Roman" w:hAnsi="Times New Roman"/>
                <w:kern w:val="0"/>
                <w:sz w:val="15"/>
                <w:szCs w:val="15"/>
              </w:rPr>
              <w:t>使用单词手册提高英语核心素养</w:t>
            </w:r>
          </w:p>
        </w:tc>
        <w:tc>
          <w:tcPr>
            <w:tcW w:w="1076" w:type="dxa"/>
          </w:tcPr>
          <w:p w14:paraId="17D3BC55">
            <w:pPr>
              <w:pStyle w:val="16"/>
              <w:ind w:firstLine="303" w:firstLineChars="202"/>
              <w:rPr>
                <w:rFonts w:ascii="Times New Roman" w:hAnsi="Times New Roman"/>
                <w:kern w:val="0"/>
                <w:sz w:val="15"/>
                <w:szCs w:val="15"/>
              </w:rPr>
            </w:pPr>
            <w:r>
              <w:rPr>
                <w:rFonts w:ascii="Times New Roman" w:hAnsi="Times New Roman"/>
                <w:kern w:val="0"/>
                <w:sz w:val="15"/>
                <w:szCs w:val="15"/>
              </w:rPr>
              <w:t>45</w:t>
            </w:r>
          </w:p>
        </w:tc>
        <w:tc>
          <w:tcPr>
            <w:tcW w:w="587" w:type="dxa"/>
          </w:tcPr>
          <w:p w14:paraId="1B06E356">
            <w:pPr>
              <w:pStyle w:val="16"/>
              <w:ind w:firstLine="303" w:firstLineChars="202"/>
              <w:rPr>
                <w:rFonts w:ascii="Times New Roman" w:hAnsi="Times New Roman"/>
                <w:kern w:val="0"/>
                <w:sz w:val="15"/>
                <w:szCs w:val="15"/>
              </w:rPr>
            </w:pPr>
            <w:r>
              <w:rPr>
                <w:rFonts w:ascii="Times New Roman" w:hAnsi="Times New Roman"/>
                <w:kern w:val="0"/>
                <w:sz w:val="15"/>
                <w:szCs w:val="15"/>
              </w:rPr>
              <w:t>48． 33</w:t>
            </w:r>
          </w:p>
        </w:tc>
        <w:tc>
          <w:tcPr>
            <w:tcW w:w="963" w:type="dxa"/>
          </w:tcPr>
          <w:p w14:paraId="3D03DAE6">
            <w:pPr>
              <w:pStyle w:val="16"/>
              <w:ind w:firstLine="303" w:firstLineChars="202"/>
              <w:rPr>
                <w:rFonts w:ascii="Times New Roman" w:hAnsi="Times New Roman"/>
                <w:kern w:val="0"/>
                <w:sz w:val="15"/>
                <w:szCs w:val="15"/>
              </w:rPr>
            </w:pPr>
            <w:r>
              <w:rPr>
                <w:rFonts w:ascii="Times New Roman" w:hAnsi="Times New Roman"/>
                <w:kern w:val="0"/>
                <w:sz w:val="15"/>
                <w:szCs w:val="15"/>
              </w:rPr>
              <w:t>2</w:t>
            </w:r>
          </w:p>
        </w:tc>
        <w:tc>
          <w:tcPr>
            <w:tcW w:w="650" w:type="dxa"/>
          </w:tcPr>
          <w:p w14:paraId="36EB37CB">
            <w:pPr>
              <w:pStyle w:val="16"/>
              <w:ind w:firstLine="303" w:firstLineChars="202"/>
              <w:rPr>
                <w:rFonts w:ascii="Times New Roman" w:hAnsi="Times New Roman"/>
                <w:kern w:val="0"/>
                <w:sz w:val="15"/>
                <w:szCs w:val="15"/>
              </w:rPr>
            </w:pPr>
            <w:r>
              <w:rPr>
                <w:rFonts w:ascii="Times New Roman" w:hAnsi="Times New Roman"/>
                <w:kern w:val="0"/>
                <w:sz w:val="15"/>
                <w:szCs w:val="15"/>
              </w:rPr>
              <w:t>2.47</w:t>
            </w:r>
          </w:p>
        </w:tc>
        <w:tc>
          <w:tcPr>
            <w:tcW w:w="919" w:type="dxa"/>
            <w:tcBorders>
              <w:right w:val="single" w:color="000000" w:sz="8" w:space="0"/>
            </w:tcBorders>
          </w:tcPr>
          <w:p w14:paraId="00B8EFD4">
            <w:pPr>
              <w:pStyle w:val="16"/>
              <w:ind w:firstLine="303" w:firstLineChars="202"/>
              <w:rPr>
                <w:rFonts w:ascii="Times New Roman" w:hAnsi="Times New Roman"/>
                <w:kern w:val="0"/>
                <w:sz w:val="15"/>
                <w:szCs w:val="15"/>
              </w:rPr>
            </w:pPr>
            <w:r>
              <w:rPr>
                <w:rFonts w:ascii="Times New Roman" w:hAnsi="Times New Roman"/>
                <w:kern w:val="0"/>
                <w:sz w:val="15"/>
                <w:szCs w:val="15"/>
              </w:rPr>
              <w:t>– 45.86</w:t>
            </w:r>
          </w:p>
        </w:tc>
      </w:tr>
      <w:tr w14:paraId="3C2FD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2449" w:type="dxa"/>
            <w:tcBorders>
              <w:left w:val="single" w:color="000000" w:sz="8" w:space="0"/>
            </w:tcBorders>
          </w:tcPr>
          <w:p w14:paraId="46984B82">
            <w:pPr>
              <w:pStyle w:val="16"/>
              <w:ind w:firstLine="303" w:firstLineChars="202"/>
              <w:rPr>
                <w:rFonts w:ascii="Times New Roman" w:hAnsi="Times New Roman"/>
                <w:kern w:val="0"/>
                <w:sz w:val="15"/>
                <w:szCs w:val="15"/>
              </w:rPr>
            </w:pPr>
            <w:r>
              <w:rPr>
                <w:rFonts w:ascii="Times New Roman" w:hAnsi="Times New Roman"/>
                <w:kern w:val="0"/>
                <w:sz w:val="15"/>
                <w:szCs w:val="15"/>
              </w:rPr>
              <w:t>需要学习策略指导</w:t>
            </w:r>
          </w:p>
        </w:tc>
        <w:tc>
          <w:tcPr>
            <w:tcW w:w="1076" w:type="dxa"/>
          </w:tcPr>
          <w:p w14:paraId="4E954E7F">
            <w:pPr>
              <w:pStyle w:val="16"/>
              <w:ind w:firstLine="303" w:firstLineChars="202"/>
              <w:rPr>
                <w:rFonts w:ascii="Times New Roman" w:hAnsi="Times New Roman"/>
                <w:kern w:val="0"/>
                <w:sz w:val="15"/>
                <w:szCs w:val="15"/>
              </w:rPr>
            </w:pPr>
            <w:r>
              <w:rPr>
                <w:rFonts w:ascii="Times New Roman" w:hAnsi="Times New Roman"/>
                <w:kern w:val="0"/>
                <w:sz w:val="15"/>
                <w:szCs w:val="15"/>
              </w:rPr>
              <w:t>28</w:t>
            </w:r>
          </w:p>
        </w:tc>
        <w:tc>
          <w:tcPr>
            <w:tcW w:w="587" w:type="dxa"/>
          </w:tcPr>
          <w:p w14:paraId="1EDEAC3A">
            <w:pPr>
              <w:pStyle w:val="16"/>
              <w:ind w:firstLine="303" w:firstLineChars="202"/>
              <w:rPr>
                <w:rFonts w:ascii="Times New Roman" w:hAnsi="Times New Roman"/>
                <w:kern w:val="0"/>
                <w:sz w:val="15"/>
                <w:szCs w:val="15"/>
              </w:rPr>
            </w:pPr>
            <w:r>
              <w:rPr>
                <w:rFonts w:ascii="Times New Roman" w:hAnsi="Times New Roman"/>
                <w:kern w:val="0"/>
                <w:sz w:val="15"/>
                <w:szCs w:val="15"/>
              </w:rPr>
              <w:t>46． 66</w:t>
            </w:r>
          </w:p>
        </w:tc>
        <w:tc>
          <w:tcPr>
            <w:tcW w:w="963" w:type="dxa"/>
          </w:tcPr>
          <w:p w14:paraId="02959780">
            <w:pPr>
              <w:pStyle w:val="16"/>
              <w:ind w:firstLine="303" w:firstLineChars="202"/>
              <w:rPr>
                <w:rFonts w:ascii="Times New Roman" w:hAnsi="Times New Roman"/>
                <w:kern w:val="0"/>
                <w:sz w:val="15"/>
                <w:szCs w:val="15"/>
              </w:rPr>
            </w:pPr>
            <w:r>
              <w:rPr>
                <w:rFonts w:ascii="Times New Roman" w:hAnsi="Times New Roman"/>
                <w:kern w:val="0"/>
                <w:sz w:val="15"/>
                <w:szCs w:val="15"/>
              </w:rPr>
              <w:t>2</w:t>
            </w:r>
          </w:p>
        </w:tc>
        <w:tc>
          <w:tcPr>
            <w:tcW w:w="650" w:type="dxa"/>
          </w:tcPr>
          <w:p w14:paraId="6D5D0F59">
            <w:pPr>
              <w:pStyle w:val="16"/>
              <w:ind w:firstLine="303" w:firstLineChars="202"/>
              <w:rPr>
                <w:rFonts w:ascii="Times New Roman" w:hAnsi="Times New Roman"/>
                <w:kern w:val="0"/>
                <w:sz w:val="15"/>
                <w:szCs w:val="15"/>
              </w:rPr>
            </w:pPr>
            <w:r>
              <w:rPr>
                <w:rFonts w:ascii="Times New Roman" w:hAnsi="Times New Roman"/>
                <w:kern w:val="0"/>
                <w:sz w:val="15"/>
                <w:szCs w:val="15"/>
              </w:rPr>
              <w:t>2.47</w:t>
            </w:r>
          </w:p>
        </w:tc>
        <w:tc>
          <w:tcPr>
            <w:tcW w:w="919" w:type="dxa"/>
            <w:tcBorders>
              <w:right w:val="single" w:color="000000" w:sz="8" w:space="0"/>
            </w:tcBorders>
          </w:tcPr>
          <w:p w14:paraId="77A2EDFB">
            <w:pPr>
              <w:pStyle w:val="16"/>
              <w:ind w:firstLine="303" w:firstLineChars="202"/>
              <w:rPr>
                <w:rFonts w:ascii="Times New Roman" w:hAnsi="Times New Roman"/>
                <w:kern w:val="0"/>
                <w:sz w:val="15"/>
                <w:szCs w:val="15"/>
              </w:rPr>
            </w:pPr>
            <w:r>
              <w:rPr>
                <w:rFonts w:ascii="Times New Roman" w:hAnsi="Times New Roman"/>
                <w:kern w:val="0"/>
                <w:sz w:val="15"/>
                <w:szCs w:val="15"/>
              </w:rPr>
              <w:t>– 32.10</w:t>
            </w:r>
          </w:p>
        </w:tc>
      </w:tr>
      <w:tr w14:paraId="635A7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449" w:type="dxa"/>
            <w:tcBorders>
              <w:left w:val="single" w:color="000000" w:sz="8" w:space="0"/>
              <w:bottom w:val="single" w:color="000000" w:sz="8" w:space="0"/>
            </w:tcBorders>
          </w:tcPr>
          <w:p w14:paraId="1BCA395E">
            <w:pPr>
              <w:pStyle w:val="16"/>
              <w:ind w:firstLine="303" w:firstLineChars="202"/>
              <w:rPr>
                <w:rFonts w:ascii="Times New Roman" w:hAnsi="Times New Roman"/>
                <w:kern w:val="0"/>
                <w:sz w:val="15"/>
                <w:szCs w:val="15"/>
              </w:rPr>
            </w:pPr>
            <w:r>
              <w:rPr>
                <w:rFonts w:ascii="Times New Roman" w:hAnsi="Times New Roman"/>
                <w:kern w:val="0"/>
                <w:sz w:val="15"/>
                <w:szCs w:val="15"/>
              </w:rPr>
              <w:t>合计</w:t>
            </w:r>
          </w:p>
        </w:tc>
        <w:tc>
          <w:tcPr>
            <w:tcW w:w="1076" w:type="dxa"/>
            <w:tcBorders>
              <w:bottom w:val="single" w:color="000000" w:sz="8" w:space="0"/>
            </w:tcBorders>
          </w:tcPr>
          <w:p w14:paraId="3C4B8EC0">
            <w:pPr>
              <w:pStyle w:val="16"/>
              <w:ind w:firstLine="303" w:firstLineChars="202"/>
              <w:rPr>
                <w:rFonts w:ascii="Times New Roman" w:hAnsi="Times New Roman"/>
                <w:kern w:val="0"/>
                <w:sz w:val="15"/>
                <w:szCs w:val="15"/>
              </w:rPr>
            </w:pPr>
            <w:r>
              <w:rPr>
                <w:rFonts w:ascii="Times New Roman" w:hAnsi="Times New Roman"/>
                <w:kern w:val="0"/>
                <w:sz w:val="15"/>
                <w:szCs w:val="15"/>
              </w:rPr>
              <w:t>81</w:t>
            </w:r>
          </w:p>
        </w:tc>
        <w:tc>
          <w:tcPr>
            <w:tcW w:w="587" w:type="dxa"/>
            <w:tcBorders>
              <w:bottom w:val="single" w:color="000000" w:sz="8" w:space="0"/>
            </w:tcBorders>
          </w:tcPr>
          <w:p w14:paraId="5241E0D2">
            <w:pPr>
              <w:pStyle w:val="16"/>
              <w:ind w:firstLine="303" w:firstLineChars="202"/>
              <w:rPr>
                <w:rFonts w:ascii="Times New Roman" w:hAnsi="Times New Roman"/>
                <w:kern w:val="0"/>
                <w:sz w:val="15"/>
                <w:szCs w:val="15"/>
              </w:rPr>
            </w:pPr>
            <w:r>
              <w:rPr>
                <w:rFonts w:ascii="Times New Roman" w:hAnsi="Times New Roman"/>
                <w:kern w:val="0"/>
                <w:sz w:val="15"/>
                <w:szCs w:val="15"/>
              </w:rPr>
              <w:t>100</w:t>
            </w:r>
          </w:p>
        </w:tc>
        <w:tc>
          <w:tcPr>
            <w:tcW w:w="963" w:type="dxa"/>
            <w:tcBorders>
              <w:bottom w:val="single" w:color="000000" w:sz="8" w:space="0"/>
            </w:tcBorders>
          </w:tcPr>
          <w:p w14:paraId="19703829">
            <w:pPr>
              <w:pStyle w:val="16"/>
              <w:ind w:firstLine="303" w:firstLineChars="202"/>
              <w:rPr>
                <w:rFonts w:ascii="Times New Roman" w:hAnsi="Times New Roman"/>
                <w:kern w:val="0"/>
                <w:sz w:val="15"/>
                <w:szCs w:val="15"/>
              </w:rPr>
            </w:pPr>
            <w:r>
              <w:rPr>
                <w:rFonts w:ascii="Times New Roman" w:hAnsi="Times New Roman"/>
                <w:kern w:val="0"/>
                <w:sz w:val="15"/>
                <w:szCs w:val="15"/>
              </w:rPr>
              <w:t>81</w:t>
            </w:r>
          </w:p>
        </w:tc>
        <w:tc>
          <w:tcPr>
            <w:tcW w:w="650" w:type="dxa"/>
            <w:tcBorders>
              <w:bottom w:val="single" w:color="000000" w:sz="8" w:space="0"/>
            </w:tcBorders>
          </w:tcPr>
          <w:p w14:paraId="757327DD">
            <w:pPr>
              <w:pStyle w:val="16"/>
              <w:ind w:firstLine="303" w:firstLineChars="202"/>
              <w:rPr>
                <w:rFonts w:ascii="Times New Roman" w:hAnsi="Times New Roman"/>
                <w:kern w:val="0"/>
                <w:sz w:val="15"/>
                <w:szCs w:val="15"/>
              </w:rPr>
            </w:pPr>
            <w:r>
              <w:rPr>
                <w:rFonts w:ascii="Times New Roman" w:hAnsi="Times New Roman"/>
                <w:kern w:val="0"/>
                <w:sz w:val="15"/>
                <w:szCs w:val="15"/>
              </w:rPr>
              <w:t>100</w:t>
            </w:r>
          </w:p>
        </w:tc>
        <w:tc>
          <w:tcPr>
            <w:tcW w:w="919" w:type="dxa"/>
            <w:tcBorders>
              <w:bottom w:val="single" w:color="000000" w:sz="8" w:space="0"/>
              <w:right w:val="single" w:color="000000" w:sz="8" w:space="0"/>
            </w:tcBorders>
          </w:tcPr>
          <w:p w14:paraId="705376E2">
            <w:pPr>
              <w:pStyle w:val="16"/>
              <w:ind w:firstLine="303" w:firstLineChars="202"/>
              <w:rPr>
                <w:rFonts w:ascii="Times New Roman" w:hAnsi="Times New Roman"/>
                <w:kern w:val="0"/>
                <w:sz w:val="15"/>
                <w:szCs w:val="15"/>
              </w:rPr>
            </w:pPr>
          </w:p>
        </w:tc>
      </w:tr>
    </w:tbl>
    <w:p w14:paraId="28ACA964">
      <w:pPr>
        <w:pStyle w:val="16"/>
        <w:ind w:firstLine="484" w:firstLineChars="202"/>
        <w:rPr>
          <w:rFonts w:ascii="Times New Roman" w:hAnsi="Times New Roman"/>
          <w:kern w:val="0"/>
          <w:sz w:val="24"/>
          <w:szCs w:val="24"/>
        </w:rPr>
      </w:pPr>
    </w:p>
    <w:p w14:paraId="18EA4BF7">
      <w:pPr>
        <w:pStyle w:val="16"/>
        <w:ind w:firstLine="484" w:firstLineChars="202"/>
        <w:rPr>
          <w:rFonts w:ascii="Times New Roman" w:hAnsi="Times New Roman"/>
          <w:kern w:val="0"/>
          <w:sz w:val="24"/>
          <w:szCs w:val="24"/>
        </w:rPr>
      </w:pPr>
      <w:r>
        <w:rPr>
          <w:rFonts w:ascii="Times New Roman" w:hAnsi="Times New Roman"/>
          <w:kern w:val="0"/>
          <w:sz w:val="24"/>
          <w:szCs w:val="24"/>
        </w:rPr>
        <w:t>2. 结果分析实验前结果:</w:t>
      </w:r>
    </w:p>
    <w:p w14:paraId="4247E03B">
      <w:pPr>
        <w:pStyle w:val="16"/>
        <w:ind w:firstLine="484" w:firstLineChars="202"/>
        <w:rPr>
          <w:rFonts w:ascii="Times New Roman" w:hAnsi="Times New Roman"/>
          <w:kern w:val="0"/>
          <w:sz w:val="24"/>
          <w:szCs w:val="24"/>
        </w:rPr>
      </w:pPr>
      <w:r>
        <w:rPr>
          <w:rFonts w:ascii="Times New Roman" w:hAnsi="Times New Roman"/>
          <w:kern w:val="0"/>
          <w:sz w:val="24"/>
          <w:szCs w:val="24"/>
        </w:rPr>
        <w:t>实验前的结果表明，大多数英语学习者在英语听说复述部分学习缺乏理论指导。通过真实数据对比及和部分同学面谈，反馈结果表明，多数学生的英语采取 “逐个单词记忆”这种机械低效的学习策略，由于缺乏语言使用环境，常常是记了就立即忘，效率极低。要想让学生在听说复述的测试中脱颖而出，教师必须对学生加以指导，教给他们语言学习的规律，让他们真正掌握在核心素养背景下提升听说复述能力的方法。</w:t>
      </w:r>
      <w:r>
        <w:rPr>
          <w:rStyle w:val="12"/>
          <w:rFonts w:ascii="Times New Roman" w:hAnsi="Times New Roman"/>
          <w:kern w:val="0"/>
          <w:sz w:val="24"/>
          <w:szCs w:val="24"/>
        </w:rPr>
        <w:footnoteReference w:id="3"/>
      </w:r>
    </w:p>
    <w:p w14:paraId="36DF6A0B">
      <w:pPr>
        <w:pStyle w:val="16"/>
        <w:ind w:firstLine="484" w:firstLineChars="202"/>
        <w:rPr>
          <w:rFonts w:ascii="Times New Roman" w:hAnsi="Times New Roman"/>
          <w:kern w:val="0"/>
          <w:sz w:val="24"/>
          <w:szCs w:val="24"/>
        </w:rPr>
      </w:pPr>
      <w:r>
        <w:rPr>
          <w:rFonts w:ascii="Times New Roman" w:hAnsi="Times New Roman"/>
          <w:kern w:val="0"/>
          <w:sz w:val="24"/>
          <w:szCs w:val="24"/>
        </w:rPr>
        <w:t>学生在学习过程中并未马上意识到或感受到采用正确的策略对听说复述部分提高成效与作用。听记并转化输出说的能力平时锻炼的机会很少，在课堂回答问题时，大多数学生即便是考虑好了也</w:t>
      </w:r>
      <w:r>
        <w:rPr>
          <w:rFonts w:hint="eastAsia" w:ascii="Times New Roman" w:hAnsi="Times New Roman"/>
          <w:kern w:val="0"/>
          <w:sz w:val="24"/>
          <w:szCs w:val="24"/>
          <w:lang w:val="en-US" w:eastAsia="zh-CN"/>
        </w:rPr>
        <w:t>难</w:t>
      </w:r>
      <w:r>
        <w:rPr>
          <w:rFonts w:ascii="Times New Roman" w:hAnsi="Times New Roman"/>
          <w:kern w:val="0"/>
          <w:sz w:val="24"/>
          <w:szCs w:val="24"/>
        </w:rPr>
        <w:t>于张口，主要原因是心中无数，怕当众出丑。正如有的学生说自己是“茶壶煮饺子，有嘴倒不出”。因而只有通过复述学习实践或教师在复述学习策略上加以指导和训练，学生才能深切体会到复述的重要性，体会到复述训练的有效性。教师在向学生传授知识的同时，更要向他们传授掌握知识的方法，真正做到授之以“ 渔”。而提高英语听说复述部分的有效办法之一就是让学生利用有效的课堂学习策略。</w:t>
      </w:r>
    </w:p>
    <w:p w14:paraId="3D1DD020">
      <w:pPr>
        <w:pStyle w:val="16"/>
        <w:ind w:firstLine="484" w:firstLineChars="202"/>
        <w:rPr>
          <w:rFonts w:ascii="Times New Roman" w:hAnsi="Times New Roman"/>
          <w:kern w:val="0"/>
          <w:sz w:val="24"/>
          <w:szCs w:val="24"/>
        </w:rPr>
      </w:pPr>
    </w:p>
    <w:p w14:paraId="76926960">
      <w:pPr>
        <w:pStyle w:val="16"/>
        <w:ind w:firstLine="484" w:firstLineChars="202"/>
        <w:rPr>
          <w:rFonts w:ascii="Times New Roman" w:hAnsi="Times New Roman"/>
          <w:kern w:val="0"/>
          <w:sz w:val="24"/>
          <w:szCs w:val="24"/>
        </w:rPr>
      </w:pPr>
      <w:r>
        <w:rPr>
          <w:rFonts w:ascii="Times New Roman" w:hAnsi="Times New Roman"/>
          <w:kern w:val="0"/>
          <w:sz w:val="24"/>
          <w:szCs w:val="24"/>
        </w:rPr>
        <w:t>3. 试验后结果:</w:t>
      </w:r>
    </w:p>
    <w:p w14:paraId="5B6FD370">
      <w:pPr>
        <w:pStyle w:val="16"/>
        <w:ind w:firstLine="484" w:firstLineChars="202"/>
        <w:rPr>
          <w:rFonts w:ascii="Times New Roman" w:hAnsi="Times New Roman"/>
          <w:kern w:val="0"/>
          <w:sz w:val="24"/>
          <w:szCs w:val="24"/>
        </w:rPr>
      </w:pPr>
      <w:r>
        <w:rPr>
          <w:rFonts w:ascii="Times New Roman" w:hAnsi="Times New Roman"/>
          <w:kern w:val="0"/>
          <w:sz w:val="24"/>
          <w:szCs w:val="24"/>
        </w:rPr>
        <w:t>实验后结果表明，在课堂上进行大量科学高效的复述练习，学生不仅获得广泛的信息，扩大词汇量和知识面，还可以巩固已学的语言能力并进而提升自己的核心素养。通过进行大量的复述练习，不仅提高了</w:t>
      </w:r>
      <w:r>
        <w:rPr>
          <w:rFonts w:hint="eastAsia" w:ascii="Times New Roman" w:hAnsi="Times New Roman"/>
          <w:kern w:val="0"/>
          <w:sz w:val="24"/>
          <w:szCs w:val="24"/>
        </w:rPr>
        <w:t>初中高年级</w:t>
      </w:r>
      <w:r>
        <w:rPr>
          <w:rFonts w:ascii="Times New Roman" w:hAnsi="Times New Roman"/>
          <w:kern w:val="0"/>
          <w:sz w:val="24"/>
          <w:szCs w:val="24"/>
        </w:rPr>
        <w:t>学生的口语表达能力而且听力水平也明显提高。经过一段时间的训练，学生就能按要求对符合新课标的听说素材进行的英语复述( Retelling in English)了。通过在课堂上用英语复述、复写的尝试。一改过去逐单词</w:t>
      </w:r>
      <w:r>
        <w:rPr>
          <w:rFonts w:hint="eastAsia" w:ascii="Times New Roman" w:hAnsi="Times New Roman"/>
          <w:kern w:val="0"/>
          <w:sz w:val="24"/>
          <w:szCs w:val="24"/>
        </w:rPr>
        <w:t>词组和句型</w:t>
      </w:r>
      <w:r>
        <w:rPr>
          <w:rFonts w:ascii="Times New Roman" w:hAnsi="Times New Roman"/>
          <w:kern w:val="0"/>
          <w:sz w:val="24"/>
          <w:szCs w:val="24"/>
        </w:rPr>
        <w:t>分析枯燥无味的教学模式。使学生学习英语的积极性大大提升。课堂气氛活跃，听力和口语能力都有了明显提高，他们都愿意有机会在课堂上得到锻炼，并有决心提升自己的听记能力和口语输出。因此英语的复述可带动复写提高学生语言表达能力，发展学生创新能力，激发学生学习英语的兴趣，进而提升学生的英语学科核心素养。</w:t>
      </w:r>
    </w:p>
    <w:p w14:paraId="77F5B162">
      <w:pPr>
        <w:pStyle w:val="16"/>
        <w:ind w:firstLine="484" w:firstLineChars="202"/>
        <w:rPr>
          <w:rFonts w:ascii="Times New Roman" w:hAnsi="Times New Roman"/>
          <w:kern w:val="0"/>
          <w:sz w:val="24"/>
          <w:szCs w:val="24"/>
        </w:rPr>
      </w:pPr>
    </w:p>
    <w:p w14:paraId="023E4A09">
      <w:pPr>
        <w:pStyle w:val="16"/>
        <w:ind w:firstLine="0" w:firstLineChars="0"/>
        <w:rPr>
          <w:rFonts w:ascii="Times New Roman" w:hAnsi="Times New Roman"/>
          <w:kern w:val="0"/>
          <w:sz w:val="24"/>
          <w:szCs w:val="24"/>
        </w:rPr>
      </w:pPr>
      <w:r>
        <w:rPr>
          <w:rFonts w:ascii="Times New Roman" w:hAnsi="Times New Roman"/>
          <w:kern w:val="0"/>
          <w:sz w:val="24"/>
          <w:szCs w:val="24"/>
        </w:rPr>
        <w:t>三、具体操作实践</w:t>
      </w:r>
    </w:p>
    <w:p w14:paraId="0CF916E9">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（一）教学内容确定 </w:t>
      </w:r>
    </w:p>
    <w:p w14:paraId="361DD19C">
      <w:pPr>
        <w:pStyle w:val="16"/>
        <w:ind w:firstLine="484" w:firstLineChars="202"/>
        <w:rPr>
          <w:rFonts w:ascii="Times New Roman" w:hAnsi="Times New Roman"/>
          <w:kern w:val="0"/>
          <w:sz w:val="24"/>
          <w:szCs w:val="24"/>
        </w:rPr>
      </w:pPr>
      <w:r>
        <w:rPr>
          <w:rFonts w:ascii="Times New Roman" w:hAnsi="Times New Roman"/>
          <w:kern w:val="0"/>
          <w:sz w:val="24"/>
          <w:szCs w:val="24"/>
        </w:rPr>
        <w:t>理解仅仅是学习语言的初级阶段，而表述才是学习、认识和掌握语言的高级阶段。学习语言的目的就在于运用，因此表述的训练尤为重要。一节聚焦英语听说复述的课，应该关注学生较为薄弱的复述，展开复述策略指导。</w:t>
      </w:r>
    </w:p>
    <w:p w14:paraId="155A70B1">
      <w:pPr>
        <w:pStyle w:val="16"/>
        <w:ind w:firstLine="484" w:firstLineChars="202"/>
        <w:rPr>
          <w:rFonts w:ascii="Times New Roman" w:hAnsi="Times New Roman"/>
          <w:kern w:val="0"/>
          <w:sz w:val="24"/>
          <w:szCs w:val="24"/>
        </w:rPr>
      </w:pPr>
    </w:p>
    <w:p w14:paraId="735C9D54">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（二）教学目标定夺 </w:t>
      </w:r>
    </w:p>
    <w:p w14:paraId="1362FD49">
      <w:pPr>
        <w:pStyle w:val="16"/>
        <w:ind w:firstLine="484" w:firstLineChars="202"/>
        <w:rPr>
          <w:rFonts w:ascii="Times New Roman" w:hAnsi="Times New Roman"/>
          <w:kern w:val="0"/>
          <w:sz w:val="24"/>
          <w:szCs w:val="24"/>
        </w:rPr>
      </w:pPr>
      <w:r>
        <w:rPr>
          <w:rFonts w:ascii="Times New Roman" w:hAnsi="Times New Roman"/>
          <w:kern w:val="0"/>
          <w:sz w:val="24"/>
          <w:szCs w:val="24"/>
        </w:rPr>
        <w:t>1)</w:t>
      </w:r>
      <w:r>
        <w:rPr>
          <w:rFonts w:hint="eastAsia" w:ascii="Times New Roman" w:hAnsi="Times New Roman"/>
          <w:kern w:val="0"/>
          <w:sz w:val="24"/>
          <w:szCs w:val="24"/>
        </w:rPr>
        <w:t xml:space="preserve"> </w:t>
      </w:r>
      <w:r>
        <w:rPr>
          <w:rFonts w:ascii="Times New Roman" w:hAnsi="Times New Roman"/>
          <w:kern w:val="0"/>
          <w:sz w:val="24"/>
          <w:szCs w:val="24"/>
        </w:rPr>
        <w:t>学生归纳并掌握复述的基本策略。</w:t>
      </w:r>
    </w:p>
    <w:p w14:paraId="260EFFE7">
      <w:pPr>
        <w:pStyle w:val="16"/>
        <w:ind w:firstLine="484" w:firstLineChars="202"/>
        <w:rPr>
          <w:rFonts w:ascii="Times New Roman" w:hAnsi="Times New Roman"/>
          <w:kern w:val="0"/>
          <w:sz w:val="24"/>
          <w:szCs w:val="24"/>
        </w:rPr>
      </w:pPr>
      <w:r>
        <w:rPr>
          <w:rFonts w:ascii="Times New Roman" w:hAnsi="Times New Roman"/>
          <w:kern w:val="0"/>
          <w:sz w:val="24"/>
          <w:szCs w:val="24"/>
        </w:rPr>
        <w:t>2)</w:t>
      </w:r>
      <w:r>
        <w:rPr>
          <w:rFonts w:hint="eastAsia" w:ascii="Times New Roman" w:hAnsi="Times New Roman"/>
          <w:kern w:val="0"/>
          <w:sz w:val="24"/>
          <w:szCs w:val="24"/>
        </w:rPr>
        <w:t xml:space="preserve"> </w:t>
      </w:r>
      <w:r>
        <w:rPr>
          <w:rFonts w:ascii="Times New Roman" w:hAnsi="Times New Roman"/>
          <w:kern w:val="0"/>
          <w:sz w:val="24"/>
          <w:szCs w:val="24"/>
        </w:rPr>
        <w:t xml:space="preserve">学生能对照checklist，修改、反思及调整自己的笔记和复述。 </w:t>
      </w:r>
    </w:p>
    <w:p w14:paraId="5BE7EE57">
      <w:pPr>
        <w:pStyle w:val="16"/>
        <w:ind w:firstLine="484" w:firstLineChars="202"/>
        <w:rPr>
          <w:rFonts w:ascii="Times New Roman" w:hAnsi="Times New Roman"/>
          <w:kern w:val="0"/>
          <w:sz w:val="24"/>
          <w:szCs w:val="24"/>
        </w:rPr>
      </w:pPr>
      <w:r>
        <w:rPr>
          <w:rFonts w:ascii="Times New Roman" w:hAnsi="Times New Roman"/>
          <w:kern w:val="0"/>
          <w:sz w:val="24"/>
          <w:szCs w:val="24"/>
        </w:rPr>
        <w:t>3)</w:t>
      </w:r>
      <w:r>
        <w:rPr>
          <w:rFonts w:hint="eastAsia" w:ascii="Times New Roman" w:hAnsi="Times New Roman"/>
          <w:kern w:val="0"/>
          <w:sz w:val="24"/>
          <w:szCs w:val="24"/>
        </w:rPr>
        <w:t xml:space="preserve"> </w:t>
      </w:r>
      <w:r>
        <w:rPr>
          <w:rFonts w:ascii="Times New Roman" w:hAnsi="Times New Roman"/>
          <w:kern w:val="0"/>
          <w:sz w:val="24"/>
          <w:szCs w:val="24"/>
        </w:rPr>
        <w:t>学生能跳出“复制”舒适圈，努力尝试在理解文本的基础上，用自己的语言进行复述。</w:t>
      </w:r>
    </w:p>
    <w:p w14:paraId="542BB133">
      <w:pPr>
        <w:pStyle w:val="16"/>
        <w:ind w:firstLine="484" w:firstLineChars="202"/>
        <w:rPr>
          <w:rFonts w:ascii="Times New Roman" w:hAnsi="Times New Roman"/>
          <w:kern w:val="0"/>
          <w:sz w:val="24"/>
          <w:szCs w:val="24"/>
        </w:rPr>
      </w:pPr>
    </w:p>
    <w:p w14:paraId="56934C5B">
      <w:pPr>
        <w:pStyle w:val="16"/>
        <w:ind w:firstLine="484" w:firstLineChars="202"/>
        <w:rPr>
          <w:rFonts w:ascii="Times New Roman" w:hAnsi="Times New Roman"/>
          <w:kern w:val="0"/>
          <w:sz w:val="24"/>
          <w:szCs w:val="24"/>
        </w:rPr>
      </w:pPr>
      <w:r>
        <w:rPr>
          <w:rFonts w:ascii="Times New Roman" w:hAnsi="Times New Roman"/>
          <w:kern w:val="0"/>
          <w:sz w:val="24"/>
          <w:szCs w:val="24"/>
        </w:rPr>
        <w:t>（三）教学设计思路</w:t>
      </w:r>
    </w:p>
    <w:p w14:paraId="41125567">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 “听说复述”的教学设计思路遵循“发现问题-修正问题-归纳策略-运用实践-反思改进”的小循环模式。形式上看似单一重复，实则每一个环节都有各自侧重点。</w:t>
      </w:r>
    </w:p>
    <w:p w14:paraId="77619CBF">
      <w:pPr>
        <w:pStyle w:val="16"/>
        <w:ind w:firstLine="484" w:firstLineChars="202"/>
        <w:rPr>
          <w:rFonts w:ascii="Times New Roman" w:hAnsi="Times New Roman"/>
          <w:kern w:val="0"/>
          <w:sz w:val="24"/>
          <w:szCs w:val="24"/>
        </w:rPr>
      </w:pPr>
      <w:r>
        <w:rPr>
          <w:rFonts w:ascii="Times New Roman" w:hAnsi="Times New Roman"/>
          <w:kern w:val="0"/>
          <w:sz w:val="24"/>
          <w:szCs w:val="24"/>
        </w:rPr>
        <w:t>首先，教师引导学生概括出整个复述环节要求：Completely, Correctly 和Simply。基于评价标准开展学习任务，为后续学生归纳听说策略明确了方向。而标准本身也能作为参考，为诊断学生复述中的不足提供依据。</w:t>
      </w:r>
    </w:p>
    <w:p w14:paraId="377E7E1D">
      <w:pPr>
        <w:pStyle w:val="16"/>
        <w:ind w:firstLine="484" w:firstLineChars="202"/>
        <w:rPr>
          <w:rFonts w:ascii="Times New Roman" w:hAnsi="Times New Roman"/>
          <w:kern w:val="0"/>
          <w:sz w:val="24"/>
          <w:szCs w:val="24"/>
        </w:rPr>
      </w:pPr>
      <w:r>
        <w:rPr>
          <w:rFonts w:ascii="Times New Roman" w:hAnsi="Times New Roman"/>
          <w:kern w:val="0"/>
          <w:sz w:val="24"/>
          <w:szCs w:val="24"/>
        </w:rPr>
        <w:t>其中策略指导分为听前、听中以及听后。听前活动中，教师围绕mind</w:t>
      </w:r>
      <w:r>
        <w:rPr>
          <w:rFonts w:hint="eastAsia" w:ascii="Times New Roman" w:hAnsi="Times New Roman"/>
          <w:kern w:val="0"/>
          <w:sz w:val="24"/>
          <w:szCs w:val="24"/>
        </w:rPr>
        <w:t>-</w:t>
      </w:r>
      <w:r>
        <w:rPr>
          <w:rFonts w:ascii="Times New Roman" w:hAnsi="Times New Roman"/>
          <w:kern w:val="0"/>
          <w:sz w:val="24"/>
          <w:szCs w:val="24"/>
        </w:rPr>
        <w:t>map提出系列问题，帮助学生树立听前准备意识，并引导他们进行合理推断和联想。听中环节通过几个分任务（文本片段），带领学生发现听说过程中遇到的问题，继而在解决问题的过程中归纳策略，随即在后续的练习中进行操练。听中活动时，所有学生的复述都会通过移动终端录入信息平台，教师可以从后台数据掌握全班同学的复述进度，配合白板的实物投影技术，教师根据教学需要，暂停录音、及时点评，并引导学生形成策略。听后活动是指在正式复述前的60秒准备时间，教师引导学生从几个方面对自己的笔记进行完善，如补全固定搭配或修正时态等，甚至在有必要的情况下改变人称。</w:t>
      </w:r>
    </w:p>
    <w:p w14:paraId="27A6655D">
      <w:pPr>
        <w:pStyle w:val="16"/>
        <w:ind w:firstLine="484" w:firstLineChars="202"/>
        <w:rPr>
          <w:rFonts w:ascii="Times New Roman" w:hAnsi="Times New Roman"/>
          <w:kern w:val="0"/>
          <w:sz w:val="24"/>
          <w:szCs w:val="24"/>
        </w:rPr>
      </w:pPr>
      <w:r>
        <w:rPr>
          <w:rFonts w:ascii="Times New Roman" w:hAnsi="Times New Roman"/>
          <w:kern w:val="0"/>
          <w:sz w:val="24"/>
          <w:szCs w:val="24"/>
        </w:rPr>
        <w:t>策略归纳完毕也便生成了本堂课的Checklist。在最后完整文本的复述任务中，学生对照Checklist对自己的笔记和复述进行自我纠正。</w:t>
      </w:r>
    </w:p>
    <w:p w14:paraId="07CE1F7D">
      <w:pPr>
        <w:pStyle w:val="16"/>
        <w:ind w:firstLine="484" w:firstLineChars="202"/>
        <w:rPr>
          <w:rFonts w:ascii="Times New Roman" w:hAnsi="Times New Roman"/>
          <w:kern w:val="0"/>
          <w:sz w:val="24"/>
          <w:szCs w:val="24"/>
        </w:rPr>
      </w:pPr>
      <w:r>
        <w:rPr>
          <w:rFonts w:ascii="Times New Roman" w:hAnsi="Times New Roman"/>
          <w:kern w:val="0"/>
          <w:sz w:val="24"/>
          <w:szCs w:val="24"/>
        </w:rPr>
        <w:t>本堂课通过一系列的策略指导，帮助学生厘清复述的头绪，将看似复杂的复述任务，依托时间线上的关键点，分解成多个更容易执行及评估的小任务，逐个击破，整个过程像打游戏一样有趣又有成就感。同时，习得有效的策略也适当缓解了学生在考试中的焦虑情绪，在听说考试中能更加从容地应对。</w:t>
      </w:r>
    </w:p>
    <w:p w14:paraId="45F66782">
      <w:pPr>
        <w:pStyle w:val="16"/>
        <w:ind w:firstLine="484" w:firstLineChars="202"/>
        <w:rPr>
          <w:rFonts w:ascii="Times New Roman" w:hAnsi="Times New Roman"/>
          <w:kern w:val="0"/>
          <w:sz w:val="24"/>
          <w:szCs w:val="24"/>
        </w:rPr>
      </w:pPr>
      <w:r>
        <w:rPr>
          <w:rFonts w:ascii="Times New Roman" w:hAnsi="Times New Roman"/>
          <w:kern w:val="0"/>
          <w:sz w:val="24"/>
          <w:szCs w:val="24"/>
        </w:rPr>
        <w:t>下面我们就分阶段来分析听说课上教师具体操作实践过程。</w:t>
      </w:r>
    </w:p>
    <w:p w14:paraId="2A565AF5">
      <w:pPr>
        <w:pStyle w:val="16"/>
        <w:ind w:firstLine="487" w:firstLineChars="202"/>
        <w:rPr>
          <w:rFonts w:ascii="Times New Roman" w:hAnsi="Times New Roman"/>
          <w:b/>
          <w:kern w:val="0"/>
          <w:sz w:val="24"/>
          <w:szCs w:val="24"/>
        </w:rPr>
      </w:pPr>
    </w:p>
    <w:p w14:paraId="6B3136B0">
      <w:pPr>
        <w:pStyle w:val="16"/>
        <w:ind w:firstLine="487" w:firstLineChars="202"/>
        <w:rPr>
          <w:rFonts w:ascii="Times New Roman" w:hAnsi="Times New Roman"/>
          <w:b/>
          <w:kern w:val="0"/>
          <w:sz w:val="24"/>
          <w:szCs w:val="24"/>
        </w:rPr>
      </w:pPr>
      <w:r>
        <w:rPr>
          <w:rFonts w:ascii="Times New Roman" w:hAnsi="Times New Roman"/>
          <w:b/>
          <w:kern w:val="0"/>
          <w:sz w:val="24"/>
          <w:szCs w:val="24"/>
        </w:rPr>
        <w:t>阶段一：教师是学习素材的提供者。</w:t>
      </w:r>
    </w:p>
    <w:p w14:paraId="2F6C604C">
      <w:pPr>
        <w:pStyle w:val="16"/>
        <w:ind w:firstLine="484" w:firstLineChars="202"/>
        <w:rPr>
          <w:rFonts w:ascii="Times New Roman" w:hAnsi="Times New Roman"/>
          <w:kern w:val="0"/>
          <w:sz w:val="24"/>
          <w:szCs w:val="24"/>
        </w:rPr>
      </w:pPr>
      <w:r>
        <w:rPr>
          <w:rFonts w:ascii="Times New Roman" w:hAnsi="Times New Roman"/>
          <w:kern w:val="0"/>
          <w:sz w:val="24"/>
          <w:szCs w:val="24"/>
        </w:rPr>
        <w:t>教师需要提前准备充足的语料，应对课堂</w:t>
      </w:r>
      <w:r>
        <w:rPr>
          <w:rFonts w:hint="eastAsia" w:ascii="Times New Roman" w:hAnsi="Times New Roman"/>
          <w:kern w:val="0"/>
          <w:sz w:val="24"/>
          <w:szCs w:val="24"/>
          <w:lang w:val="en-US" w:eastAsia="zh-CN"/>
        </w:rPr>
        <w:t>各种突发</w:t>
      </w:r>
      <w:r>
        <w:rPr>
          <w:rFonts w:ascii="Times New Roman" w:hAnsi="Times New Roman"/>
          <w:kern w:val="0"/>
          <w:sz w:val="24"/>
          <w:szCs w:val="24"/>
        </w:rPr>
        <w:t xml:space="preserve">情况。如果学生无法在给定的语段中总结提炼出完整的复述策略，就需要提供其他语段支撑学习，给予学生体验和提炼的机会。例如： </w:t>
      </w:r>
    </w:p>
    <w:p w14:paraId="6925B01A">
      <w:pPr>
        <w:pStyle w:val="16"/>
        <w:ind w:firstLine="484" w:firstLineChars="202"/>
        <w:rPr>
          <w:rFonts w:ascii="Times New Roman" w:hAnsi="Times New Roman"/>
          <w:kern w:val="0"/>
          <w:sz w:val="24"/>
          <w:szCs w:val="24"/>
        </w:rPr>
      </w:pPr>
      <w:r>
        <w:rPr>
          <w:rFonts w:ascii="Times New Roman" w:hAnsi="Times New Roman"/>
          <w:kern w:val="0"/>
          <w:sz w:val="24"/>
          <w:szCs w:val="24"/>
        </w:rPr>
        <w:t>片段1：</w:t>
      </w:r>
    </w:p>
    <w:p w14:paraId="500D180D">
      <w:pPr>
        <w:pStyle w:val="16"/>
        <w:ind w:firstLine="484" w:firstLineChars="202"/>
        <w:rPr>
          <w:rFonts w:ascii="Times New Roman" w:hAnsi="Times New Roman"/>
          <w:kern w:val="0"/>
          <w:sz w:val="24"/>
          <w:szCs w:val="24"/>
        </w:rPr>
      </w:pPr>
      <w:r>
        <w:rPr>
          <w:rFonts w:ascii="Times New Roman" w:hAnsi="Times New Roman"/>
          <w:kern w:val="0"/>
          <w:sz w:val="24"/>
          <w:szCs w:val="24"/>
        </w:rPr>
        <w:t>【教学内容】</w:t>
      </w:r>
    </w:p>
    <w:p w14:paraId="26EC006E">
      <w:pPr>
        <w:pStyle w:val="16"/>
        <w:ind w:firstLine="484" w:firstLineChars="202"/>
        <w:rPr>
          <w:rFonts w:ascii="Times New Roman" w:hAnsi="Times New Roman"/>
          <w:kern w:val="0"/>
          <w:sz w:val="24"/>
          <w:szCs w:val="24"/>
        </w:rPr>
      </w:pPr>
      <w:r>
        <w:rPr>
          <w:rFonts w:ascii="Times New Roman" w:hAnsi="Times New Roman"/>
          <w:kern w:val="0"/>
          <w:sz w:val="24"/>
          <w:szCs w:val="24"/>
        </w:rPr>
        <w:t>听说测试模拟考语段：</w:t>
      </w:r>
    </w:p>
    <w:p w14:paraId="2F93471E">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Script1: </w:t>
      </w:r>
    </w:p>
    <w:p w14:paraId="7E956618">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The boy said, “Let’s hide his shoes, then wait to see what he will do.” </w:t>
      </w:r>
    </w:p>
    <w:p w14:paraId="3727A508">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His friend said, “We shouldn’t make fun of the poor. Let’s put a coin in each shoe for him.” </w:t>
      </w:r>
    </w:p>
    <w:p w14:paraId="6709AC1B">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Script2: </w:t>
      </w:r>
    </w:p>
    <w:p w14:paraId="5F8C0A58">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The wall is quite colorful and attracts many visitors. Some of the notes say things like  "Love is everything" and "Keep your head high". It's a good way for people to show their feelings. It makes them feel like they are not alone. </w:t>
      </w:r>
    </w:p>
    <w:p w14:paraId="3FD2CA20">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【教学目标】通过分析自己或者他人的笔记，总结出相应的复述前的笔记策略。 </w:t>
      </w:r>
    </w:p>
    <w:p w14:paraId="35A68199">
      <w:pPr>
        <w:pStyle w:val="16"/>
        <w:ind w:firstLine="484" w:firstLineChars="202"/>
        <w:rPr>
          <w:rFonts w:ascii="Times New Roman" w:hAnsi="Times New Roman"/>
          <w:kern w:val="0"/>
          <w:sz w:val="24"/>
          <w:szCs w:val="24"/>
        </w:rPr>
      </w:pPr>
      <w:r>
        <w:rPr>
          <w:rFonts w:ascii="Times New Roman" w:hAnsi="Times New Roman"/>
          <w:kern w:val="0"/>
          <w:sz w:val="24"/>
          <w:szCs w:val="24"/>
        </w:rPr>
        <w:t>【活动设计】</w:t>
      </w:r>
    </w:p>
    <w:p w14:paraId="53984274">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Step 1: Listen to the passage, take notes and retell. </w:t>
      </w:r>
    </w:p>
    <w:p w14:paraId="481AA652">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1: After listening to his/her retelling, what do you think of it? </w:t>
      </w:r>
    </w:p>
    <w:p w14:paraId="391CEFFE">
      <w:pPr>
        <w:pStyle w:val="16"/>
        <w:ind w:firstLine="484" w:firstLineChars="202"/>
        <w:rPr>
          <w:rFonts w:ascii="Times New Roman" w:hAnsi="Times New Roman"/>
          <w:kern w:val="0"/>
          <w:sz w:val="24"/>
          <w:szCs w:val="24"/>
        </w:rPr>
      </w:pPr>
      <w:r>
        <w:rPr>
          <w:rFonts w:ascii="Times New Roman" w:hAnsi="Times New Roman"/>
          <w:kern w:val="0"/>
          <w:sz w:val="24"/>
          <w:szCs w:val="24"/>
        </w:rPr>
        <w:t>Step 2: Show another note</w:t>
      </w:r>
    </w:p>
    <w:p w14:paraId="2DAFA9DE">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1: How are these two notes? </w:t>
      </w:r>
    </w:p>
    <w:p w14:paraId="64012BB0">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2: Can you summarize one or two strategies? </w:t>
      </w:r>
    </w:p>
    <w:p w14:paraId="1A00A116">
      <w:pPr>
        <w:pStyle w:val="16"/>
        <w:ind w:firstLine="484" w:firstLineChars="202"/>
        <w:rPr>
          <w:rFonts w:ascii="Times New Roman" w:hAnsi="Times New Roman"/>
          <w:kern w:val="0"/>
          <w:sz w:val="24"/>
          <w:szCs w:val="24"/>
        </w:rPr>
      </w:pPr>
      <w:r>
        <w:rPr>
          <w:rFonts w:ascii="Times New Roman" w:hAnsi="Times New Roman"/>
          <w:kern w:val="0"/>
          <w:sz w:val="24"/>
          <w:szCs w:val="24"/>
        </w:rPr>
        <w:t>Step 3: Refine the strategy.</w:t>
      </w:r>
    </w:p>
    <w:p w14:paraId="3190B563">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1: What do key words include? </w:t>
      </w:r>
    </w:p>
    <w:p w14:paraId="239EF6CA">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2: Besides the verbs, are there any other key words? </w:t>
      </w:r>
    </w:p>
    <w:p w14:paraId="5DB6FCDA">
      <w:pPr>
        <w:pStyle w:val="16"/>
        <w:ind w:firstLine="484" w:firstLineChars="202"/>
        <w:rPr>
          <w:rFonts w:ascii="Times New Roman" w:hAnsi="Times New Roman"/>
          <w:kern w:val="0"/>
          <w:sz w:val="24"/>
          <w:szCs w:val="24"/>
        </w:rPr>
      </w:pPr>
      <w:r>
        <w:rPr>
          <w:rFonts w:ascii="Times New Roman" w:hAnsi="Times New Roman"/>
          <w:kern w:val="0"/>
          <w:sz w:val="24"/>
          <w:szCs w:val="24"/>
        </w:rPr>
        <w:t>【案例分析】</w:t>
      </w:r>
    </w:p>
    <w:p w14:paraId="4276226B">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课堂上，学生对于“Write down key words”这个策略中的Key words，除了动词之外，不能确定还有哪几类词可以作为关键词被记录在笔记上。因此在第一个语段复述完后，教师马上提供了第二个语段，并组织开展小组讨论。这次有更多的孩子总结出了关键词的范畴，还包括名词、形容词和副词。甚至还有学生提出，第一遍和第二遍关注的关键词应该不同，第一遍以名词和动词为主，而第二遍才应该记录一些形容词和副词。 </w:t>
      </w:r>
    </w:p>
    <w:p w14:paraId="090EB8F0">
      <w:pPr>
        <w:pStyle w:val="16"/>
        <w:ind w:firstLine="484" w:firstLineChars="202"/>
        <w:rPr>
          <w:rFonts w:ascii="Times New Roman" w:hAnsi="Times New Roman"/>
          <w:kern w:val="0"/>
          <w:sz w:val="24"/>
          <w:szCs w:val="24"/>
        </w:rPr>
      </w:pPr>
      <w:r>
        <w:rPr>
          <w:rFonts w:ascii="Times New Roman" w:hAnsi="Times New Roman"/>
          <w:kern w:val="0"/>
          <w:sz w:val="24"/>
          <w:szCs w:val="24"/>
        </w:rPr>
        <w:t>这些多样化的资源使用，满足了具有不同学习风格和学习水平的学生需求，最大</w:t>
      </w:r>
      <w:r>
        <w:rPr>
          <w:rFonts w:hint="eastAsia" w:ascii="Times New Roman" w:hAnsi="Times New Roman"/>
          <w:kern w:val="0"/>
          <w:sz w:val="24"/>
          <w:szCs w:val="24"/>
          <w:lang w:val="en-US" w:eastAsia="zh-CN"/>
        </w:rPr>
        <w:t>限度地提升</w:t>
      </w:r>
      <w:r>
        <w:rPr>
          <w:rFonts w:ascii="Times New Roman" w:hAnsi="Times New Roman"/>
          <w:kern w:val="0"/>
          <w:sz w:val="24"/>
          <w:szCs w:val="24"/>
        </w:rPr>
        <w:t>了每位学生的学习</w:t>
      </w:r>
      <w:r>
        <w:rPr>
          <w:rFonts w:hint="eastAsia" w:ascii="Times New Roman" w:hAnsi="Times New Roman"/>
          <w:kern w:val="0"/>
          <w:sz w:val="24"/>
          <w:szCs w:val="24"/>
          <w:lang w:val="en-US" w:eastAsia="zh-CN"/>
        </w:rPr>
        <w:t>效率</w:t>
      </w:r>
      <w:r>
        <w:rPr>
          <w:rFonts w:ascii="Times New Roman" w:hAnsi="Times New Roman"/>
          <w:kern w:val="0"/>
          <w:sz w:val="24"/>
          <w:szCs w:val="24"/>
        </w:rPr>
        <w:t>。</w:t>
      </w:r>
    </w:p>
    <w:p w14:paraId="55930CA9">
      <w:pPr>
        <w:pStyle w:val="16"/>
        <w:ind w:firstLine="484" w:firstLineChars="202"/>
        <w:rPr>
          <w:rFonts w:ascii="Times New Roman" w:hAnsi="Times New Roman"/>
          <w:kern w:val="0"/>
          <w:sz w:val="24"/>
          <w:szCs w:val="24"/>
        </w:rPr>
      </w:pPr>
    </w:p>
    <w:p w14:paraId="31500821">
      <w:pPr>
        <w:pStyle w:val="16"/>
        <w:ind w:firstLine="487" w:firstLineChars="202"/>
        <w:rPr>
          <w:rFonts w:ascii="Times New Roman" w:hAnsi="Times New Roman"/>
          <w:b/>
          <w:kern w:val="0"/>
          <w:sz w:val="24"/>
          <w:szCs w:val="24"/>
        </w:rPr>
      </w:pPr>
      <w:r>
        <w:rPr>
          <w:rFonts w:ascii="Times New Roman" w:hAnsi="Times New Roman"/>
          <w:b/>
          <w:kern w:val="0"/>
          <w:sz w:val="24"/>
          <w:szCs w:val="24"/>
        </w:rPr>
        <w:t>阶段二：教师是学习策略的记录者。</w:t>
      </w:r>
    </w:p>
    <w:p w14:paraId="434422A7">
      <w:pPr>
        <w:pStyle w:val="16"/>
        <w:ind w:firstLine="484" w:firstLineChars="202"/>
        <w:rPr>
          <w:rFonts w:ascii="Times New Roman" w:hAnsi="Times New Roman"/>
          <w:kern w:val="0"/>
          <w:sz w:val="24"/>
          <w:szCs w:val="24"/>
        </w:rPr>
      </w:pPr>
      <w:r>
        <w:rPr>
          <w:rFonts w:ascii="Times New Roman" w:hAnsi="Times New Roman"/>
          <w:kern w:val="0"/>
          <w:sz w:val="24"/>
          <w:szCs w:val="24"/>
        </w:rPr>
        <w:t>学生作为学习的主体，通过发现、获取、概括和探究意义的过程，主动参与并获取新知识。其核心思想是在体验中学习、在实践中运用、在迁移中创新。</w:t>
      </w:r>
      <w:r>
        <w:rPr>
          <w:rStyle w:val="12"/>
          <w:rFonts w:ascii="Arial" w:hAnsi="Arial" w:eastAsia="宋体" w:cs="Arial"/>
          <w:i w:val="0"/>
          <w:iCs w:val="0"/>
          <w:caps w:val="0"/>
          <w:color w:val="222222"/>
          <w:spacing w:val="0"/>
          <w:sz w:val="19"/>
          <w:szCs w:val="19"/>
          <w:shd w:val="clear" w:fill="FFFFFF"/>
        </w:rPr>
        <w:footnoteReference w:id="4"/>
      </w:r>
      <w:r>
        <w:rPr>
          <w:rFonts w:ascii="Times New Roman" w:hAnsi="Times New Roman"/>
          <w:kern w:val="0"/>
          <w:sz w:val="24"/>
          <w:szCs w:val="24"/>
        </w:rPr>
        <w:t>教师需要协助学生归纳好方法，形成策略，并做好记录。学生对于策略可能没有概念，但他们有</w:t>
      </w:r>
      <w:r>
        <w:rPr>
          <w:rFonts w:hint="eastAsia" w:ascii="Times New Roman" w:hAnsi="Times New Roman"/>
          <w:kern w:val="0"/>
          <w:sz w:val="24"/>
          <w:szCs w:val="24"/>
          <w:lang w:val="en-US" w:eastAsia="zh-CN"/>
        </w:rPr>
        <w:t>多元化的</w:t>
      </w:r>
      <w:r>
        <w:rPr>
          <w:rFonts w:ascii="Times New Roman" w:hAnsi="Times New Roman"/>
          <w:kern w:val="0"/>
          <w:sz w:val="24"/>
          <w:szCs w:val="24"/>
        </w:rPr>
        <w:t>方法。很多情况下，他们会无意识地运用一些好方法解决问题，而当方法汇总成集便成了</w:t>
      </w:r>
      <w:r>
        <w:rPr>
          <w:rFonts w:hint="eastAsia" w:ascii="Times New Roman" w:hAnsi="Times New Roman"/>
          <w:kern w:val="0"/>
          <w:sz w:val="24"/>
          <w:szCs w:val="24"/>
        </w:rPr>
        <w:t>有效</w:t>
      </w:r>
      <w:r>
        <w:rPr>
          <w:rFonts w:ascii="Times New Roman" w:hAnsi="Times New Roman"/>
          <w:kern w:val="0"/>
          <w:sz w:val="24"/>
          <w:szCs w:val="24"/>
        </w:rPr>
        <w:t>策略。</w:t>
      </w:r>
    </w:p>
    <w:p w14:paraId="7C739072">
      <w:pPr>
        <w:pStyle w:val="16"/>
        <w:ind w:firstLine="484" w:firstLineChars="202"/>
        <w:rPr>
          <w:rFonts w:ascii="Times New Roman" w:hAnsi="Times New Roman"/>
          <w:kern w:val="0"/>
          <w:sz w:val="24"/>
          <w:szCs w:val="24"/>
        </w:rPr>
      </w:pPr>
      <w:r>
        <w:rPr>
          <w:rFonts w:ascii="Times New Roman" w:hAnsi="Times New Roman"/>
          <w:kern w:val="0"/>
          <w:sz w:val="24"/>
          <w:szCs w:val="24"/>
        </w:rPr>
        <w:t>片段2：</w:t>
      </w:r>
    </w:p>
    <w:p w14:paraId="2B277832">
      <w:pPr>
        <w:pStyle w:val="16"/>
        <w:ind w:firstLine="484" w:firstLineChars="202"/>
        <w:rPr>
          <w:rFonts w:ascii="Times New Roman" w:hAnsi="Times New Roman"/>
          <w:kern w:val="0"/>
          <w:sz w:val="24"/>
          <w:szCs w:val="24"/>
        </w:rPr>
      </w:pPr>
      <w:r>
        <w:rPr>
          <w:rFonts w:ascii="Times New Roman" w:hAnsi="Times New Roman"/>
          <w:kern w:val="0"/>
          <w:sz w:val="24"/>
          <w:szCs w:val="24"/>
        </w:rPr>
        <w:t>【教学内容】</w:t>
      </w:r>
    </w:p>
    <w:p w14:paraId="51180D1D">
      <w:pPr>
        <w:pStyle w:val="16"/>
        <w:ind w:firstLine="484" w:firstLineChars="202"/>
        <w:rPr>
          <w:rFonts w:ascii="Times New Roman" w:hAnsi="Times New Roman"/>
          <w:kern w:val="0"/>
          <w:sz w:val="24"/>
          <w:szCs w:val="24"/>
        </w:rPr>
      </w:pPr>
      <w:r>
        <w:rPr>
          <w:rFonts w:ascii="Times New Roman" w:hAnsi="Times New Roman"/>
          <w:kern w:val="0"/>
          <w:sz w:val="24"/>
          <w:szCs w:val="24"/>
        </w:rPr>
        <w:t>听说测试模拟考语段：</w:t>
      </w:r>
    </w:p>
    <w:p w14:paraId="06C27396">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Script: </w:t>
      </w:r>
    </w:p>
    <w:p w14:paraId="659C233E">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At first, some people didn't like the tower. They said it was very ugly. But after a few years, it became very popular. Now the Eiffel Tower is one of the most famous scenic spots in the world. </w:t>
      </w:r>
    </w:p>
    <w:p w14:paraId="5E21BA61">
      <w:pPr>
        <w:pStyle w:val="16"/>
        <w:ind w:firstLine="484" w:firstLineChars="202"/>
        <w:rPr>
          <w:rFonts w:ascii="Times New Roman" w:hAnsi="Times New Roman"/>
          <w:kern w:val="0"/>
          <w:sz w:val="24"/>
          <w:szCs w:val="24"/>
        </w:rPr>
      </w:pPr>
      <w:r>
        <w:rPr>
          <w:rFonts w:ascii="Times New Roman" w:hAnsi="Times New Roman"/>
          <w:kern w:val="0"/>
          <w:sz w:val="24"/>
          <w:szCs w:val="24"/>
        </w:rPr>
        <w:t>【教学目标】通过分析自己或者他人在复述中的问题，归纳出相应的复述策略。</w:t>
      </w:r>
    </w:p>
    <w:p w14:paraId="68092825">
      <w:pPr>
        <w:pStyle w:val="16"/>
        <w:ind w:firstLine="484" w:firstLineChars="202"/>
        <w:rPr>
          <w:rFonts w:ascii="Times New Roman" w:hAnsi="Times New Roman"/>
          <w:kern w:val="0"/>
          <w:sz w:val="24"/>
          <w:szCs w:val="24"/>
        </w:rPr>
      </w:pPr>
      <w:r>
        <w:rPr>
          <w:rFonts w:ascii="Times New Roman" w:hAnsi="Times New Roman"/>
          <w:kern w:val="0"/>
          <w:sz w:val="24"/>
          <w:szCs w:val="24"/>
        </w:rPr>
        <w:t>【活动设计】</w:t>
      </w:r>
    </w:p>
    <w:p w14:paraId="4138C473">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Step 1: Listen to the passage, take notes and retell. </w:t>
      </w:r>
    </w:p>
    <w:p w14:paraId="162A1616">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1: After listening to his/her retelling, what do you think of it? </w:t>
      </w:r>
    </w:p>
    <w:p w14:paraId="742A8356">
      <w:pPr>
        <w:pStyle w:val="16"/>
        <w:ind w:firstLine="484" w:firstLineChars="202"/>
        <w:rPr>
          <w:rFonts w:ascii="Times New Roman" w:hAnsi="Times New Roman"/>
          <w:kern w:val="0"/>
          <w:sz w:val="24"/>
          <w:szCs w:val="24"/>
        </w:rPr>
      </w:pPr>
      <w:r>
        <w:rPr>
          <w:rFonts w:ascii="Times New Roman" w:hAnsi="Times New Roman"/>
          <w:kern w:val="0"/>
          <w:sz w:val="24"/>
          <w:szCs w:val="24"/>
        </w:rPr>
        <w:t>Question 2: When you miss words while listening, what should you do?</w:t>
      </w:r>
    </w:p>
    <w:p w14:paraId="1BB402D3">
      <w:pPr>
        <w:pStyle w:val="16"/>
        <w:ind w:firstLine="484" w:firstLineChars="202"/>
        <w:rPr>
          <w:rFonts w:ascii="Times New Roman" w:hAnsi="Times New Roman"/>
          <w:kern w:val="0"/>
          <w:sz w:val="24"/>
          <w:szCs w:val="24"/>
        </w:rPr>
      </w:pPr>
      <w:r>
        <w:rPr>
          <w:rFonts w:ascii="Times New Roman" w:hAnsi="Times New Roman"/>
          <w:kern w:val="0"/>
          <w:sz w:val="24"/>
          <w:szCs w:val="24"/>
        </w:rPr>
        <w:t>Step 2: Summarize one or two strategies</w:t>
      </w:r>
    </w:p>
    <w:p w14:paraId="234C0521">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1: Can you summarize one or two strategies? </w:t>
      </w:r>
    </w:p>
    <w:p w14:paraId="03604AB2">
      <w:pPr>
        <w:pStyle w:val="16"/>
        <w:ind w:firstLine="484" w:firstLineChars="202"/>
        <w:rPr>
          <w:rFonts w:ascii="Times New Roman" w:hAnsi="Times New Roman"/>
          <w:kern w:val="0"/>
          <w:sz w:val="24"/>
          <w:szCs w:val="24"/>
        </w:rPr>
      </w:pPr>
      <w:r>
        <w:rPr>
          <w:rFonts w:ascii="Times New Roman" w:hAnsi="Times New Roman"/>
          <w:kern w:val="0"/>
          <w:sz w:val="24"/>
          <w:szCs w:val="24"/>
        </w:rPr>
        <w:t>【案例分析】</w:t>
      </w:r>
    </w:p>
    <w:p w14:paraId="7AE967A9">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大部分学生在复述“Now the Eiffel Tower is one of the most famous scenic spots in the world.”这句时遇到困难，因为不理解scenic spots这个词而无法复述。但也有一些学生发现，可以用近义词如landmarks, tourist attractions, places甚至buildings来替代它。此时，教师便引导学生进行策略提炼，Use the most familiar structure这个策略便应运而生。 </w:t>
      </w:r>
    </w:p>
    <w:p w14:paraId="681B5EE7">
      <w:pPr>
        <w:pStyle w:val="16"/>
        <w:ind w:firstLine="484" w:firstLineChars="202"/>
        <w:rPr>
          <w:rFonts w:ascii="Times New Roman" w:hAnsi="Times New Roman"/>
          <w:kern w:val="0"/>
          <w:sz w:val="24"/>
          <w:szCs w:val="24"/>
        </w:rPr>
      </w:pPr>
    </w:p>
    <w:p w14:paraId="54891418">
      <w:pPr>
        <w:pStyle w:val="16"/>
        <w:ind w:firstLine="487" w:firstLineChars="202"/>
        <w:rPr>
          <w:rFonts w:ascii="Times New Roman" w:hAnsi="Times New Roman"/>
          <w:b/>
          <w:kern w:val="0"/>
          <w:sz w:val="24"/>
          <w:szCs w:val="24"/>
        </w:rPr>
      </w:pPr>
      <w:r>
        <w:rPr>
          <w:rFonts w:ascii="Times New Roman" w:hAnsi="Times New Roman"/>
          <w:b/>
          <w:kern w:val="0"/>
          <w:sz w:val="24"/>
          <w:szCs w:val="24"/>
        </w:rPr>
        <w:t>阶段三：教师是</w:t>
      </w:r>
      <w:r>
        <w:rPr>
          <w:rFonts w:hint="eastAsia" w:ascii="Times New Roman" w:hAnsi="Times New Roman"/>
          <w:b/>
          <w:kern w:val="0"/>
          <w:sz w:val="24"/>
          <w:szCs w:val="24"/>
          <w:lang w:val="en-US" w:eastAsia="zh-CN"/>
        </w:rPr>
        <w:t>多元评价</w:t>
      </w:r>
      <w:r>
        <w:rPr>
          <w:rFonts w:ascii="Times New Roman" w:hAnsi="Times New Roman"/>
          <w:b/>
          <w:kern w:val="0"/>
          <w:sz w:val="24"/>
          <w:szCs w:val="24"/>
        </w:rPr>
        <w:t>的推动者。</w:t>
      </w:r>
    </w:p>
    <w:p w14:paraId="39F5D024">
      <w:pPr>
        <w:pStyle w:val="16"/>
        <w:ind w:firstLine="484" w:firstLineChars="202"/>
        <w:rPr>
          <w:rFonts w:ascii="Times New Roman" w:hAnsi="Times New Roman"/>
          <w:kern w:val="0"/>
          <w:sz w:val="24"/>
          <w:szCs w:val="24"/>
        </w:rPr>
      </w:pPr>
      <w:r>
        <w:rPr>
          <w:rFonts w:ascii="Times New Roman" w:hAnsi="Times New Roman"/>
          <w:kern w:val="0"/>
          <w:sz w:val="24"/>
          <w:szCs w:val="24"/>
        </w:rPr>
        <w:t>教师组织学生互相评价改进复述，对结果进行肯定和鼓励。教师全程不参与评价，不给出修改建议，引导学生自我启发，协助他们在讨论过程中逐步掌握策略。</w:t>
      </w:r>
      <w:r>
        <w:rPr>
          <w:rStyle w:val="12"/>
          <w:rFonts w:ascii="Times New Roman" w:hAnsi="Times New Roman"/>
          <w:kern w:val="0"/>
          <w:sz w:val="24"/>
          <w:szCs w:val="24"/>
        </w:rPr>
        <w:footnoteReference w:id="5"/>
      </w:r>
      <w:r>
        <w:rPr>
          <w:rFonts w:ascii="Times New Roman" w:hAnsi="Times New Roman"/>
          <w:kern w:val="0"/>
          <w:sz w:val="24"/>
          <w:szCs w:val="24"/>
        </w:rPr>
        <w:t>学生会在新语段中尝试运用阶段二提炼的策略，通过自我评价或者同伴互评的方式反思复述，进而改进自己的复述。最有价值的知识是关于方法和策略的知识。教学的目的是为了让学生能在课堂教学中获取有价值的学习策略，听说课教学也是如此。</w:t>
      </w:r>
    </w:p>
    <w:p w14:paraId="44879062">
      <w:pPr>
        <w:pStyle w:val="16"/>
        <w:ind w:firstLine="484" w:firstLineChars="202"/>
        <w:rPr>
          <w:rFonts w:ascii="Times New Roman" w:hAnsi="Times New Roman"/>
          <w:kern w:val="0"/>
          <w:sz w:val="24"/>
          <w:szCs w:val="24"/>
        </w:rPr>
      </w:pPr>
      <w:r>
        <w:rPr>
          <w:rFonts w:ascii="Times New Roman" w:hAnsi="Times New Roman"/>
          <w:kern w:val="0"/>
          <w:sz w:val="24"/>
          <w:szCs w:val="24"/>
        </w:rPr>
        <w:t>片段3:</w:t>
      </w:r>
    </w:p>
    <w:p w14:paraId="63B1F096">
      <w:pPr>
        <w:pStyle w:val="16"/>
        <w:ind w:firstLine="484" w:firstLineChars="202"/>
        <w:rPr>
          <w:rFonts w:ascii="Times New Roman" w:hAnsi="Times New Roman"/>
          <w:kern w:val="0"/>
          <w:sz w:val="24"/>
          <w:szCs w:val="24"/>
        </w:rPr>
      </w:pPr>
      <w:r>
        <w:rPr>
          <w:rFonts w:ascii="Times New Roman" w:hAnsi="Times New Roman"/>
          <w:kern w:val="0"/>
          <w:sz w:val="24"/>
          <w:szCs w:val="24"/>
        </w:rPr>
        <w:t>【教学内容】</w:t>
      </w:r>
    </w:p>
    <w:p w14:paraId="2597ECE3">
      <w:pPr>
        <w:pStyle w:val="16"/>
        <w:ind w:firstLine="484" w:firstLineChars="202"/>
        <w:rPr>
          <w:rFonts w:ascii="Times New Roman" w:hAnsi="Times New Roman"/>
          <w:kern w:val="0"/>
          <w:sz w:val="24"/>
          <w:szCs w:val="24"/>
        </w:rPr>
      </w:pPr>
      <w:r>
        <w:rPr>
          <w:rFonts w:ascii="Times New Roman" w:hAnsi="Times New Roman"/>
          <w:kern w:val="0"/>
          <w:sz w:val="24"/>
          <w:szCs w:val="24"/>
        </w:rPr>
        <w:t>上海听说测试模拟考语段：</w:t>
      </w:r>
    </w:p>
    <w:p w14:paraId="6F731573">
      <w:pPr>
        <w:pStyle w:val="16"/>
        <w:ind w:firstLine="484" w:firstLineChars="202"/>
        <w:rPr>
          <w:rFonts w:ascii="Times New Roman" w:hAnsi="Times New Roman"/>
          <w:kern w:val="0"/>
          <w:sz w:val="24"/>
          <w:szCs w:val="24"/>
        </w:rPr>
      </w:pPr>
      <w:r>
        <w:rPr>
          <w:rFonts w:ascii="Times New Roman" w:hAnsi="Times New Roman"/>
          <w:kern w:val="0"/>
          <w:sz w:val="24"/>
          <w:szCs w:val="24"/>
        </w:rPr>
        <w:t>Tom’s pets</w:t>
      </w:r>
    </w:p>
    <w:p w14:paraId="567E30E6">
      <w:pPr>
        <w:pStyle w:val="16"/>
        <w:ind w:firstLine="484" w:firstLineChars="202"/>
        <w:rPr>
          <w:rFonts w:ascii="Times New Roman" w:hAnsi="Times New Roman"/>
          <w:kern w:val="0"/>
          <w:sz w:val="24"/>
          <w:szCs w:val="24"/>
        </w:rPr>
      </w:pPr>
      <w:r>
        <w:rPr>
          <w:rFonts w:ascii="Times New Roman" w:hAnsi="Times New Roman"/>
          <w:kern w:val="0"/>
          <w:sz w:val="24"/>
          <w:szCs w:val="24"/>
        </w:rPr>
        <w:t>Cats make the best pets. First, cats can take care of themselves. Cats walk alone or just stay inside in a warm chair. Well, dogs must be walked every day in all kinds of weather. Next, cats are cheaper. Dogs need large amounts of expensive food. Cats are happy with dry food.</w:t>
      </w:r>
    </w:p>
    <w:p w14:paraId="4A34C781">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【教学目标】通过分析自己或者他人在复述中的问题，总结出相应的复述策略. </w:t>
      </w:r>
    </w:p>
    <w:p w14:paraId="060E6496">
      <w:pPr>
        <w:pStyle w:val="16"/>
        <w:ind w:firstLine="484" w:firstLineChars="202"/>
        <w:rPr>
          <w:rFonts w:ascii="Times New Roman" w:hAnsi="Times New Roman"/>
          <w:kern w:val="0"/>
          <w:sz w:val="24"/>
          <w:szCs w:val="24"/>
        </w:rPr>
      </w:pPr>
      <w:r>
        <w:rPr>
          <w:rFonts w:ascii="Times New Roman" w:hAnsi="Times New Roman"/>
          <w:kern w:val="0"/>
          <w:sz w:val="24"/>
          <w:szCs w:val="24"/>
        </w:rPr>
        <w:t>【活动设计】</w:t>
      </w:r>
    </w:p>
    <w:p w14:paraId="1753411B">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Step 1: Listen to the passage, take notes and retell. </w:t>
      </w:r>
    </w:p>
    <w:p w14:paraId="2D7B8ECA">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1: After listening to his/her retelling, what do you think of it? </w:t>
      </w:r>
    </w:p>
    <w:p w14:paraId="69CF14DD">
      <w:pPr>
        <w:pStyle w:val="16"/>
        <w:ind w:firstLine="484" w:firstLineChars="202"/>
        <w:rPr>
          <w:rFonts w:ascii="Times New Roman" w:hAnsi="Times New Roman"/>
          <w:kern w:val="0"/>
          <w:sz w:val="24"/>
          <w:szCs w:val="24"/>
        </w:rPr>
      </w:pPr>
      <w:r>
        <w:rPr>
          <w:rFonts w:ascii="Times New Roman" w:hAnsi="Times New Roman"/>
          <w:kern w:val="0"/>
          <w:sz w:val="24"/>
          <w:szCs w:val="24"/>
        </w:rPr>
        <w:t xml:space="preserve">Question 2: Can you summarize one or two strategies? </w:t>
      </w:r>
    </w:p>
    <w:p w14:paraId="52F1144E">
      <w:pPr>
        <w:pStyle w:val="16"/>
        <w:ind w:firstLine="484" w:firstLineChars="202"/>
        <w:rPr>
          <w:rFonts w:ascii="Times New Roman" w:hAnsi="Times New Roman"/>
          <w:kern w:val="0"/>
          <w:sz w:val="24"/>
          <w:szCs w:val="24"/>
        </w:rPr>
      </w:pPr>
      <w:r>
        <w:rPr>
          <w:rFonts w:ascii="Times New Roman" w:hAnsi="Times New Roman"/>
          <w:kern w:val="0"/>
          <w:sz w:val="24"/>
          <w:szCs w:val="24"/>
        </w:rPr>
        <w:t>【案例分析】</w:t>
      </w:r>
    </w:p>
    <w:p w14:paraId="4E154149">
      <w:pPr>
        <w:pStyle w:val="16"/>
        <w:ind w:firstLine="484" w:firstLineChars="202"/>
        <w:rPr>
          <w:rFonts w:ascii="Times New Roman" w:hAnsi="Times New Roman"/>
          <w:kern w:val="0"/>
          <w:sz w:val="24"/>
          <w:szCs w:val="24"/>
        </w:rPr>
      </w:pPr>
      <w:r>
        <w:rPr>
          <w:rFonts w:ascii="Times New Roman" w:hAnsi="Times New Roman"/>
          <w:kern w:val="0"/>
          <w:sz w:val="24"/>
          <w:szCs w:val="24"/>
        </w:rPr>
        <w:t>在复述Tom’s pets一文时，有的学生只复述了宠物猫的部分，而直接跳过了与宠物狗有关的内容，教师捕捉到了学生的思考和发现，邀请学生发表自己的观点。学生认为，由于题干中的思维导图没有提及宠物狗，因此他特意删除了这个部分内容的复述。这位学生的想法同时触发了其他学生的灵感，马上就有学生举手分享策略，即We should retell according to the mind map.（复述的内容需要与mind map给到的大框架保持一致）。</w:t>
      </w:r>
    </w:p>
    <w:p w14:paraId="0FEC0E59">
      <w:pPr>
        <w:pStyle w:val="16"/>
        <w:ind w:firstLine="484" w:firstLineChars="202"/>
        <w:rPr>
          <w:rFonts w:ascii="Times New Roman" w:hAnsi="Times New Roman"/>
          <w:kern w:val="0"/>
          <w:sz w:val="24"/>
          <w:szCs w:val="24"/>
        </w:rPr>
      </w:pPr>
      <w:r>
        <w:rPr>
          <w:rFonts w:ascii="Times New Roman" w:hAnsi="Times New Roman"/>
          <w:kern w:val="0"/>
          <w:sz w:val="24"/>
          <w:szCs w:val="24"/>
        </w:rPr>
        <w:t>伴随着策略的归纳总结，本堂课的Checklist也应运而生。学生可以根据Checklist对自己后续的Retelling进行评估和完善，迁移运用所学。此时，他们清楚地知道自己为什么听为什么说，知道听什么说什么，知道怎么听怎么说，并在Checklist的帮助下知道自己是否说的好。</w:t>
      </w:r>
    </w:p>
    <w:p w14:paraId="4DB1CA8C">
      <w:pPr>
        <w:pStyle w:val="16"/>
        <w:ind w:firstLine="484" w:firstLineChars="202"/>
        <w:rPr>
          <w:rFonts w:ascii="Times New Roman" w:hAnsi="Times New Roman"/>
          <w:kern w:val="0"/>
          <w:sz w:val="24"/>
          <w:szCs w:val="24"/>
        </w:rPr>
      </w:pPr>
    </w:p>
    <w:p w14:paraId="252EC833">
      <w:pPr>
        <w:pStyle w:val="16"/>
        <w:ind w:firstLine="0" w:firstLineChars="0"/>
        <w:rPr>
          <w:rFonts w:ascii="Times New Roman" w:hAnsi="Times New Roman"/>
          <w:kern w:val="0"/>
          <w:sz w:val="24"/>
          <w:szCs w:val="24"/>
        </w:rPr>
      </w:pPr>
      <w:r>
        <w:rPr>
          <w:rFonts w:ascii="Times New Roman" w:hAnsi="Times New Roman"/>
          <w:kern w:val="0"/>
          <w:sz w:val="24"/>
          <w:szCs w:val="24"/>
        </w:rPr>
        <w:t>三、研究</w:t>
      </w:r>
      <w:r>
        <w:rPr>
          <w:rFonts w:hint="eastAsia" w:ascii="Times New Roman" w:hAnsi="Times New Roman"/>
          <w:kern w:val="0"/>
          <w:sz w:val="24"/>
          <w:szCs w:val="24"/>
        </w:rPr>
        <w:t>结论与教学启示</w:t>
      </w:r>
    </w:p>
    <w:p w14:paraId="65E942C0">
      <w:pPr>
        <w:pStyle w:val="16"/>
        <w:ind w:firstLine="0" w:firstLineChars="0"/>
        <w:rPr>
          <w:rFonts w:ascii="Times New Roman" w:hAnsi="Times New Roman"/>
          <w:kern w:val="0"/>
          <w:sz w:val="24"/>
          <w:szCs w:val="24"/>
        </w:rPr>
      </w:pPr>
      <w:r>
        <w:rPr>
          <w:rFonts w:ascii="Times New Roman" w:hAnsi="Times New Roman"/>
          <w:kern w:val="0"/>
          <w:sz w:val="24"/>
          <w:szCs w:val="24"/>
        </w:rPr>
        <w:t>聚焦基于核心素养的听说教学设计原则和实施建议</w:t>
      </w:r>
      <w:r>
        <w:rPr>
          <w:rFonts w:hint="eastAsia" w:ascii="Times New Roman" w:hAnsi="Times New Roman"/>
          <w:kern w:val="0"/>
          <w:sz w:val="24"/>
          <w:szCs w:val="24"/>
        </w:rPr>
        <w:t>:</w:t>
      </w:r>
    </w:p>
    <w:p w14:paraId="35FC8225">
      <w:pPr>
        <w:pStyle w:val="16"/>
        <w:ind w:firstLine="0" w:firstLineChars="0"/>
        <w:rPr>
          <w:rFonts w:ascii="Times New Roman" w:hAnsi="Times New Roman"/>
          <w:kern w:val="0"/>
          <w:sz w:val="24"/>
          <w:szCs w:val="24"/>
        </w:rPr>
      </w:pPr>
      <w:r>
        <w:rPr>
          <w:rFonts w:hint="eastAsia" w:ascii="Times New Roman" w:hAnsi="Times New Roman"/>
          <w:kern w:val="0"/>
          <w:sz w:val="24"/>
          <w:szCs w:val="24"/>
        </w:rPr>
        <w:t>（一）</w:t>
      </w:r>
      <w:r>
        <w:rPr>
          <w:rFonts w:ascii="Times New Roman" w:hAnsi="Times New Roman"/>
          <w:kern w:val="0"/>
          <w:sz w:val="24"/>
          <w:szCs w:val="24"/>
        </w:rPr>
        <w:t>关注复述策略提炼，激活学生内动力，启发学生乐学善学</w:t>
      </w:r>
    </w:p>
    <w:p w14:paraId="021349FF">
      <w:pPr>
        <w:pStyle w:val="16"/>
        <w:ind w:firstLine="480"/>
        <w:rPr>
          <w:rFonts w:ascii="Times New Roman" w:hAnsi="Times New Roman"/>
          <w:kern w:val="0"/>
          <w:sz w:val="24"/>
          <w:szCs w:val="24"/>
        </w:rPr>
      </w:pPr>
      <w:r>
        <w:rPr>
          <w:rFonts w:hint="eastAsia" w:ascii="Times New Roman" w:hAnsi="Times New Roman"/>
          <w:kern w:val="0"/>
          <w:sz w:val="24"/>
          <w:szCs w:val="24"/>
        </w:rPr>
        <w:t>《新课标》中提出：核心素养的四个维度其中之一是：学习能力。“需要</w:t>
      </w:r>
      <w:r>
        <w:rPr>
          <w:rFonts w:ascii="Times New Roman" w:hAnsi="Times New Roman"/>
          <w:kern w:val="0"/>
          <w:sz w:val="24"/>
          <w:szCs w:val="24"/>
        </w:rPr>
        <w:t>提高学习能力。能够树立正确的英语学习目标，保持学习兴趣，主动参与语言实践活动；在学习中注意倾听、乐于交流、大胆尝试；学会自主探究，合作互助；学会反思和评价学习进展，调整学习方式；学会自我管理，提高学习效率，做到乐学善学。</w:t>
      </w:r>
      <w:r>
        <w:rPr>
          <w:rFonts w:hint="eastAsia" w:ascii="Times New Roman" w:hAnsi="Times New Roman"/>
          <w:kern w:val="0"/>
          <w:sz w:val="24"/>
          <w:szCs w:val="24"/>
        </w:rPr>
        <w:t xml:space="preserve"> ”</w:t>
      </w:r>
    </w:p>
    <w:p w14:paraId="149550A2">
      <w:pPr>
        <w:pStyle w:val="16"/>
        <w:ind w:firstLine="480"/>
        <w:rPr>
          <w:rFonts w:ascii="Times New Roman" w:hAnsi="Times New Roman"/>
          <w:kern w:val="0"/>
          <w:sz w:val="24"/>
          <w:szCs w:val="24"/>
        </w:rPr>
      </w:pPr>
      <w:r>
        <w:rPr>
          <w:rFonts w:ascii="Times New Roman" w:hAnsi="Times New Roman"/>
          <w:kern w:val="0"/>
          <w:sz w:val="24"/>
          <w:szCs w:val="24"/>
        </w:rPr>
        <w:t>英语课程不仅要指导学生学习英语，发展英语语言运用能力，还要引导学生如何学习英语，并保持学英语的持续兴趣、为学生实现终身学习的能力提供支持，英语听说教学亦是如此。</w:t>
      </w:r>
    </w:p>
    <w:p w14:paraId="5E970ED0">
      <w:pPr>
        <w:pStyle w:val="16"/>
        <w:ind w:firstLine="480"/>
        <w:rPr>
          <w:rFonts w:ascii="Times New Roman" w:hAnsi="Times New Roman"/>
          <w:kern w:val="0"/>
          <w:sz w:val="24"/>
          <w:szCs w:val="24"/>
        </w:rPr>
      </w:pPr>
      <w:r>
        <w:rPr>
          <w:rFonts w:ascii="Times New Roman" w:hAnsi="Times New Roman"/>
          <w:kern w:val="0"/>
          <w:sz w:val="24"/>
          <w:szCs w:val="24"/>
        </w:rPr>
        <w:t>乐学即想学的问题，本质上就是学习动力问题。学习动力包括内动力和外动力。内动力主要来自好奇心、成就感和创造性。外动力主要来自外界刺激，分数、压力、奖励、竞争等。有研究表明，学习的外动力越大，内动力就越小；并且外动力很难持久，也不会引发强烈的学习兴趣和愿望。在听说课堂教学中，教师应该减少过度控制与过度关注结果来减少外动力对学习的负面影响，也就是我们教师要适当放手，留出空间让学生培养学习能力。善学即会学的问题，它本质上是学习能力的问题，包括学习策略和学习方式。其实乐学和善学是相互依存的学习能力问题，乐学就会主动研究学习方法，就有成就感，就进一步激发学习动力。 </w:t>
      </w:r>
    </w:p>
    <w:p w14:paraId="25679DC9">
      <w:pPr>
        <w:pStyle w:val="16"/>
        <w:ind w:firstLine="0" w:firstLineChars="0"/>
        <w:rPr>
          <w:rFonts w:ascii="Times New Roman" w:hAnsi="Times New Roman"/>
          <w:kern w:val="0"/>
          <w:sz w:val="24"/>
          <w:szCs w:val="24"/>
        </w:rPr>
      </w:pPr>
      <w:r>
        <w:rPr>
          <w:rFonts w:ascii="Times New Roman" w:hAnsi="Times New Roman"/>
          <w:kern w:val="0"/>
          <w:sz w:val="24"/>
          <w:szCs w:val="24"/>
        </w:rPr>
        <w:t>基于“核心素养”的听说课堂上，学生直面各种生成性问题，并在老师的引领下勇于克服困难，甚至将问题转化成学习资源。当学生真正体会到知识的魅力、学习的魅力和思维的魅力，便能够有效激活学生的学习内动力。只要能激活学生的学习内动力，学生想学习就会成为现实，想学习的学生一定会在教师的引导下学会学习。而学生会学习了，就能够有效提高学习成就感，进而一定会提高学习的欲望，最终实现乐学善学。</w:t>
      </w:r>
    </w:p>
    <w:p w14:paraId="694F17C0">
      <w:pPr>
        <w:pStyle w:val="16"/>
        <w:ind w:firstLine="484" w:firstLineChars="202"/>
        <w:rPr>
          <w:rFonts w:ascii="Times New Roman" w:hAnsi="Times New Roman"/>
          <w:kern w:val="0"/>
          <w:sz w:val="24"/>
          <w:szCs w:val="24"/>
        </w:rPr>
      </w:pPr>
    </w:p>
    <w:p w14:paraId="540DEE88">
      <w:pPr>
        <w:pStyle w:val="16"/>
        <w:ind w:firstLine="0" w:firstLineChars="0"/>
        <w:rPr>
          <w:rFonts w:ascii="Times New Roman" w:hAnsi="Times New Roman"/>
          <w:kern w:val="0"/>
          <w:sz w:val="24"/>
          <w:szCs w:val="24"/>
        </w:rPr>
      </w:pPr>
      <w:r>
        <w:rPr>
          <w:rFonts w:hint="eastAsia" w:ascii="Times New Roman" w:hAnsi="Times New Roman"/>
          <w:kern w:val="0"/>
          <w:sz w:val="24"/>
          <w:szCs w:val="24"/>
        </w:rPr>
        <w:t>（二）</w:t>
      </w:r>
      <w:r>
        <w:rPr>
          <w:rFonts w:ascii="Times New Roman" w:hAnsi="Times New Roman"/>
          <w:kern w:val="0"/>
          <w:sz w:val="24"/>
          <w:szCs w:val="24"/>
        </w:rPr>
        <w:t>探索课堂微循环模式，调动学生积极性，鼓励学生适度微调</w:t>
      </w:r>
    </w:p>
    <w:p w14:paraId="6A41FF4F">
      <w:pPr>
        <w:pStyle w:val="16"/>
        <w:ind w:firstLine="484" w:firstLineChars="202"/>
        <w:rPr>
          <w:rFonts w:ascii="Times New Roman" w:hAnsi="Times New Roman"/>
          <w:kern w:val="0"/>
          <w:sz w:val="24"/>
          <w:szCs w:val="24"/>
        </w:rPr>
      </w:pPr>
      <w:r>
        <w:rPr>
          <w:rFonts w:ascii="Times New Roman" w:hAnsi="Times New Roman"/>
          <w:kern w:val="0"/>
          <w:sz w:val="24"/>
          <w:szCs w:val="24"/>
        </w:rPr>
        <w:t>《新课标》提出：“在教学过程中，要始终体现学生的主体地位，教师应充分发挥学生在学习过程中的主动性和积极性。”在听说课的设置上，更应该体现学生在教学活动中的主体地位。传统的听说课堂存在学生比较被动的现象，比如听力，教师成了简单的录音资料插放员，学生听不懂了就反复听，实在听不出来，就看看听力材料，老师说的多，学生参与度低。指向“核心素养”中学习能力培养的听说课堂，以学生为主体，充分调动学生的积极性，特别关注学生个体之间的差异以及他们对策略的习得和运用程度的不同。作为教师应该尊重这种差异，并顺应这样的不同，因为这是学生不断选择和调整的过程。</w:t>
      </w:r>
    </w:p>
    <w:p w14:paraId="7B224006">
      <w:pPr>
        <w:pStyle w:val="16"/>
        <w:ind w:firstLine="484" w:firstLineChars="202"/>
        <w:rPr>
          <w:rFonts w:ascii="Times New Roman" w:hAnsi="Times New Roman"/>
          <w:kern w:val="0"/>
          <w:sz w:val="24"/>
          <w:szCs w:val="24"/>
        </w:rPr>
      </w:pPr>
      <w:r>
        <w:rPr>
          <w:rFonts w:ascii="Times New Roman" w:hAnsi="Times New Roman"/>
          <w:kern w:val="0"/>
          <w:sz w:val="24"/>
          <w:szCs w:val="24"/>
        </w:rPr>
        <w:t>听说测试指导课的教学设计思路，应该遵循“发现问题-修正问题-归纳策略-运用实践-反思改进”的微循环模式</w:t>
      </w:r>
      <w:r>
        <w:rPr>
          <w:rStyle w:val="12"/>
          <w:rFonts w:ascii="Times New Roman" w:hAnsi="Times New Roman"/>
          <w:kern w:val="0"/>
          <w:sz w:val="24"/>
          <w:szCs w:val="24"/>
        </w:rPr>
        <w:footnoteReference w:id="6"/>
      </w:r>
      <w:r>
        <w:rPr>
          <w:rFonts w:ascii="Times New Roman" w:hAnsi="Times New Roman"/>
          <w:kern w:val="0"/>
          <w:sz w:val="24"/>
          <w:szCs w:val="24"/>
        </w:rPr>
        <w:t>。在这几个阶段的循环过程中，学生在不断选择和调整。</w:t>
      </w:r>
    </w:p>
    <w:p w14:paraId="655446AC">
      <w:pPr>
        <w:pStyle w:val="16"/>
        <w:ind w:firstLine="484" w:firstLineChars="202"/>
        <w:rPr>
          <w:rFonts w:ascii="Times New Roman" w:hAnsi="Times New Roman"/>
          <w:kern w:val="0"/>
          <w:sz w:val="24"/>
          <w:szCs w:val="24"/>
        </w:rPr>
      </w:pPr>
    </w:p>
    <w:p w14:paraId="412B1846">
      <w:pPr>
        <w:pStyle w:val="16"/>
        <w:ind w:firstLine="0" w:firstLineChars="0"/>
        <w:rPr>
          <w:rFonts w:ascii="Times New Roman" w:hAnsi="Times New Roman"/>
          <w:kern w:val="0"/>
          <w:sz w:val="24"/>
          <w:szCs w:val="24"/>
        </w:rPr>
      </w:pPr>
      <w:r>
        <w:rPr>
          <w:rFonts w:hint="eastAsia" w:ascii="Times New Roman" w:hAnsi="Times New Roman"/>
          <w:kern w:val="0"/>
          <w:sz w:val="24"/>
          <w:szCs w:val="24"/>
        </w:rPr>
        <w:t>（三）</w:t>
      </w:r>
      <w:r>
        <w:rPr>
          <w:rFonts w:ascii="Times New Roman" w:hAnsi="Times New Roman"/>
          <w:kern w:val="0"/>
          <w:sz w:val="24"/>
          <w:szCs w:val="24"/>
        </w:rPr>
        <w:t>采用移动互联新技术，为互评协作赋能，促进学生合作探究</w:t>
      </w:r>
      <w:bookmarkStart w:id="0" w:name="bookmark184"/>
      <w:bookmarkStart w:id="1" w:name="bookmark187"/>
      <w:bookmarkStart w:id="2" w:name="bookmark185"/>
    </w:p>
    <w:p w14:paraId="13DEA6D4">
      <w:pPr>
        <w:pStyle w:val="16"/>
        <w:ind w:firstLine="360" w:firstLineChars="150"/>
        <w:rPr>
          <w:rFonts w:ascii="Times New Roman" w:hAnsi="Times New Roman"/>
          <w:kern w:val="0"/>
          <w:sz w:val="24"/>
          <w:szCs w:val="24"/>
        </w:rPr>
      </w:pPr>
      <w:r>
        <w:rPr>
          <w:rFonts w:hint="eastAsia" w:ascii="Times New Roman" w:hAnsi="Times New Roman"/>
          <w:kern w:val="0"/>
          <w:sz w:val="24"/>
          <w:szCs w:val="24"/>
        </w:rPr>
        <w:t>《新课标》中提出：“要</w:t>
      </w:r>
      <w:r>
        <w:rPr>
          <w:rFonts w:ascii="Times New Roman" w:hAnsi="Times New Roman"/>
          <w:kern w:val="0"/>
          <w:sz w:val="24"/>
          <w:szCs w:val="24"/>
        </w:rPr>
        <w:t>提升信息技术使用效益</w:t>
      </w:r>
      <w:bookmarkEnd w:id="0"/>
      <w:bookmarkEnd w:id="1"/>
      <w:bookmarkEnd w:id="2"/>
      <w:r>
        <w:rPr>
          <w:rFonts w:hint="eastAsia" w:ascii="Times New Roman" w:hAnsi="Times New Roman"/>
          <w:kern w:val="0"/>
          <w:sz w:val="24"/>
          <w:szCs w:val="24"/>
        </w:rPr>
        <w:t>。</w:t>
      </w:r>
      <w:r>
        <w:rPr>
          <w:rFonts w:ascii="Times New Roman" w:hAnsi="Times New Roman"/>
          <w:kern w:val="0"/>
          <w:sz w:val="24"/>
          <w:szCs w:val="24"/>
        </w:rPr>
        <w:t>教师要充分认识到现代信息技术不仅为英语教学提供了多模态的手段、平台和空间，还提供了丰富的资源与跨时空的语言学习和使用机会，对创设良好学习情境、促进教育理念更新和教学方式变革具有重要支撑作用。</w:t>
      </w:r>
      <w:r>
        <w:rPr>
          <w:rFonts w:hint="eastAsia" w:ascii="Times New Roman" w:hAnsi="Times New Roman"/>
          <w:kern w:val="0"/>
          <w:sz w:val="24"/>
          <w:szCs w:val="24"/>
        </w:rPr>
        <w:t>”</w:t>
      </w:r>
    </w:p>
    <w:p w14:paraId="3BC785C0">
      <w:pPr>
        <w:pStyle w:val="16"/>
        <w:ind w:firstLine="480"/>
        <w:rPr>
          <w:rFonts w:ascii="Times New Roman" w:hAnsi="Times New Roman"/>
          <w:kern w:val="0"/>
          <w:sz w:val="24"/>
          <w:szCs w:val="24"/>
        </w:rPr>
      </w:pPr>
      <w:r>
        <w:rPr>
          <w:rFonts w:ascii="Times New Roman" w:hAnsi="Times New Roman"/>
          <w:kern w:val="0"/>
          <w:sz w:val="24"/>
          <w:szCs w:val="24"/>
        </w:rPr>
        <w:t>在听说课堂的复述时，学生在短期记忆的帮助下，迅速将头脑中的信息结合手中地笔记进行整理和输出。复述结束的同时，学生往往已经不记得之前自己是如何进行讲述的。后期也不可能结合习得的策略，就自己的复述进行优化和完善。如果在课前完成复述，课上讲评，又不能达成边讲边练的效果。复述策略指导课堂中，需要对学生的复述产出给予及时的反馈，而学生也需要复听自己的回答才能更好地做出修改。如何高效进行听说课堂的策略指导和实现学生听说的实时反馈？</w:t>
      </w:r>
    </w:p>
    <w:p w14:paraId="7FAD091F">
      <w:pPr>
        <w:pStyle w:val="16"/>
        <w:ind w:firstLine="484" w:firstLineChars="202"/>
        <w:rPr>
          <w:rFonts w:ascii="Times New Roman" w:hAnsi="Times New Roman"/>
          <w:kern w:val="0"/>
          <w:sz w:val="24"/>
          <w:szCs w:val="24"/>
        </w:rPr>
      </w:pPr>
      <w:r>
        <w:rPr>
          <w:rFonts w:ascii="Times New Roman" w:hAnsi="Times New Roman"/>
          <w:kern w:val="0"/>
          <w:sz w:val="24"/>
          <w:szCs w:val="24"/>
        </w:rPr>
        <w:t>教师可以借助信息化平台，运用移动互联新技术，通过提前设计好的学程包，在移动终端对学生的复述进行实时录音，实现了边讲边练的授课模式。学程包在开发时依据教学的需求提前进行数据“埋点”，应用时基于xAPI标准（行为数据采集标准）全面采集学习行为和结果数据，实时反馈，以新的途径在课堂上推进了因材施教。教师在课堂上，通过饼图可以实时了解学生的复述进度，随时调整教学策略，也可以根据需要点开任意学生录音组织学生自评或他评。学生也可以在课后，登陆自己的账户复听录音，完成回家作业：参照Checklist，对自己的课堂复述进行诊断和完善。基于核心素养的听说教学策略的研究实施应该鼓励学生以自主、合作、探究的方式参与其中，不但关注只是学习，同时关注能力提升、思维发展和价值培养。</w:t>
      </w:r>
    </w:p>
    <w:p w14:paraId="13333A29">
      <w:pPr>
        <w:pStyle w:val="7"/>
        <w:widowControl/>
        <w:shd w:val="clear" w:color="auto" w:fill="FFFFFF"/>
        <w:spacing w:before="240" w:after="240"/>
        <w:rPr>
          <w:rFonts w:ascii="Segoe UI" w:hAnsi="Segoe UI" w:eastAsia="Segoe UI" w:cs="Segoe UI"/>
          <w:color w:val="0F1115"/>
          <w:szCs w:val="24"/>
          <w:shd w:val="clear" w:color="auto" w:fill="FFFFFF"/>
        </w:rPr>
      </w:pPr>
      <w:r>
        <w:rPr>
          <w:rFonts w:ascii="Segoe UI" w:hAnsi="Segoe UI" w:eastAsia="Segoe UI" w:cs="Segoe UI"/>
          <w:color w:val="0F1115"/>
          <w:szCs w:val="24"/>
          <w:shd w:val="clear" w:color="auto" w:fill="FFFFFF"/>
        </w:rPr>
        <w:t>本研究证实，基于核心素养的听说复述策略教学是可行且有效的。其成功关键在于实现了三个转变：</w:t>
      </w:r>
    </w:p>
    <w:p w14:paraId="068134EC">
      <w:pPr>
        <w:pStyle w:val="7"/>
        <w:widowControl/>
        <w:numPr>
          <w:ilvl w:val="0"/>
          <w:numId w:val="3"/>
        </w:numPr>
        <w:shd w:val="clear" w:color="auto" w:fill="FFFFFF"/>
        <w:spacing w:before="240" w:after="240"/>
      </w:pPr>
      <w:r>
        <w:rPr>
          <w:rStyle w:val="10"/>
          <w:rFonts w:ascii="Segoe UI" w:hAnsi="Segoe UI" w:eastAsia="Segoe UI" w:cs="Segoe UI"/>
          <w:bCs/>
          <w:color w:val="0F1115"/>
          <w:szCs w:val="24"/>
          <w:shd w:val="clear" w:color="auto" w:fill="FFFFFF"/>
        </w:rPr>
        <w:t>从“知识传授”到“策略赋能”：</w:t>
      </w:r>
      <w:r>
        <w:rPr>
          <w:rFonts w:ascii="Segoe UI" w:hAnsi="Segoe UI" w:eastAsia="Segoe UI" w:cs="Segoe UI"/>
          <w:color w:val="0F1115"/>
          <w:szCs w:val="24"/>
          <w:shd w:val="clear" w:color="auto" w:fill="FFFFFF"/>
        </w:rPr>
        <w:t> 教学重心从语言点的讲解，转向引导学生自主发现、归纳和应用学习策略，授之以“渔”，契合了《新课标》对“学习能力”培养的要求。</w:t>
      </w:r>
    </w:p>
    <w:p w14:paraId="2FCAB2FC">
      <w:pPr>
        <w:pStyle w:val="7"/>
        <w:widowControl/>
        <w:numPr>
          <w:ilvl w:val="0"/>
          <w:numId w:val="3"/>
        </w:numPr>
      </w:pPr>
      <w:r>
        <w:rPr>
          <w:rStyle w:val="10"/>
          <w:rFonts w:ascii="Segoe UI" w:hAnsi="Segoe UI" w:eastAsia="Segoe UI" w:cs="Segoe UI"/>
          <w:bCs/>
          <w:color w:val="0F1115"/>
          <w:szCs w:val="24"/>
          <w:shd w:val="clear" w:color="auto" w:fill="FFFFFF"/>
        </w:rPr>
        <w:t>从“教师中心”到“学生主体”：</w:t>
      </w:r>
      <w:r>
        <w:rPr>
          <w:rFonts w:ascii="Segoe UI" w:hAnsi="Segoe UI" w:eastAsia="Segoe UI" w:cs="Segoe UI"/>
          <w:color w:val="0F1115"/>
          <w:szCs w:val="24"/>
          <w:shd w:val="clear" w:color="auto" w:fill="FFFFFF"/>
        </w:rPr>
        <w:t> 通过“微循环”模式，课堂成为学生发现问题、合作探究、反思调整的场域。教师角色转变为素材提供者、过程引导者和反馈促进者，充分调动了学生的内驱力。</w:t>
      </w:r>
    </w:p>
    <w:p w14:paraId="619D9D30">
      <w:pPr>
        <w:pStyle w:val="7"/>
        <w:widowControl/>
        <w:numPr>
          <w:ilvl w:val="0"/>
          <w:numId w:val="0"/>
        </w:numPr>
      </w:pPr>
    </w:p>
    <w:p w14:paraId="19743433">
      <w:pPr>
        <w:pStyle w:val="7"/>
        <w:widowControl/>
        <w:numPr>
          <w:ilvl w:val="0"/>
          <w:numId w:val="3"/>
        </w:numPr>
      </w:pPr>
      <w:r>
        <w:rPr>
          <w:rStyle w:val="10"/>
          <w:rFonts w:ascii="Segoe UI" w:hAnsi="Segoe UI" w:eastAsia="Segoe UI" w:cs="Segoe UI"/>
          <w:bCs/>
          <w:color w:val="0F1115"/>
          <w:szCs w:val="24"/>
          <w:shd w:val="clear" w:color="auto" w:fill="FFFFFF"/>
        </w:rPr>
        <w:t>从“经验判断”到“数据驱动”：</w:t>
      </w:r>
      <w:r>
        <w:rPr>
          <w:rFonts w:ascii="Segoe UI" w:hAnsi="Segoe UI" w:eastAsia="Segoe UI" w:cs="Segoe UI"/>
          <w:color w:val="0F1115"/>
          <w:szCs w:val="24"/>
          <w:shd w:val="clear" w:color="auto" w:fill="FFFFFF"/>
        </w:rPr>
        <w:t> 借助移动互联技术，对学生的复述过程进行实时录音与数据分析，使教学反馈更具针对性，实现了大规模课堂下的“因材施教”，也为教学研究提供了实证依据。</w:t>
      </w:r>
    </w:p>
    <w:p w14:paraId="2942C667">
      <w:pPr>
        <w:pStyle w:val="16"/>
        <w:ind w:firstLine="480"/>
        <w:rPr>
          <w:rFonts w:ascii="Times New Roman" w:hAnsi="Times New Roman"/>
          <w:kern w:val="0"/>
          <w:sz w:val="24"/>
          <w:szCs w:val="24"/>
        </w:rPr>
      </w:pPr>
      <w:r>
        <w:rPr>
          <w:rFonts w:ascii="Times New Roman" w:hAnsi="Times New Roman"/>
          <w:kern w:val="0"/>
          <w:sz w:val="24"/>
          <w:szCs w:val="24"/>
        </w:rPr>
        <w:t>基于学科核心素养的初中高年级英语听说测试“复述活动”教学策略的研究实施，能提高学生听说的实效，转变学生的学习观念、促进学生自主学习能力的发展。</w:t>
      </w:r>
      <w:r>
        <w:rPr>
          <w:rStyle w:val="12"/>
          <w:rFonts w:ascii="Times New Roman" w:hAnsi="Times New Roman"/>
          <w:kern w:val="0"/>
          <w:sz w:val="24"/>
          <w:szCs w:val="24"/>
        </w:rPr>
        <w:footnoteReference w:id="7"/>
      </w:r>
      <w:r>
        <w:rPr>
          <w:rFonts w:ascii="Times New Roman" w:hAnsi="Times New Roman"/>
          <w:kern w:val="0"/>
          <w:sz w:val="24"/>
          <w:szCs w:val="24"/>
        </w:rPr>
        <w:t>培养学生的口语表达能力是一个长期的系统工程，需要有目的，有计划，循序渐进地推进。任何能力的掌握都要通过不断地训练、不断地分析、不断地引导学生使用，才能逐步内化成学生思维方式的一部分。希望这次</w:t>
      </w:r>
      <w:r>
        <w:rPr>
          <w:rFonts w:hint="eastAsia" w:ascii="Times New Roman" w:hAnsi="Times New Roman"/>
          <w:kern w:val="0"/>
          <w:sz w:val="24"/>
          <w:szCs w:val="24"/>
          <w:lang w:val="en-US" w:eastAsia="zh-CN"/>
        </w:rPr>
        <w:t>实践</w:t>
      </w:r>
      <w:r>
        <w:rPr>
          <w:rFonts w:ascii="Times New Roman" w:hAnsi="Times New Roman"/>
          <w:kern w:val="0"/>
          <w:sz w:val="24"/>
          <w:szCs w:val="24"/>
        </w:rPr>
        <w:t>研究能帮助学生能真正习得知识，形成能力，发展素养，启智增慧，循序渐进地习得英语听说部分的学习策略，进而逐步提升个人的英语学科核心素养。</w:t>
      </w:r>
    </w:p>
    <w:p w14:paraId="03EE3889">
      <w:pPr>
        <w:pStyle w:val="16"/>
        <w:ind w:firstLine="480"/>
        <w:rPr>
          <w:rFonts w:ascii="Times New Roman" w:hAnsi="Times New Roman"/>
          <w:kern w:val="0"/>
          <w:sz w:val="24"/>
          <w:szCs w:val="24"/>
        </w:rPr>
      </w:pPr>
    </w:p>
    <w:p w14:paraId="0AE88E0C">
      <w:pPr>
        <w:pStyle w:val="16"/>
        <w:ind w:left="0" w:leftChars="0" w:firstLine="0" w:firstLineChars="0"/>
        <w:rPr>
          <w:rFonts w:ascii="Times New Roman" w:hAnsi="Times New Roman"/>
          <w:kern w:val="0"/>
          <w:sz w:val="24"/>
          <w:szCs w:val="24"/>
        </w:rPr>
      </w:pPr>
      <w:bookmarkStart w:id="3" w:name="_GoBack"/>
      <w:bookmarkEnd w:id="3"/>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var(--dsw-font-markdown-bas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ZLTXHK--GBK1-0">
    <w:altName w:val="Times New Roman"/>
    <w:panose1 w:val="00000000000000000000"/>
    <w:charset w:val="00"/>
    <w:family w:val="roman"/>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14:paraId="5BFF3D39">
      <w:pPr>
        <w:pStyle w:val="6"/>
      </w:pPr>
      <w:r>
        <w:rPr>
          <w:rStyle w:val="12"/>
        </w:rPr>
        <w:footnoteRef/>
      </w:r>
      <w:r>
        <w:t xml:space="preserve"> </w:t>
      </w:r>
      <w:r>
        <w:rPr>
          <w:rFonts w:hint="eastAsia"/>
        </w:rPr>
        <w:t xml:space="preserve">教育部.义务教育英语课程标准（2022版）【S.】. </w:t>
      </w:r>
      <w:r>
        <w:rPr>
          <w:rFonts w:hint="eastAsia"/>
          <w:lang w:val="en-US" w:eastAsia="zh-CN"/>
        </w:rPr>
        <w:t>北京</w:t>
      </w:r>
      <w:r>
        <w:rPr>
          <w:rFonts w:hint="eastAsia"/>
        </w:rPr>
        <w:t>：北京师范大学出版社,2022.</w:t>
      </w:r>
    </w:p>
    <w:p w14:paraId="47DBD531">
      <w:pPr>
        <w:pStyle w:val="6"/>
        <w:rPr>
          <w:rFonts w:hint="eastAsia"/>
        </w:rPr>
      </w:pPr>
    </w:p>
  </w:footnote>
  <w:footnote w:id="1">
    <w:p w14:paraId="6E991D22">
      <w:pPr>
        <w:pStyle w:val="6"/>
      </w:pPr>
      <w:r>
        <w:rPr>
          <w:rStyle w:val="12"/>
        </w:rPr>
        <w:footnoteRef/>
      </w:r>
      <w:r>
        <w:t xml:space="preserve"> </w:t>
      </w:r>
      <w:r>
        <w:rPr>
          <w:rFonts w:hint="eastAsia"/>
        </w:rPr>
        <w:t>赵尚华. 指向核心素养的初中英语教学关键问题解析【M】.上海：上海教育出版社，2024:13</w:t>
      </w:r>
    </w:p>
    <w:p w14:paraId="30F8E8FC">
      <w:pPr>
        <w:pStyle w:val="6"/>
        <w:snapToGrid w:val="0"/>
      </w:pPr>
    </w:p>
  </w:footnote>
  <w:footnote w:id="2">
    <w:p w14:paraId="2D113B66">
      <w:pPr>
        <w:rPr>
          <w:rFonts w:hint="eastAsia" w:ascii="FZLTXHK--GBK1-0" w:hAnsi="FZLTXHK--GBK1-0"/>
          <w:color w:val="231F20"/>
          <w:sz w:val="16"/>
          <w:szCs w:val="16"/>
        </w:rPr>
      </w:pPr>
      <w:r>
        <w:rPr>
          <w:rStyle w:val="12"/>
        </w:rPr>
        <w:footnoteRef/>
      </w:r>
      <w:r>
        <w:t xml:space="preserve"> </w:t>
      </w:r>
      <w:r>
        <w:rPr>
          <w:rFonts w:hint="eastAsia" w:ascii="FZLTXHK--GBK1-0" w:hAnsi="FZLTXHK--GBK1-0"/>
          <w:color w:val="231F20"/>
          <w:sz w:val="16"/>
          <w:szCs w:val="16"/>
        </w:rPr>
        <w:t>王蔷、敖娜仁图雅、罗少茜、陈则航、马欣 . (2017)</w:t>
      </w:r>
      <w:r>
        <w:rPr>
          <w:rFonts w:hint="eastAsia"/>
        </w:rPr>
        <w:t>【M】</w:t>
      </w:r>
      <w:r>
        <w:rPr>
          <w:rFonts w:hint="eastAsia" w:ascii="FZLTXHK--GBK1-0" w:hAnsi="FZLTXHK--GBK1-0"/>
          <w:color w:val="231F20"/>
          <w:sz w:val="16"/>
          <w:szCs w:val="16"/>
        </w:rPr>
        <w:t xml:space="preserve">. </w:t>
      </w:r>
      <w:r>
        <w:rPr>
          <w:rFonts w:hint="eastAsia" w:ascii="FZLTXHK--GBK1-0" w:hAnsi="FZLTXHK--GBK1-0"/>
          <w:color w:val="231F20"/>
          <w:sz w:val="16"/>
          <w:szCs w:val="16"/>
          <w:lang w:val="en-US" w:eastAsia="zh-CN"/>
        </w:rPr>
        <w:t>中学</w:t>
      </w:r>
      <w:r>
        <w:rPr>
          <w:rFonts w:hint="eastAsia" w:ascii="FZLTXHK--GBK1-0" w:hAnsi="FZLTXHK--GBK1-0"/>
          <w:color w:val="231F20"/>
          <w:sz w:val="16"/>
          <w:szCs w:val="16"/>
        </w:rPr>
        <w:t>英语</w:t>
      </w:r>
      <w:r>
        <w:rPr>
          <w:rFonts w:hint="eastAsia" w:ascii="FZLTXHK--GBK1-0" w:hAnsi="FZLTXHK--GBK1-0"/>
          <w:color w:val="231F20"/>
          <w:sz w:val="16"/>
          <w:szCs w:val="16"/>
          <w:lang w:val="en-US" w:eastAsia="zh-CN"/>
        </w:rPr>
        <w:t>听说课</w:t>
      </w:r>
      <w:r>
        <w:rPr>
          <w:rFonts w:hint="eastAsia" w:ascii="FZLTXHK--GBK1-0" w:hAnsi="FZLTXHK--GBK1-0"/>
          <w:color w:val="231F20"/>
          <w:sz w:val="16"/>
          <w:szCs w:val="16"/>
        </w:rPr>
        <w:t>教学：意义、内涵与途径. 北京：外语教学与研究出版社.</w:t>
      </w:r>
    </w:p>
    <w:p w14:paraId="3C59E5FC">
      <w:pPr>
        <w:pStyle w:val="6"/>
        <w:snapToGrid w:val="0"/>
      </w:pPr>
    </w:p>
  </w:footnote>
  <w:footnote w:id="3">
    <w:p w14:paraId="1A907154">
      <w:pPr>
        <w:pStyle w:val="6"/>
        <w:snapToGrid w:val="0"/>
        <w:rPr>
          <w:rFonts w:hint="eastAsia" w:ascii="FZLTXHK--GBK1-0" w:hAnsi="FZLTXHK--GBK1-0" w:eastAsia="宋体" w:cs="Times New Roman"/>
          <w:color w:val="231F20"/>
          <w:kern w:val="2"/>
          <w:sz w:val="16"/>
          <w:szCs w:val="16"/>
          <w:lang w:val="en-US" w:eastAsia="zh-CN" w:bidi="ar-SA"/>
        </w:rPr>
      </w:pPr>
      <w:r>
        <w:rPr>
          <w:rStyle w:val="12"/>
        </w:rPr>
        <w:footnoteRef/>
      </w:r>
      <w:r>
        <w:t xml:space="preserve"> </w:t>
      </w:r>
      <w:r>
        <w:rPr>
          <w:rFonts w:hint="eastAsia" w:ascii="FZLTXHK--GBK1-0" w:hAnsi="FZLTXHK--GBK1-0" w:eastAsia="宋体" w:cs="Times New Roman"/>
          <w:color w:val="231F20"/>
          <w:kern w:val="2"/>
          <w:sz w:val="16"/>
          <w:szCs w:val="16"/>
          <w:lang w:val="en-US" w:eastAsia="zh-CN" w:bidi="ar-SA"/>
        </w:rPr>
        <w:t>王蔷.</w:t>
      </w:r>
      <w:r>
        <w:rPr>
          <w:rFonts w:hint="default" w:ascii="FZLTXHK--GBK1-0" w:hAnsi="FZLTXHK--GBK1-0" w:eastAsia="宋体" w:cs="Times New Roman"/>
          <w:color w:val="231F20"/>
          <w:kern w:val="2"/>
          <w:sz w:val="16"/>
          <w:szCs w:val="16"/>
          <w:lang w:val="en-US" w:eastAsia="zh-CN" w:bidi="ar-SA"/>
        </w:rPr>
        <w:t>2019.</w:t>
      </w:r>
      <w:r>
        <w:rPr>
          <w:rFonts w:hint="eastAsia" w:ascii="FZLTXHK--GBK1-0" w:hAnsi="FZLTXHK--GBK1-0" w:eastAsia="宋体" w:cs="Times New Roman"/>
          <w:color w:val="231F20"/>
          <w:kern w:val="2"/>
          <w:sz w:val="16"/>
          <w:szCs w:val="16"/>
          <w:lang w:val="en-US" w:eastAsia="zh-CN" w:bidi="ar-SA"/>
        </w:rPr>
        <w:t>英</w:t>
      </w:r>
      <w:r>
        <w:rPr>
          <w:rFonts w:hint="default" w:ascii="FZLTXHK--GBK1-0" w:hAnsi="FZLTXHK--GBK1-0" w:eastAsia="宋体" w:cs="Times New Roman"/>
          <w:color w:val="231F20"/>
          <w:kern w:val="2"/>
          <w:sz w:val="16"/>
          <w:szCs w:val="16"/>
          <w:lang w:val="en-US" w:eastAsia="zh-CN" w:bidi="ar-SA"/>
        </w:rPr>
        <w:t>语教学</w:t>
      </w:r>
      <w:r>
        <w:rPr>
          <w:rFonts w:hint="eastAsia" w:ascii="FZLTXHK--GBK1-0" w:hAnsi="FZLTXHK--GBK1-0" w:eastAsia="宋体" w:cs="Times New Roman"/>
          <w:color w:val="231F20"/>
          <w:kern w:val="2"/>
          <w:sz w:val="16"/>
          <w:szCs w:val="16"/>
          <w:lang w:val="en-US" w:eastAsia="zh-CN" w:bidi="ar-SA"/>
        </w:rPr>
        <w:t>法</w:t>
      </w:r>
      <w:r>
        <w:rPr>
          <w:rFonts w:hint="default" w:ascii="FZLTXHK--GBK1-0" w:hAnsi="FZLTXHK--GBK1-0" w:eastAsia="宋体" w:cs="Times New Roman"/>
          <w:color w:val="231F20"/>
          <w:kern w:val="2"/>
          <w:sz w:val="16"/>
          <w:szCs w:val="16"/>
          <w:lang w:val="en-US" w:eastAsia="zh-CN" w:bidi="ar-SA"/>
        </w:rPr>
        <w:t>教程（</w:t>
      </w:r>
      <w:r>
        <w:rPr>
          <w:rFonts w:hint="eastAsia" w:ascii="FZLTXHK--GBK1-0" w:hAnsi="FZLTXHK--GBK1-0" w:eastAsia="宋体" w:cs="Times New Roman"/>
          <w:color w:val="231F20"/>
          <w:kern w:val="2"/>
          <w:sz w:val="16"/>
          <w:szCs w:val="16"/>
          <w:lang w:val="en-US" w:eastAsia="zh-CN" w:bidi="ar-SA"/>
        </w:rPr>
        <w:t>第二</w:t>
      </w:r>
      <w:r>
        <w:rPr>
          <w:rFonts w:hint="default" w:ascii="FZLTXHK--GBK1-0" w:hAnsi="FZLTXHK--GBK1-0" w:eastAsia="宋体" w:cs="Times New Roman"/>
          <w:color w:val="231F20"/>
          <w:kern w:val="2"/>
          <w:sz w:val="16"/>
          <w:szCs w:val="16"/>
          <w:lang w:val="en-US" w:eastAsia="zh-CN" w:bidi="ar-SA"/>
        </w:rPr>
        <w:t>版）</w:t>
      </w:r>
      <w:r>
        <w:rPr>
          <w:rFonts w:hint="default" w:ascii="FZLTXHK--GBK1-0" w:hAnsi="FZLTXHK--GBK1-0" w:eastAsia="宋体" w:cs="Times New Roman"/>
          <w:b/>
          <w:bCs/>
          <w:color w:val="231F20"/>
          <w:kern w:val="2"/>
          <w:sz w:val="16"/>
          <w:szCs w:val="16"/>
          <w:lang w:val="en-US" w:eastAsia="zh-CN" w:bidi="ar-SA"/>
        </w:rPr>
        <w:t>[M]</w:t>
      </w:r>
      <w:r>
        <w:rPr>
          <w:rFonts w:hint="default" w:ascii="FZLTXHK--GBK1-0" w:hAnsi="FZLTXHK--GBK1-0" w:eastAsia="宋体" w:cs="Times New Roman"/>
          <w:color w:val="231F20"/>
          <w:kern w:val="2"/>
          <w:sz w:val="16"/>
          <w:szCs w:val="16"/>
          <w:lang w:val="en-US" w:eastAsia="zh-CN" w:bidi="ar-SA"/>
        </w:rPr>
        <w:t>.北京：高等教育出 版社：23-27.</w:t>
      </w:r>
    </w:p>
  </w:footnote>
  <w:footnote w:id="4">
    <w:p w14:paraId="24D90449">
      <w:pPr>
        <w:pStyle w:val="6"/>
        <w:rPr>
          <w:rFonts w:hint="eastAsia"/>
        </w:rPr>
      </w:pPr>
      <w:r>
        <w:rPr>
          <w:rStyle w:val="12"/>
        </w:rPr>
        <w:footnoteRef/>
      </w:r>
      <w:r>
        <w:t xml:space="preserve"> </w:t>
      </w:r>
      <w:r>
        <w:rPr>
          <w:rFonts w:ascii="Helvetica" w:hAnsi="Helvetica" w:eastAsia="Helvetica" w:cs="Helvetica"/>
          <w:i w:val="0"/>
          <w:iCs w:val="0"/>
          <w:caps w:val="0"/>
          <w:color w:val="333333"/>
          <w:spacing w:val="0"/>
          <w:sz w:val="14"/>
          <w:szCs w:val="14"/>
          <w:shd w:val="clear" w:fill="FFFFFF"/>
        </w:rPr>
        <w:t>《</w:t>
      </w:r>
      <w:r>
        <w:rPr>
          <w:rFonts w:hint="eastAsia"/>
        </w:rPr>
        <w:t>英语学习策略：从理论到实践》由</w:t>
      </w:r>
      <w:r>
        <w:rPr>
          <w:rFonts w:hint="default"/>
        </w:rPr>
        <w:fldChar w:fldCharType="begin"/>
      </w:r>
      <w:r>
        <w:rPr>
          <w:rFonts w:hint="default"/>
        </w:rPr>
        <w:instrText xml:space="preserve"> HYPERLINK "https://baike.baidu.com/item/%E7%A8%8B%E6%99%93%E5%A0%82/3369470?fromModule=lemma_inlink" \t "https://baike.baidu.com/item/%E8%8B%B1%E8%AF%AD%E5%AD%A6%E4%B9%A0%E7%AD%96%E7%95%A5%EF%BC%9A%E4%BB%8E%E7%90%86%E8%AE%BA%E5%88%B0%E5%AE%9E%E8%B7%B5/_blank" </w:instrText>
      </w:r>
      <w:r>
        <w:rPr>
          <w:rFonts w:hint="default"/>
        </w:rPr>
        <w:fldChar w:fldCharType="separate"/>
      </w:r>
      <w:r>
        <w:rPr>
          <w:rFonts w:hint="default"/>
        </w:rPr>
        <w:t>程晓堂</w:t>
      </w:r>
      <w:r>
        <w:rPr>
          <w:rFonts w:hint="default"/>
        </w:rPr>
        <w:fldChar w:fldCharType="end"/>
      </w:r>
      <w:r>
        <w:rPr>
          <w:rFonts w:hint="default"/>
        </w:rPr>
        <w:t>、郑敏编著 </w:t>
      </w:r>
      <w:r>
        <w:rPr>
          <w:rFonts w:hint="eastAsia"/>
        </w:rPr>
        <w:t>【M】</w:t>
      </w:r>
      <w:r>
        <w:rPr>
          <w:rFonts w:hint="default"/>
        </w:rPr>
        <w:t>，</w:t>
      </w:r>
      <w:r>
        <w:rPr>
          <w:rFonts w:hint="default"/>
        </w:rPr>
        <w:fldChar w:fldCharType="begin"/>
      </w:r>
      <w:r>
        <w:rPr>
          <w:rFonts w:hint="default"/>
        </w:rPr>
        <w:instrText xml:space="preserve"> HYPERLINK "https://baike.baidu.com/item/%E5%A4%96%E8%AF%AD%E6%95%99%E5%AD%A6%E4%B8%8E%E7%A0%94%E7%A9%B6%E5%87%BA%E7%89%88%E7%A4%BE/2858986?fromModule=lemma_inlink" \t "https://baike.baidu.com/item/%E8%8B%B1%E8%AF%AD%E5%AD%A6%E4%B9%A0%E7%AD%96%E7%95%A5%EF%BC%9A%E4%BB%8E%E7%90%86%E8%AE%BA%E5%88%B0%E5%AE%9E%E8%B7%B5/_blank" </w:instrText>
      </w:r>
      <w:r>
        <w:rPr>
          <w:rFonts w:hint="default"/>
        </w:rPr>
        <w:fldChar w:fldCharType="separate"/>
      </w:r>
      <w:r>
        <w:rPr>
          <w:rFonts w:hint="default"/>
        </w:rPr>
        <w:t>外语教学与研究出版社</w:t>
      </w:r>
      <w:r>
        <w:rPr>
          <w:rFonts w:hint="default"/>
        </w:rPr>
        <w:fldChar w:fldCharType="end"/>
      </w:r>
      <w:r>
        <w:rPr>
          <w:rFonts w:hint="default"/>
        </w:rPr>
        <w:t>于20</w:t>
      </w:r>
      <w:r>
        <w:rPr>
          <w:rFonts w:hint="eastAsia"/>
          <w:lang w:val="en-US" w:eastAsia="zh-CN"/>
        </w:rPr>
        <w:t>1</w:t>
      </w:r>
      <w:r>
        <w:rPr>
          <w:rFonts w:hint="default"/>
        </w:rPr>
        <w:t>2年出版</w:t>
      </w:r>
    </w:p>
  </w:footnote>
  <w:footnote w:id="5">
    <w:p w14:paraId="4EA3F509">
      <w:pPr>
        <w:pStyle w:val="6"/>
        <w:rPr>
          <w:rFonts w:hint="eastAsia"/>
        </w:rPr>
      </w:pPr>
      <w:r>
        <w:rPr>
          <w:rStyle w:val="12"/>
        </w:rPr>
        <w:footnoteRef/>
      </w:r>
      <w:r>
        <w:t xml:space="preserve"> </w:t>
      </w:r>
      <w:r>
        <w:rPr>
          <w:rFonts w:hint="eastAsia"/>
        </w:rPr>
        <w:t>《外语教师的专业成长》由</w:t>
      </w:r>
      <w:r>
        <w:rPr>
          <w:rFonts w:hint="eastAsia"/>
          <w:lang w:val="en-US" w:eastAsia="zh-CN"/>
        </w:rPr>
        <w:t>葛柄芳编著</w:t>
      </w:r>
      <w:r>
        <w:rPr>
          <w:rFonts w:hint="eastAsia"/>
        </w:rPr>
        <w:t>【M】</w:t>
      </w:r>
      <w:r>
        <w:rPr>
          <w:rFonts w:hint="default"/>
        </w:rPr>
        <w:t>，</w:t>
      </w:r>
      <w:r>
        <w:rPr>
          <w:rFonts w:hint="default"/>
        </w:rPr>
        <w:fldChar w:fldCharType="begin"/>
      </w:r>
      <w:r>
        <w:rPr>
          <w:rFonts w:hint="default"/>
        </w:rPr>
        <w:instrText xml:space="preserve"> HYPERLINK "https://baike.baidu.com/item/%E5%A4%96%E8%AF%AD%E6%95%99%E5%AD%A6%E4%B8%8E%E7%A0%94%E7%A9%B6%E5%87%BA%E7%89%88%E7%A4%BE/2858986?fromModule=lemma_inlink" \t "https://baike.baidu.com/item/%E8%8B%B1%E8%AF%AD%E5%AD%A6%E4%B9%A0%E7%AD%96%E7%95%A5%EF%BC%9A%E4%BB%8E%E7%90%86%E8%AE%BA%E5%88%B0%E5%AE%9E%E8%B7%B5/_blank" </w:instrText>
      </w:r>
      <w:r>
        <w:rPr>
          <w:rFonts w:hint="default"/>
        </w:rPr>
        <w:fldChar w:fldCharType="separate"/>
      </w:r>
      <w:r>
        <w:rPr>
          <w:rFonts w:hint="eastAsia"/>
          <w:lang w:val="en-US" w:eastAsia="zh-CN"/>
        </w:rPr>
        <w:t>浙江大学</w:t>
      </w:r>
      <w:r>
        <w:rPr>
          <w:rFonts w:hint="default"/>
        </w:rPr>
        <w:t>出版社</w:t>
      </w:r>
      <w:r>
        <w:rPr>
          <w:rFonts w:hint="default"/>
        </w:rPr>
        <w:fldChar w:fldCharType="end"/>
      </w:r>
      <w:r>
        <w:rPr>
          <w:rFonts w:hint="default"/>
        </w:rPr>
        <w:t>于20</w:t>
      </w:r>
      <w:r>
        <w:rPr>
          <w:rFonts w:hint="eastAsia"/>
          <w:lang w:val="en-US" w:eastAsia="zh-CN"/>
        </w:rPr>
        <w:t>11</w:t>
      </w:r>
      <w:r>
        <w:rPr>
          <w:rFonts w:hint="default"/>
        </w:rPr>
        <w:t>年出版</w:t>
      </w:r>
    </w:p>
    <w:p w14:paraId="406E5504">
      <w:pPr>
        <w:pStyle w:val="6"/>
        <w:snapToGrid w:val="0"/>
      </w:pPr>
    </w:p>
  </w:footnote>
  <w:footnote w:id="6">
    <w:p w14:paraId="7E16D3A8">
      <w:pPr>
        <w:pStyle w:val="16"/>
        <w:ind w:firstLine="363" w:firstLineChars="202"/>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 xml:space="preserve"> 束定芳，庄智象。现代外语教学：理论，实践与方去(修订版)[M]。上海：上海外语教育出版社，2008.</w:t>
      </w:r>
    </w:p>
    <w:p w14:paraId="170F80FF">
      <w:pPr>
        <w:pStyle w:val="6"/>
        <w:snapToGrid w:val="0"/>
      </w:pPr>
    </w:p>
  </w:footnote>
  <w:footnote w:id="7">
    <w:p w14:paraId="4DA1F2C6">
      <w:pPr>
        <w:pStyle w:val="16"/>
        <w:ind w:firstLine="0" w:firstLineChars="0"/>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 xml:space="preserve"> 顾永琦， 董连忠， 王初明. (2011). 《英语学习策略》. 外语教学与研究出版社.</w:t>
      </w:r>
    </w:p>
    <w:p w14:paraId="1C1D871F">
      <w:pPr>
        <w:pStyle w:val="6"/>
        <w:snapToGrid w:val="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9839DD"/>
    <w:multiLevelType w:val="singleLevel"/>
    <w:tmpl w:val="CB9839DD"/>
    <w:lvl w:ilvl="0" w:tentative="0">
      <w:start w:val="1"/>
      <w:numFmt w:val="decimal"/>
      <w:suff w:val="space"/>
      <w:lvlText w:val="%1."/>
      <w:lvlJc w:val="left"/>
    </w:lvl>
  </w:abstractNum>
  <w:abstractNum w:abstractNumId="1">
    <w:nsid w:val="EA472216"/>
    <w:multiLevelType w:val="singleLevel"/>
    <w:tmpl w:val="EA472216"/>
    <w:lvl w:ilvl="0" w:tentative="0">
      <w:start w:val="2"/>
      <w:numFmt w:val="decimal"/>
      <w:suff w:val="space"/>
      <w:lvlText w:val="%1."/>
      <w:lvlJc w:val="left"/>
    </w:lvl>
  </w:abstractNum>
  <w:abstractNum w:abstractNumId="2">
    <w:nsid w:val="5C77AE1C"/>
    <w:multiLevelType w:val="singleLevel"/>
    <w:tmpl w:val="5C77AE1C"/>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1"/>
  <w:displayVerticalDrawingGridEvery w:val="1"/>
  <w:noPunctuationKerning w:val="1"/>
  <w:characterSpacingControl w:val="compressPunctuation"/>
  <w:footnotePr>
    <w:footnote w:id="16"/>
    <w:footnote w:id="17"/>
  </w:footnotePr>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EDB"/>
    <w:rsid w:val="00027439"/>
    <w:rsid w:val="0004697A"/>
    <w:rsid w:val="00097E45"/>
    <w:rsid w:val="00136153"/>
    <w:rsid w:val="001711D2"/>
    <w:rsid w:val="0018239C"/>
    <w:rsid w:val="0018274D"/>
    <w:rsid w:val="00191EDB"/>
    <w:rsid w:val="001B7F27"/>
    <w:rsid w:val="002939FE"/>
    <w:rsid w:val="002C6AC4"/>
    <w:rsid w:val="003620C9"/>
    <w:rsid w:val="0038042B"/>
    <w:rsid w:val="003F4113"/>
    <w:rsid w:val="00497230"/>
    <w:rsid w:val="005300A3"/>
    <w:rsid w:val="005E2680"/>
    <w:rsid w:val="005F61C6"/>
    <w:rsid w:val="00641A51"/>
    <w:rsid w:val="006A3554"/>
    <w:rsid w:val="007954A4"/>
    <w:rsid w:val="008A19CE"/>
    <w:rsid w:val="00924C1F"/>
    <w:rsid w:val="009C4E27"/>
    <w:rsid w:val="009F70EE"/>
    <w:rsid w:val="00A67811"/>
    <w:rsid w:val="00A977CB"/>
    <w:rsid w:val="00B44303"/>
    <w:rsid w:val="00B62CC9"/>
    <w:rsid w:val="00B9371C"/>
    <w:rsid w:val="00BF2EF7"/>
    <w:rsid w:val="00C10059"/>
    <w:rsid w:val="00C62B3D"/>
    <w:rsid w:val="00CA43D2"/>
    <w:rsid w:val="00CB423D"/>
    <w:rsid w:val="00CF7647"/>
    <w:rsid w:val="00DF3C94"/>
    <w:rsid w:val="00E346E5"/>
    <w:rsid w:val="00E752DB"/>
    <w:rsid w:val="00E95EFB"/>
    <w:rsid w:val="00F36C2E"/>
    <w:rsid w:val="00F456AC"/>
    <w:rsid w:val="00FA15B9"/>
    <w:rsid w:val="0D400643"/>
    <w:rsid w:val="0E9060BB"/>
    <w:rsid w:val="1CA43923"/>
    <w:rsid w:val="1F1403C4"/>
    <w:rsid w:val="287A2AC5"/>
    <w:rsid w:val="38165991"/>
    <w:rsid w:val="381E6863"/>
    <w:rsid w:val="40ED05B7"/>
    <w:rsid w:val="47996EB6"/>
    <w:rsid w:val="47C9439C"/>
    <w:rsid w:val="54D11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b/>
      <w:bCs/>
      <w:kern w:val="0"/>
      <w:sz w:val="27"/>
      <w:szCs w:val="27"/>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rPr>
      <w:sz w:val="2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24"/>
    <w:semiHidden/>
    <w:unhideWhenUsed/>
    <w:qFormat/>
    <w:uiPriority w:val="99"/>
    <w:pPr>
      <w:snapToGrid w:val="0"/>
      <w:jc w:val="left"/>
    </w:pPr>
    <w:rPr>
      <w:sz w:val="18"/>
      <w:szCs w:val="18"/>
    </w:rPr>
  </w:style>
  <w:style w:type="paragraph" w:styleId="7">
    <w:name w:val="Normal (Web)"/>
    <w:basedOn w:val="1"/>
    <w:semiHidden/>
    <w:unhideWhenUsed/>
    <w:qFormat/>
    <w:uiPriority w:val="99"/>
    <w:rPr>
      <w:sz w:val="24"/>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styleId="12">
    <w:name w:val="footnote reference"/>
    <w:basedOn w:val="9"/>
    <w:semiHidden/>
    <w:unhideWhenUsed/>
    <w:qFormat/>
    <w:uiPriority w:val="99"/>
    <w:rPr>
      <w:vertAlign w:val="superscript"/>
    </w:rPr>
  </w:style>
  <w:style w:type="character" w:customStyle="1" w:styleId="13">
    <w:name w:val="页脚 字符"/>
    <w:link w:val="4"/>
    <w:qFormat/>
    <w:uiPriority w:val="99"/>
    <w:rPr>
      <w:kern w:val="2"/>
      <w:sz w:val="18"/>
      <w:szCs w:val="18"/>
    </w:rPr>
  </w:style>
  <w:style w:type="character" w:customStyle="1" w:styleId="14">
    <w:name w:val="页眉 字符"/>
    <w:link w:val="5"/>
    <w:qFormat/>
    <w:uiPriority w:val="99"/>
    <w:rPr>
      <w:kern w:val="2"/>
      <w:sz w:val="18"/>
      <w:szCs w:val="18"/>
    </w:rPr>
  </w:style>
  <w:style w:type="character" w:customStyle="1" w:styleId="15">
    <w:name w:val="markedcontent"/>
    <w:qFormat/>
    <w:uiPriority w:val="0"/>
  </w:style>
  <w:style w:type="paragraph" w:styleId="16">
    <w:name w:val="List Paragraph"/>
    <w:basedOn w:val="1"/>
    <w:qFormat/>
    <w:uiPriority w:val="1"/>
    <w:pPr>
      <w:ind w:firstLine="420" w:firstLineChars="200"/>
    </w:pPr>
    <w:rPr>
      <w:rFonts w:ascii="Calibri" w:hAnsi="Calibri"/>
      <w:szCs w:val="22"/>
    </w:rPr>
  </w:style>
  <w:style w:type="paragraph" w:customStyle="1" w:styleId="17">
    <w:name w:val="列出段落1"/>
    <w:basedOn w:val="1"/>
    <w:qFormat/>
    <w:uiPriority w:val="34"/>
    <w:pPr>
      <w:ind w:firstLine="420" w:firstLineChars="200"/>
    </w:pPr>
    <w:rPr>
      <w:rFonts w:ascii="Calibri" w:hAnsi="Calibri"/>
      <w:szCs w:val="22"/>
    </w:rPr>
  </w:style>
  <w:style w:type="character" w:customStyle="1" w:styleId="18">
    <w:name w:val="Body text|1_"/>
    <w:link w:val="19"/>
    <w:qFormat/>
    <w:uiPriority w:val="0"/>
    <w:rPr>
      <w:rFonts w:ascii="宋体" w:hAnsi="宋体" w:cs="宋体"/>
      <w:sz w:val="22"/>
      <w:szCs w:val="22"/>
      <w:lang w:val="zh-TW" w:eastAsia="zh-TW" w:bidi="zh-TW"/>
    </w:rPr>
  </w:style>
  <w:style w:type="paragraph" w:customStyle="1" w:styleId="19">
    <w:name w:val="Body text|1"/>
    <w:basedOn w:val="1"/>
    <w:link w:val="18"/>
    <w:qFormat/>
    <w:uiPriority w:val="0"/>
    <w:pPr>
      <w:spacing w:after="200" w:line="410" w:lineRule="auto"/>
      <w:ind w:firstLine="400"/>
      <w:jc w:val="left"/>
    </w:pPr>
    <w:rPr>
      <w:rFonts w:ascii="宋体" w:hAnsi="宋体" w:cs="宋体"/>
      <w:kern w:val="0"/>
      <w:sz w:val="22"/>
      <w:szCs w:val="22"/>
      <w:lang w:val="zh-TW" w:eastAsia="zh-TW" w:bidi="zh-TW"/>
    </w:rPr>
  </w:style>
  <w:style w:type="table" w:customStyle="1" w:styleId="20">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1">
    <w:name w:val="Table Paragraph"/>
    <w:basedOn w:val="1"/>
    <w:qFormat/>
    <w:uiPriority w:val="1"/>
    <w:pPr>
      <w:autoSpaceDE w:val="0"/>
      <w:autoSpaceDN w:val="0"/>
      <w:spacing w:before="36"/>
      <w:jc w:val="left"/>
    </w:pPr>
    <w:rPr>
      <w:rFonts w:ascii="宋体" w:hAnsi="宋体" w:cs="宋体"/>
      <w:kern w:val="0"/>
      <w:sz w:val="22"/>
      <w:szCs w:val="22"/>
      <w:lang w:eastAsia="en-US"/>
    </w:rPr>
  </w:style>
  <w:style w:type="character" w:customStyle="1" w:styleId="22">
    <w:name w:val="Heading #4|1_"/>
    <w:link w:val="23"/>
    <w:qFormat/>
    <w:uiPriority w:val="0"/>
    <w:rPr>
      <w:rFonts w:ascii="宋体" w:hAnsi="宋体" w:cs="宋体"/>
      <w:b/>
      <w:bCs/>
      <w:sz w:val="22"/>
      <w:szCs w:val="22"/>
      <w:lang w:val="zh-TW" w:eastAsia="zh-TW" w:bidi="zh-TW"/>
    </w:rPr>
  </w:style>
  <w:style w:type="paragraph" w:customStyle="1" w:styleId="23">
    <w:name w:val="Heading #4|1"/>
    <w:basedOn w:val="1"/>
    <w:link w:val="22"/>
    <w:qFormat/>
    <w:uiPriority w:val="0"/>
    <w:pPr>
      <w:spacing w:after="200" w:line="434" w:lineRule="exact"/>
      <w:ind w:firstLine="860"/>
      <w:jc w:val="left"/>
      <w:outlineLvl w:val="3"/>
    </w:pPr>
    <w:rPr>
      <w:rFonts w:ascii="宋体" w:hAnsi="宋体" w:cs="宋体"/>
      <w:b/>
      <w:bCs/>
      <w:kern w:val="0"/>
      <w:sz w:val="22"/>
      <w:szCs w:val="22"/>
      <w:lang w:val="zh-TW" w:eastAsia="zh-TW" w:bidi="zh-TW"/>
    </w:rPr>
  </w:style>
  <w:style w:type="character" w:customStyle="1" w:styleId="24">
    <w:name w:val="脚注文本 字符"/>
    <w:basedOn w:val="9"/>
    <w:link w:val="6"/>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 </Company>
  <Pages>8</Pages>
  <Words>4519</Words>
  <Characters>5659</Characters>
  <Lines>71</Lines>
  <Paragraphs>20</Paragraphs>
  <TotalTime>34</TotalTime>
  <ScaleCrop>false</ScaleCrop>
  <LinksUpToDate>false</LinksUpToDate>
  <CharactersWithSpaces>6014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2003-06-27T02:19:00Z</dcterms:created>
  <dc:creator>user name</dc:creator>
  <cp:lastModifiedBy>潘霖滋</cp:lastModifiedBy>
  <cp:lastPrinted>2021-10-20T00:13:00Z</cp:lastPrinted>
  <dcterms:modified xsi:type="dcterms:W3CDTF">2026-03-26T07:40:36Z</dcterms:modified>
  <dc:title>年度  2001</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eyJoZGlkIjoiZTA4YWVhOWE5ODRjNGEzNjdhMTg3YzFjODNlMTBlODgiLCJ1c2VySWQiOiIxNjAxOTg2MTY1In0=</vt:lpwstr>
  </property>
  <property fmtid="{D5CDD505-2E9C-101B-9397-08002B2CF9AE}" pid="3" name="KSOProductBuildVer">
    <vt:lpwstr>2052-12.1.0.25225</vt:lpwstr>
  </property>
  <property fmtid="{D5CDD505-2E9C-101B-9397-08002B2CF9AE}" pid="4" name="ICV">
    <vt:lpwstr>4B6F4A7100A84B2CBBC389014F6F9950_13</vt:lpwstr>
  </property>
</Properties>
</file>