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FD29C" w14:textId="581D8F5D" w:rsidR="004620C2" w:rsidRPr="004620C2" w:rsidRDefault="004620C2" w:rsidP="004620C2">
      <w:pPr>
        <w:spacing w:line="360" w:lineRule="auto"/>
        <w:ind w:firstLineChars="200" w:firstLine="640"/>
        <w:jc w:val="center"/>
        <w:rPr>
          <w:rFonts w:ascii="黑体" w:eastAsia="黑体" w:hAnsi="黑体" w:cs="Times New Roman" w:hint="eastAsia"/>
          <w:sz w:val="32"/>
          <w:szCs w:val="32"/>
        </w:rPr>
      </w:pPr>
      <w:r w:rsidRPr="004620C2">
        <w:rPr>
          <w:rFonts w:ascii="黑体" w:eastAsia="黑体" w:hAnsi="黑体" w:cs="Times New Roman" w:hint="eastAsia"/>
          <w:sz w:val="32"/>
          <w:szCs w:val="32"/>
        </w:rPr>
        <w:t>“双新”</w:t>
      </w:r>
      <w:r w:rsidRPr="004620C2">
        <w:rPr>
          <w:rFonts w:ascii="黑体" w:eastAsia="黑体" w:hAnsi="黑体" w:cs="Times New Roman"/>
          <w:sz w:val="32"/>
          <w:szCs w:val="32"/>
        </w:rPr>
        <w:t>背景下</w:t>
      </w:r>
      <w:r w:rsidR="007846B3" w:rsidRPr="007846B3">
        <w:rPr>
          <w:rFonts w:ascii="黑体" w:eastAsia="黑体" w:hAnsi="黑体" w:cs="Times New Roman" w:hint="eastAsia"/>
          <w:sz w:val="32"/>
          <w:szCs w:val="32"/>
        </w:rPr>
        <w:t>基于核心素养导向的情景化设计</w:t>
      </w:r>
    </w:p>
    <w:p w14:paraId="535F52E8" w14:textId="738BF59F" w:rsidR="004620C2" w:rsidRPr="004620C2" w:rsidRDefault="004620C2" w:rsidP="004620C2">
      <w:pPr>
        <w:spacing w:line="360" w:lineRule="auto"/>
        <w:ind w:firstLineChars="200" w:firstLine="640"/>
        <w:jc w:val="center"/>
        <w:rPr>
          <w:rFonts w:ascii="黑体" w:eastAsia="黑体" w:hAnsi="黑体" w:cs="Times New Roman" w:hint="eastAsia"/>
          <w:sz w:val="32"/>
          <w:szCs w:val="32"/>
        </w:rPr>
      </w:pPr>
      <w:r w:rsidRPr="004620C2">
        <w:rPr>
          <w:rFonts w:ascii="黑体" w:eastAsia="黑体" w:hAnsi="黑体" w:cs="Times New Roman"/>
          <w:sz w:val="32"/>
          <w:szCs w:val="32"/>
        </w:rPr>
        <w:t>——</w:t>
      </w:r>
      <w:r w:rsidR="007846B3">
        <w:rPr>
          <w:rFonts w:ascii="黑体" w:eastAsia="黑体" w:hAnsi="黑体" w:cs="Times New Roman" w:hint="eastAsia"/>
          <w:sz w:val="32"/>
          <w:szCs w:val="32"/>
        </w:rPr>
        <w:t>《</w:t>
      </w:r>
      <w:r w:rsidR="007846B3" w:rsidRPr="007846B3">
        <w:rPr>
          <w:rFonts w:ascii="黑体" w:eastAsia="黑体" w:hAnsi="黑体" w:cs="Times New Roman" w:hint="eastAsia"/>
          <w:sz w:val="32"/>
          <w:szCs w:val="32"/>
        </w:rPr>
        <w:t>多普勒效应</w:t>
      </w:r>
      <w:r w:rsidR="007846B3">
        <w:rPr>
          <w:rFonts w:ascii="黑体" w:eastAsia="黑体" w:hAnsi="黑体" w:cs="Times New Roman" w:hint="eastAsia"/>
          <w:sz w:val="32"/>
          <w:szCs w:val="32"/>
        </w:rPr>
        <w:t>》</w:t>
      </w:r>
      <w:r w:rsidR="007846B3" w:rsidRPr="007846B3">
        <w:rPr>
          <w:rFonts w:ascii="黑体" w:eastAsia="黑体" w:hAnsi="黑体" w:cs="Times New Roman" w:hint="eastAsia"/>
          <w:sz w:val="32"/>
          <w:szCs w:val="32"/>
        </w:rPr>
        <w:t>教学</w:t>
      </w:r>
      <w:r w:rsidR="007846B3">
        <w:rPr>
          <w:rFonts w:ascii="黑体" w:eastAsia="黑体" w:hAnsi="黑体" w:cs="Times New Roman" w:hint="eastAsia"/>
          <w:sz w:val="32"/>
          <w:szCs w:val="32"/>
        </w:rPr>
        <w:t>探索</w:t>
      </w:r>
    </w:p>
    <w:p w14:paraId="755AF40B" w14:textId="7496C3FD" w:rsidR="00C446C4" w:rsidRPr="004620C2" w:rsidRDefault="004620C2" w:rsidP="00C446C4">
      <w:p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4620C2">
        <w:rPr>
          <w:rFonts w:ascii="宋体" w:eastAsia="宋体" w:hAnsi="宋体" w:cs="Times New Roman" w:hint="eastAsia"/>
          <w:sz w:val="28"/>
          <w:szCs w:val="28"/>
        </w:rPr>
        <w:t>摘要：</w:t>
      </w:r>
      <w:r w:rsidR="00C446C4" w:rsidRPr="00C446C4">
        <w:rPr>
          <w:rFonts w:ascii="宋体" w:eastAsia="宋体" w:hAnsi="宋体" w:cs="Times New Roman" w:hint="eastAsia"/>
          <w:sz w:val="28"/>
          <w:szCs w:val="28"/>
        </w:rPr>
        <w:t>本文围绕“双新”背景下多普勒效应的教学实践展开探讨，重点介绍以核心素养为导向的情景化教学设计。文章从“双新”给物理教学带来的变化出发，说明这些变化在多普勒效应教学中的具体落实方式，包括教学目标的确立、教学情景的创设以及课堂活动的组织等环节，力求帮助学生更好地理解并运用所学知识，同时为一线教学提供参考。</w:t>
      </w:r>
    </w:p>
    <w:p w14:paraId="134F7B1D" w14:textId="77777777" w:rsidR="004620C2" w:rsidRPr="004620C2" w:rsidRDefault="004620C2" w:rsidP="004620C2">
      <w:p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4620C2">
        <w:rPr>
          <w:rFonts w:ascii="宋体" w:eastAsia="宋体" w:hAnsi="宋体" w:cs="Times New Roman" w:hint="eastAsia"/>
          <w:sz w:val="28"/>
          <w:szCs w:val="28"/>
        </w:rPr>
        <w:t>关键词：双新；多普勒效应；核心素养；情景化设计</w:t>
      </w:r>
    </w:p>
    <w:p w14:paraId="6B32C3ED" w14:textId="77777777" w:rsidR="004620C2" w:rsidRPr="004620C2" w:rsidRDefault="004620C2" w:rsidP="004620C2">
      <w:pPr>
        <w:spacing w:line="360" w:lineRule="auto"/>
        <w:ind w:firstLineChars="200" w:firstLine="602"/>
        <w:rPr>
          <w:rFonts w:ascii="宋体" w:eastAsia="宋体" w:hAnsi="宋体" w:cs="Times New Roman" w:hint="eastAsia"/>
          <w:b/>
          <w:sz w:val="30"/>
          <w:szCs w:val="30"/>
        </w:rPr>
      </w:pPr>
      <w:r w:rsidRPr="004620C2">
        <w:rPr>
          <w:rFonts w:ascii="宋体" w:eastAsia="宋体" w:hAnsi="宋体" w:cs="Times New Roman" w:hint="eastAsia"/>
          <w:b/>
          <w:sz w:val="30"/>
          <w:szCs w:val="30"/>
        </w:rPr>
        <w:t>一、引言</w:t>
      </w:r>
    </w:p>
    <w:p w14:paraId="1BCDEBB6" w14:textId="20CBF732" w:rsidR="00C446C4" w:rsidRPr="00C446C4" w:rsidRDefault="00C446C4" w:rsidP="00C446C4">
      <w:p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C446C4">
        <w:rPr>
          <w:rFonts w:ascii="宋体" w:eastAsia="宋体" w:hAnsi="宋体" w:cs="Times New Roman" w:hint="eastAsia"/>
          <w:sz w:val="28"/>
          <w:szCs w:val="28"/>
        </w:rPr>
        <w:t>随着新课程、新教材的全面推行，物理教学正在经历一轮比较深刻的变化。新课</w:t>
      </w:r>
      <w:proofErr w:type="gramStart"/>
      <w:r w:rsidRPr="00C446C4">
        <w:rPr>
          <w:rFonts w:ascii="宋体" w:eastAsia="宋体" w:hAnsi="宋体" w:cs="Times New Roman" w:hint="eastAsia"/>
          <w:sz w:val="28"/>
          <w:szCs w:val="28"/>
        </w:rPr>
        <w:t>标明确</w:t>
      </w:r>
      <w:proofErr w:type="gramEnd"/>
      <w:r w:rsidRPr="00C446C4">
        <w:rPr>
          <w:rFonts w:ascii="宋体" w:eastAsia="宋体" w:hAnsi="宋体" w:cs="Times New Roman" w:hint="eastAsia"/>
          <w:sz w:val="28"/>
          <w:szCs w:val="28"/>
        </w:rPr>
        <w:t>提出，教学应当以促进学生发展为本，着力培养学生的核心素养，具体</w:t>
      </w:r>
      <w:r>
        <w:rPr>
          <w:rFonts w:ascii="宋体" w:eastAsia="宋体" w:hAnsi="宋体" w:cs="Times New Roman" w:hint="eastAsia"/>
          <w:sz w:val="28"/>
          <w:szCs w:val="28"/>
        </w:rPr>
        <w:t>包括</w:t>
      </w:r>
      <w:r w:rsidRPr="00C446C4">
        <w:rPr>
          <w:rFonts w:ascii="宋体" w:eastAsia="宋体" w:hAnsi="宋体" w:cs="Times New Roman" w:hint="eastAsia"/>
          <w:sz w:val="28"/>
          <w:szCs w:val="28"/>
        </w:rPr>
        <w:t>物理观念、科学思维、科学探究、科学态度与责任四个维度。新教材在内容安排和呈现方式上，也更加贴近学生的认知特点，注重实践性和探究性。</w:t>
      </w:r>
    </w:p>
    <w:p w14:paraId="12ADD9CF" w14:textId="77777777" w:rsidR="00C446C4" w:rsidRDefault="00C446C4" w:rsidP="00C446C4">
      <w:pPr>
        <w:spacing w:line="360" w:lineRule="auto"/>
        <w:ind w:firstLineChars="200" w:firstLine="560"/>
        <w:rPr>
          <w:rFonts w:ascii="宋体" w:eastAsia="宋体" w:hAnsi="宋体" w:cs="Times New Roman"/>
          <w:sz w:val="28"/>
          <w:szCs w:val="28"/>
        </w:rPr>
      </w:pPr>
      <w:r w:rsidRPr="00C446C4">
        <w:rPr>
          <w:rFonts w:ascii="宋体" w:eastAsia="宋体" w:hAnsi="宋体" w:cs="Times New Roman" w:hint="eastAsia"/>
          <w:sz w:val="28"/>
          <w:szCs w:val="28"/>
        </w:rPr>
        <w:t>这些变化意味着物理教学的重心正在发生转移——从以往侧重于知识讲授，逐步转向对学生能力和素养的综合培养。传统的教师主讲模式，正在让位于以学生为主体的探究式、情景化教学。这对教学设计提出了新的要求：教师需要创设贴近实际的问题情景，引导学生在参与和思考中领会物理概念，锻炼科学思维，提升探究能力。</w:t>
      </w:r>
    </w:p>
    <w:p w14:paraId="6688B4D9" w14:textId="05CD8B57" w:rsidR="004620C2" w:rsidRPr="004620C2" w:rsidRDefault="004620C2" w:rsidP="00C446C4">
      <w:pPr>
        <w:spacing w:line="360" w:lineRule="auto"/>
        <w:ind w:firstLineChars="200" w:firstLine="602"/>
        <w:rPr>
          <w:rFonts w:ascii="宋体" w:eastAsia="宋体" w:hAnsi="宋体" w:cs="Times New Roman" w:hint="eastAsia"/>
          <w:sz w:val="28"/>
          <w:szCs w:val="28"/>
        </w:rPr>
      </w:pPr>
      <w:r w:rsidRPr="004620C2">
        <w:rPr>
          <w:rFonts w:ascii="宋体" w:eastAsia="宋体" w:hAnsi="宋体" w:cs="Times New Roman" w:hint="eastAsia"/>
          <w:b/>
          <w:sz w:val="30"/>
          <w:szCs w:val="30"/>
        </w:rPr>
        <w:t>二、</w:t>
      </w:r>
      <w:r w:rsidR="00C446C4" w:rsidRPr="00C446C4">
        <w:rPr>
          <w:rFonts w:ascii="宋体" w:eastAsia="宋体" w:hAnsi="宋体" w:cs="Times New Roman" w:hint="eastAsia"/>
          <w:b/>
          <w:sz w:val="30"/>
          <w:szCs w:val="30"/>
        </w:rPr>
        <w:t>多普勒效应教学与核心素养的融合</w:t>
      </w:r>
    </w:p>
    <w:p w14:paraId="06E5B00F" w14:textId="77777777" w:rsidR="00C446C4" w:rsidRDefault="00C446C4" w:rsidP="004620C2">
      <w:pPr>
        <w:spacing w:line="360" w:lineRule="auto"/>
        <w:ind w:firstLineChars="200" w:firstLine="560"/>
        <w:rPr>
          <w:rFonts w:ascii="宋体" w:eastAsia="宋体" w:hAnsi="宋体" w:cs="Times New Roman"/>
          <w:sz w:val="28"/>
          <w:szCs w:val="28"/>
        </w:rPr>
      </w:pPr>
      <w:r w:rsidRPr="00C446C4">
        <w:rPr>
          <w:rFonts w:ascii="宋体" w:eastAsia="宋体" w:hAnsi="宋体" w:cs="Times New Roman" w:hint="eastAsia"/>
          <w:sz w:val="28"/>
          <w:szCs w:val="28"/>
        </w:rPr>
        <w:t>在“双新”框架下，多普勒效应这部分内容可以从多个角度对接核心素养的培养目标。</w:t>
      </w:r>
    </w:p>
    <w:p w14:paraId="3C25EEBF" w14:textId="6143CD77" w:rsidR="00C446C4" w:rsidRDefault="00C446C4" w:rsidP="00C446C4">
      <w:pPr>
        <w:spacing w:line="360" w:lineRule="auto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lastRenderedPageBreak/>
        <w:t>（一）</w:t>
      </w:r>
      <w:r w:rsidRPr="00C446C4">
        <w:rPr>
          <w:rFonts w:ascii="宋体" w:eastAsia="宋体" w:hAnsi="宋体" w:cs="Times New Roman" w:hint="eastAsia"/>
          <w:sz w:val="28"/>
          <w:szCs w:val="28"/>
        </w:rPr>
        <w:t>物理观念的形成</w:t>
      </w:r>
    </w:p>
    <w:p w14:paraId="6A0B1EBC" w14:textId="77777777" w:rsidR="00C446C4" w:rsidRDefault="00C446C4" w:rsidP="00C446C4">
      <w:pPr>
        <w:spacing w:line="360" w:lineRule="auto"/>
        <w:ind w:firstLine="420"/>
        <w:rPr>
          <w:rFonts w:ascii="宋体" w:eastAsia="宋体" w:hAnsi="宋体" w:cs="Times New Roman"/>
          <w:sz w:val="28"/>
          <w:szCs w:val="28"/>
        </w:rPr>
      </w:pPr>
      <w:r w:rsidRPr="00C446C4">
        <w:rPr>
          <w:rFonts w:ascii="宋体" w:eastAsia="宋体" w:hAnsi="宋体" w:cs="Times New Roman" w:hint="eastAsia"/>
          <w:sz w:val="28"/>
          <w:szCs w:val="28"/>
        </w:rPr>
        <w:t>学生学习多普勒效应之后，应当建立起“波源与观测者之间的相对运动会导致接收频率发生变化”这一基本认识。生活中这类例子很多，比如车辆驶过时喇叭声音的变化，天文学中光谱的红移和蓝移现象，本质上都是多普勒效应的体现。通过这些实例，学生能够逐步建立起关于波动传播特性的物理图景，体会到物理知识与日常生活的紧密关联。</w:t>
      </w:r>
    </w:p>
    <w:p w14:paraId="378A0BD1" w14:textId="1D3DA731" w:rsidR="00C446C4" w:rsidRDefault="00C446C4" w:rsidP="00C446C4">
      <w:pPr>
        <w:spacing w:line="360" w:lineRule="auto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（二）</w:t>
      </w:r>
      <w:r w:rsidRPr="00C446C4">
        <w:rPr>
          <w:rFonts w:ascii="宋体" w:eastAsia="宋体" w:hAnsi="宋体" w:cs="Times New Roman" w:hint="eastAsia"/>
          <w:sz w:val="28"/>
          <w:szCs w:val="28"/>
        </w:rPr>
        <w:t>科学思维的锻炼</w:t>
      </w:r>
    </w:p>
    <w:p w14:paraId="3CC0653E" w14:textId="2E596BD1" w:rsidR="00C446C4" w:rsidRPr="00C446C4" w:rsidRDefault="00C446C4" w:rsidP="00C446C4">
      <w:pPr>
        <w:spacing w:line="360" w:lineRule="auto"/>
        <w:ind w:firstLine="420"/>
        <w:rPr>
          <w:rFonts w:ascii="宋体" w:eastAsia="宋体" w:hAnsi="宋体" w:cs="Times New Roman" w:hint="eastAsia"/>
          <w:sz w:val="28"/>
          <w:szCs w:val="28"/>
        </w:rPr>
      </w:pPr>
      <w:r w:rsidRPr="00C446C4">
        <w:rPr>
          <w:rFonts w:ascii="宋体" w:eastAsia="宋体" w:hAnsi="宋体" w:cs="Times New Roman" w:hint="eastAsia"/>
          <w:sz w:val="28"/>
          <w:szCs w:val="28"/>
        </w:rPr>
        <w:t>教学中经常出现这样一种情况：实验现象与学生的直觉判断并不一致。以甩动塑料软管的实验为例，多数学生一开始会认为管口离自己最近时听到的频率最高，离得最远时频率最低。但实际结果正好相反。这种反差会促使学生重新审视自己的判断依据，从而突破“频率高低由距离远近决定”的思维习惯，转向从相对运动速度的角度去分析问题。这一过程对批判性思维的培养很有帮助。</w:t>
      </w:r>
    </w:p>
    <w:p w14:paraId="6FB9E774" w14:textId="3BF8DD61" w:rsidR="00C446C4" w:rsidRDefault="00C446C4" w:rsidP="00C446C4">
      <w:pPr>
        <w:spacing w:line="360" w:lineRule="auto"/>
        <w:ind w:firstLine="420"/>
        <w:rPr>
          <w:rFonts w:ascii="宋体" w:eastAsia="宋体" w:hAnsi="宋体" w:cs="Times New Roman"/>
          <w:sz w:val="28"/>
          <w:szCs w:val="28"/>
        </w:rPr>
      </w:pPr>
      <w:r w:rsidRPr="00C446C4">
        <w:rPr>
          <w:rFonts w:ascii="宋体" w:eastAsia="宋体" w:hAnsi="宋体" w:cs="Times New Roman" w:hint="eastAsia"/>
          <w:sz w:val="28"/>
          <w:szCs w:val="28"/>
        </w:rPr>
        <w:t>此外，情景题的设置也为逻辑推理提供了训练空间。学生需要运用归纳、演绎等方法，从频率变化规律出发判断物体的运动状态，再根据频率数据反推出周期、速度、半径等参数。整套分析下来，逻辑推理能力会得到实实在在的锻炼。</w:t>
      </w:r>
    </w:p>
    <w:p w14:paraId="01CBEFE1" w14:textId="07BE3AB2" w:rsidR="00C446C4" w:rsidRDefault="00C446C4" w:rsidP="00C446C4">
      <w:pPr>
        <w:spacing w:line="360" w:lineRule="auto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（三）</w:t>
      </w:r>
      <w:r w:rsidRPr="00C446C4">
        <w:rPr>
          <w:rFonts w:ascii="宋体" w:eastAsia="宋体" w:hAnsi="宋体" w:cs="Times New Roman" w:hint="eastAsia"/>
          <w:sz w:val="28"/>
          <w:szCs w:val="28"/>
        </w:rPr>
        <w:t>科学探究的实践</w:t>
      </w:r>
    </w:p>
    <w:p w14:paraId="3F3F7F3C" w14:textId="6A52C904" w:rsidR="00C446C4" w:rsidRDefault="00C446C4" w:rsidP="00340697">
      <w:pPr>
        <w:spacing w:line="360" w:lineRule="auto"/>
        <w:ind w:firstLine="420"/>
        <w:rPr>
          <w:rFonts w:ascii="宋体" w:eastAsia="宋体" w:hAnsi="宋体" w:cs="Times New Roman"/>
          <w:sz w:val="28"/>
          <w:szCs w:val="28"/>
        </w:rPr>
      </w:pPr>
      <w:r w:rsidRPr="00C446C4">
        <w:rPr>
          <w:rFonts w:ascii="宋体" w:eastAsia="宋体" w:hAnsi="宋体" w:cs="Times New Roman" w:hint="eastAsia"/>
          <w:sz w:val="28"/>
          <w:szCs w:val="28"/>
        </w:rPr>
        <w:t>在多普勒效应的教学中，学生可以完整地经历探究过程：从提出疑问（为什么听到的声音频率会变），到设计实验（</w:t>
      </w:r>
      <w:proofErr w:type="gramStart"/>
      <w:r w:rsidRPr="00C446C4">
        <w:rPr>
          <w:rFonts w:ascii="宋体" w:eastAsia="宋体" w:hAnsi="宋体" w:cs="Times New Roman" w:hint="eastAsia"/>
          <w:sz w:val="28"/>
          <w:szCs w:val="28"/>
        </w:rPr>
        <w:t>甩管实验</w:t>
      </w:r>
      <w:proofErr w:type="gramEnd"/>
      <w:r w:rsidRPr="00C446C4">
        <w:rPr>
          <w:rFonts w:ascii="宋体" w:eastAsia="宋体" w:hAnsi="宋体" w:cs="Times New Roman" w:hint="eastAsia"/>
          <w:sz w:val="28"/>
          <w:szCs w:val="28"/>
        </w:rPr>
        <w:t>、小车载蜂鸣器实验），再到动手操作、记录数据、分析论证，最后得出相对运动速度与频率变化之间的关系。这种完整的探究体验，不仅能让学生掌握基本的实验方法，也有</w:t>
      </w:r>
      <w:r w:rsidRPr="00C446C4">
        <w:rPr>
          <w:rFonts w:ascii="宋体" w:eastAsia="宋体" w:hAnsi="宋体" w:cs="Times New Roman" w:hint="eastAsia"/>
          <w:sz w:val="28"/>
          <w:szCs w:val="28"/>
        </w:rPr>
        <w:lastRenderedPageBreak/>
        <w:t>助于培养他们在实践中发现问题、解决问题的意识和能力。</w:t>
      </w:r>
    </w:p>
    <w:p w14:paraId="632ED663" w14:textId="77777777" w:rsidR="00C446C4" w:rsidRDefault="00C446C4" w:rsidP="00C446C4">
      <w:pPr>
        <w:spacing w:line="360" w:lineRule="auto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（四）</w:t>
      </w:r>
      <w:r w:rsidRPr="00C446C4">
        <w:rPr>
          <w:rFonts w:ascii="宋体" w:eastAsia="宋体" w:hAnsi="宋体" w:cs="Times New Roman" w:hint="eastAsia"/>
          <w:sz w:val="28"/>
          <w:szCs w:val="28"/>
        </w:rPr>
        <w:t>科学态度与责任的培育</w:t>
      </w:r>
    </w:p>
    <w:p w14:paraId="65AB1ABE" w14:textId="02005E50" w:rsidR="00C446C4" w:rsidRDefault="00C446C4" w:rsidP="00C446C4">
      <w:pPr>
        <w:spacing w:line="360" w:lineRule="auto"/>
        <w:ind w:firstLine="420"/>
        <w:rPr>
          <w:rFonts w:ascii="宋体" w:eastAsia="宋体" w:hAnsi="宋体" w:cs="Times New Roman" w:hint="eastAsia"/>
          <w:sz w:val="28"/>
          <w:szCs w:val="28"/>
        </w:rPr>
      </w:pPr>
      <w:r w:rsidRPr="00C446C4">
        <w:rPr>
          <w:rFonts w:ascii="宋体" w:eastAsia="宋体" w:hAnsi="宋体" w:cs="Times New Roman" w:hint="eastAsia"/>
          <w:sz w:val="28"/>
          <w:szCs w:val="28"/>
        </w:rPr>
        <w:t>当实验结果与预期不符时，学生需要学会尊重事实、调整原有想法，这是严谨求实态度的具体体现。在解答情景题的过程中，仔细审题、认真计算，也有助于养成细致认真的习惯。同时，通过了解多普勒效应在医学诊断、交通测速、天文观测等领域的广泛应用，学生可以感受到物理知识对社会发展的实际价值，这对激发学习动力、增强社会责任感都有积极作用。</w:t>
      </w:r>
    </w:p>
    <w:p w14:paraId="3133B5FE" w14:textId="483B81C5" w:rsidR="004620C2" w:rsidRPr="004620C2" w:rsidRDefault="004620C2" w:rsidP="004620C2">
      <w:pPr>
        <w:spacing w:line="360" w:lineRule="auto"/>
        <w:ind w:firstLineChars="200" w:firstLine="602"/>
        <w:rPr>
          <w:rFonts w:ascii="宋体" w:eastAsia="宋体" w:hAnsi="宋体" w:cs="Times New Roman" w:hint="eastAsia"/>
          <w:b/>
          <w:sz w:val="30"/>
          <w:szCs w:val="30"/>
        </w:rPr>
      </w:pPr>
      <w:r w:rsidRPr="004620C2">
        <w:rPr>
          <w:rFonts w:ascii="宋体" w:eastAsia="宋体" w:hAnsi="宋体" w:cs="Times New Roman" w:hint="eastAsia"/>
          <w:b/>
          <w:sz w:val="30"/>
          <w:szCs w:val="30"/>
        </w:rPr>
        <w:t>三、</w:t>
      </w:r>
      <w:r w:rsidR="00C446C4" w:rsidRPr="00C446C4">
        <w:rPr>
          <w:rFonts w:ascii="宋体" w:eastAsia="宋体" w:hAnsi="宋体" w:cs="Times New Roman" w:hint="eastAsia"/>
          <w:b/>
          <w:sz w:val="30"/>
          <w:szCs w:val="30"/>
        </w:rPr>
        <w:t>课堂教学的具体实施</w:t>
      </w:r>
    </w:p>
    <w:p w14:paraId="021A8EF4" w14:textId="7706CF8A" w:rsidR="00C446C4" w:rsidRDefault="00C446C4" w:rsidP="004620C2">
      <w:pPr>
        <w:spacing w:line="360" w:lineRule="auto"/>
        <w:ind w:firstLineChars="200" w:firstLine="560"/>
        <w:rPr>
          <w:rFonts w:ascii="宋体" w:eastAsia="宋体" w:hAnsi="宋体" w:cs="Times New Roman"/>
          <w:sz w:val="28"/>
          <w:szCs w:val="28"/>
        </w:rPr>
      </w:pPr>
      <w:r w:rsidRPr="00C446C4">
        <w:rPr>
          <w:rFonts w:ascii="宋体" w:eastAsia="宋体" w:hAnsi="宋体" w:cs="Times New Roman" w:hint="eastAsia"/>
          <w:sz w:val="28"/>
          <w:szCs w:val="28"/>
        </w:rPr>
        <w:t>笔者以高中物理选择性必修</w:t>
      </w:r>
      <w:proofErr w:type="gramStart"/>
      <w:r w:rsidRPr="00C446C4">
        <w:rPr>
          <w:rFonts w:ascii="宋体" w:eastAsia="宋体" w:hAnsi="宋体" w:cs="Times New Roman" w:hint="eastAsia"/>
          <w:sz w:val="28"/>
          <w:szCs w:val="28"/>
        </w:rPr>
        <w:t>一</w:t>
      </w:r>
      <w:proofErr w:type="gramEnd"/>
      <w:r w:rsidRPr="00C446C4">
        <w:rPr>
          <w:rFonts w:ascii="宋体" w:eastAsia="宋体" w:hAnsi="宋体" w:cs="Times New Roman" w:hint="eastAsia"/>
          <w:sz w:val="28"/>
          <w:szCs w:val="28"/>
        </w:rPr>
        <w:t>第三章第五节“多普勒效应”为教学内容，进行了一次情景化教学的尝试。</w:t>
      </w:r>
    </w:p>
    <w:p w14:paraId="0C81B6F9" w14:textId="5B54DE1D" w:rsidR="00C446C4" w:rsidRPr="00C446C4" w:rsidRDefault="00826FC6" w:rsidP="00826FC6">
      <w:p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4620C2">
        <w:rPr>
          <w:rFonts w:ascii="宋体" w:eastAsia="宋体" w:hAnsi="宋体" w:cs="Times New Roman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9062321" wp14:editId="7AEA1CE8">
            <wp:simplePos x="0" y="0"/>
            <wp:positionH relativeFrom="page">
              <wp:posOffset>4909820</wp:posOffset>
            </wp:positionH>
            <wp:positionV relativeFrom="paragraph">
              <wp:posOffset>92075</wp:posOffset>
            </wp:positionV>
            <wp:extent cx="2163445" cy="2459355"/>
            <wp:effectExtent l="0" t="0" r="8255" b="0"/>
            <wp:wrapSquare wrapText="bothSides"/>
            <wp:docPr id="6721530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59" t="14517" r="3659" b="10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46C4" w:rsidRPr="00C446C4">
        <w:rPr>
          <w:rFonts w:ascii="宋体" w:eastAsia="宋体" w:hAnsi="宋体" w:cs="Times New Roman" w:hint="eastAsia"/>
          <w:sz w:val="28"/>
          <w:szCs w:val="28"/>
        </w:rPr>
        <w:t>实验环节使用的器材是一根空心塑料软管。教师将其举过头顶甩动，管口在水平面内做圆周运动，时而靠近学生，时而远离学生。此时大家能够清晰地听到软管发出的声音频率在发生周期性变化。</w:t>
      </w:r>
    </w:p>
    <w:p w14:paraId="49A18CDF" w14:textId="0AAE6CB0" w:rsidR="00C446C4" w:rsidRPr="00C446C4" w:rsidRDefault="00C446C4" w:rsidP="00826FC6">
      <w:p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C446C4">
        <w:rPr>
          <w:rFonts w:ascii="宋体" w:eastAsia="宋体" w:hAnsi="宋体" w:cs="Times New Roman" w:hint="eastAsia"/>
          <w:sz w:val="28"/>
          <w:szCs w:val="28"/>
        </w:rPr>
        <w:t>在实验开始前，教师先让学生进行预测：管口运动到什么位置时，听到的声音频率最高？什么位置时最低？大部分学生根据直觉判断，认为管口离自己最近时频率最高，最远时频率最低。然而实际听到的结果却不一样：频率最高的时刻，管口并不在最近点；频率最低的时刻，管口也不在最远点。相反，当管口运动到教师身体两侧时，观测者分别能听到频率的最高值和最低值。</w:t>
      </w:r>
    </w:p>
    <w:p w14:paraId="6443BA77" w14:textId="0263EF24" w:rsidR="00C446C4" w:rsidRPr="00C446C4" w:rsidRDefault="00C446C4" w:rsidP="00826FC6">
      <w:p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C446C4">
        <w:rPr>
          <w:rFonts w:ascii="宋体" w:eastAsia="宋体" w:hAnsi="宋体" w:cs="Times New Roman" w:hint="eastAsia"/>
          <w:sz w:val="28"/>
          <w:szCs w:val="28"/>
        </w:rPr>
        <w:t>教师借此引导学生思考一个问题：“波源和观测者靠近时频率升高，远</w:t>
      </w:r>
      <w:r w:rsidRPr="00C446C4">
        <w:rPr>
          <w:rFonts w:ascii="宋体" w:eastAsia="宋体" w:hAnsi="宋体" w:cs="Times New Roman" w:hint="eastAsia"/>
          <w:sz w:val="28"/>
          <w:szCs w:val="28"/>
        </w:rPr>
        <w:lastRenderedPageBreak/>
        <w:t>离时频率降低。这里所说的靠近和远离，指的是距离吗？”这一问题促使学生重新审视多普勒效应的产生条件。经过讨论和分析，学生逐渐认识到，决定频率变化的关键因素是相对运动的速度方向，而非空间距离。在圆周运动中，线速度方向沿切线方向，当管口位于最近和最远点时，速度方向与观测者的视线方向垂直，此时观测不到明显的频率变化；而当管口位于两侧时，速度方向与观测者视线方向平行，多普勒效应最为显著。</w:t>
      </w:r>
    </w:p>
    <w:p w14:paraId="24360966" w14:textId="77777777" w:rsidR="00826FC6" w:rsidRDefault="00C446C4" w:rsidP="00C446C4">
      <w:pPr>
        <w:spacing w:line="360" w:lineRule="auto"/>
        <w:ind w:firstLineChars="200" w:firstLine="560"/>
        <w:rPr>
          <w:rFonts w:ascii="宋体" w:eastAsia="宋体" w:hAnsi="宋体" w:cs="Times New Roman"/>
          <w:sz w:val="28"/>
          <w:szCs w:val="28"/>
        </w:rPr>
      </w:pPr>
      <w:r w:rsidRPr="00C446C4">
        <w:rPr>
          <w:rFonts w:ascii="宋体" w:eastAsia="宋体" w:hAnsi="宋体" w:cs="Times New Roman" w:hint="eastAsia"/>
          <w:sz w:val="28"/>
          <w:szCs w:val="28"/>
        </w:rPr>
        <w:t>接下来进入知识应用环节，通过一道情景题对所学内容进行巩固</w:t>
      </w:r>
      <w:r w:rsidR="00826FC6">
        <w:rPr>
          <w:rFonts w:ascii="宋体" w:eastAsia="宋体" w:hAnsi="宋体" w:cs="Times New Roman" w:hint="eastAsia"/>
          <w:sz w:val="28"/>
          <w:szCs w:val="28"/>
        </w:rPr>
        <w:t>：</w:t>
      </w:r>
    </w:p>
    <w:p w14:paraId="557C00B6" w14:textId="70DB32BA" w:rsidR="004620C2" w:rsidRPr="004620C2" w:rsidRDefault="004620C2" w:rsidP="00826FC6">
      <w:pPr>
        <w:spacing w:line="360" w:lineRule="auto"/>
        <w:rPr>
          <w:rFonts w:ascii="宋体" w:eastAsia="宋体" w:hAnsi="宋体" w:cs="Times New Roman" w:hint="eastAsia"/>
          <w:sz w:val="28"/>
          <w:szCs w:val="28"/>
        </w:rPr>
      </w:pPr>
      <w:r w:rsidRPr="004620C2">
        <w:rPr>
          <w:rFonts w:ascii="宋体" w:eastAsia="宋体" w:hAnsi="宋体" w:cs="Times New Roman" w:hint="eastAsia"/>
          <w:sz w:val="28"/>
          <w:szCs w:val="28"/>
        </w:rPr>
        <w:t>某中学物理兴趣小组在学习完多普勒定律后设计了这样一个实验，图（1）是俯视视角，一辆小</w:t>
      </w:r>
      <w:proofErr w:type="gramStart"/>
      <w:r w:rsidRPr="004620C2">
        <w:rPr>
          <w:rFonts w:ascii="宋体" w:eastAsia="宋体" w:hAnsi="宋体" w:cs="Times New Roman" w:hint="eastAsia"/>
          <w:sz w:val="28"/>
          <w:szCs w:val="28"/>
        </w:rPr>
        <w:t>车载着</w:t>
      </w:r>
      <w:proofErr w:type="gramEnd"/>
      <w:r w:rsidRPr="004620C2">
        <w:rPr>
          <w:rFonts w:ascii="宋体" w:eastAsia="宋体" w:hAnsi="宋体" w:cs="Times New Roman" w:hint="eastAsia"/>
          <w:sz w:val="28"/>
          <w:szCs w:val="28"/>
        </w:rPr>
        <w:t>蜂鸣器绕</w:t>
      </w:r>
      <w:r w:rsidRPr="004620C2">
        <w:rPr>
          <w:rFonts w:ascii="宋体" w:eastAsia="宋体" w:hAnsi="宋体" w:cs="Times New Roman" w:hint="eastAsia"/>
          <w:i/>
          <w:sz w:val="28"/>
          <w:szCs w:val="28"/>
        </w:rPr>
        <w:t>O</w:t>
      </w:r>
      <w:r w:rsidRPr="004620C2">
        <w:rPr>
          <w:rFonts w:ascii="宋体" w:eastAsia="宋体" w:hAnsi="宋体" w:cs="Times New Roman" w:hint="eastAsia"/>
          <w:sz w:val="28"/>
          <w:szCs w:val="28"/>
        </w:rPr>
        <w:t>点做顺时针的匀速圆周运动，蜂鸣器的频率是3000Hz。某位同学在离</w:t>
      </w:r>
      <w:r w:rsidRPr="004620C2">
        <w:rPr>
          <w:rFonts w:ascii="宋体" w:eastAsia="宋体" w:hAnsi="宋体" w:cs="Times New Roman" w:hint="eastAsia"/>
          <w:i/>
          <w:sz w:val="28"/>
          <w:szCs w:val="28"/>
        </w:rPr>
        <w:t>O</w:t>
      </w:r>
      <w:r w:rsidRPr="004620C2">
        <w:rPr>
          <w:rFonts w:ascii="宋体" w:eastAsia="宋体" w:hAnsi="宋体" w:cs="Times New Roman" w:hint="eastAsia"/>
          <w:sz w:val="28"/>
          <w:szCs w:val="28"/>
        </w:rPr>
        <w:t>点较远的</w:t>
      </w:r>
      <w:r w:rsidRPr="004620C2">
        <w:rPr>
          <w:rFonts w:ascii="宋体" w:eastAsia="宋体" w:hAnsi="宋体" w:cs="Times New Roman" w:hint="eastAsia"/>
          <w:i/>
          <w:sz w:val="28"/>
          <w:szCs w:val="28"/>
        </w:rPr>
        <w:t>e</w:t>
      </w:r>
      <w:r w:rsidRPr="004620C2">
        <w:rPr>
          <w:rFonts w:ascii="宋体" w:eastAsia="宋体" w:hAnsi="宋体" w:cs="Times New Roman" w:hint="eastAsia"/>
          <w:sz w:val="28"/>
          <w:szCs w:val="28"/>
        </w:rPr>
        <w:t>点记录接收到的声波频率，频率随时间的变化关系如图（2）所示。</w:t>
      </w:r>
    </w:p>
    <w:p w14:paraId="11343145" w14:textId="1A260E49" w:rsidR="004620C2" w:rsidRPr="004620C2" w:rsidRDefault="004620C2" w:rsidP="004620C2">
      <w:p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4620C2">
        <w:rPr>
          <w:rFonts w:ascii="宋体" w:eastAsia="宋体" w:hAnsi="宋体" w:cs="Times New Roman"/>
          <w:noProof/>
          <w:sz w:val="28"/>
          <w:szCs w:val="28"/>
        </w:rPr>
        <w:drawing>
          <wp:inline distT="0" distB="0" distL="0" distR="0" wp14:anchorId="4A5A8B24" wp14:editId="67281359">
            <wp:extent cx="2451938" cy="1274618"/>
            <wp:effectExtent l="0" t="0" r="571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002" cy="127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569F">
        <w:rPr>
          <w:rFonts w:ascii="宋体" w:eastAsia="宋体" w:hAnsi="宋体" w:cs="Times New Roman" w:hint="eastAsia"/>
          <w:sz w:val="28"/>
          <w:szCs w:val="28"/>
        </w:rPr>
        <w:t xml:space="preserve">  </w:t>
      </w:r>
      <w:r w:rsidRPr="004620C2">
        <w:rPr>
          <w:rFonts w:ascii="宋体" w:eastAsia="宋体" w:hAnsi="宋体" w:cs="Times New Roman"/>
          <w:noProof/>
          <w:sz w:val="28"/>
          <w:szCs w:val="28"/>
        </w:rPr>
        <w:drawing>
          <wp:inline distT="0" distB="0" distL="0" distR="0" wp14:anchorId="17D9CE18" wp14:editId="7D033D48">
            <wp:extent cx="1979537" cy="1302327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249" cy="1309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2CDCE" w14:textId="77777777" w:rsidR="004620C2" w:rsidRPr="004620C2" w:rsidRDefault="004620C2" w:rsidP="004620C2">
      <w:pPr>
        <w:numPr>
          <w:ilvl w:val="0"/>
          <w:numId w:val="1"/>
        </w:num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4620C2">
        <w:rPr>
          <w:rFonts w:ascii="宋体" w:eastAsia="宋体" w:hAnsi="宋体" w:cs="Times New Roman" w:hint="eastAsia"/>
          <w:sz w:val="28"/>
          <w:szCs w:val="28"/>
        </w:rPr>
        <w:t>在11.3s这一时刻，小车处在哪一点附近(    )</w:t>
      </w:r>
    </w:p>
    <w:p w14:paraId="75AE11FA" w14:textId="77777777" w:rsidR="004620C2" w:rsidRPr="004620C2" w:rsidRDefault="004620C2" w:rsidP="004620C2">
      <w:pPr>
        <w:numPr>
          <w:ilvl w:val="0"/>
          <w:numId w:val="2"/>
        </w:num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4620C2">
        <w:rPr>
          <w:rFonts w:ascii="宋体" w:eastAsia="宋体" w:hAnsi="宋体" w:cs="Times New Roman" w:hint="eastAsia"/>
          <w:i/>
          <w:sz w:val="28"/>
          <w:szCs w:val="28"/>
        </w:rPr>
        <w:t>a</w:t>
      </w:r>
      <w:r w:rsidRPr="004620C2">
        <w:rPr>
          <w:rFonts w:ascii="宋体" w:eastAsia="宋体" w:hAnsi="宋体" w:cs="Times New Roman" w:hint="eastAsia"/>
          <w:sz w:val="28"/>
          <w:szCs w:val="28"/>
        </w:rPr>
        <w:t>点</w:t>
      </w:r>
      <w:r w:rsidRPr="004620C2">
        <w:rPr>
          <w:rFonts w:ascii="宋体" w:eastAsia="宋体" w:hAnsi="宋体" w:cs="Times New Roman" w:hint="eastAsia"/>
          <w:sz w:val="28"/>
          <w:szCs w:val="28"/>
        </w:rPr>
        <w:tab/>
      </w:r>
      <w:r w:rsidRPr="004620C2">
        <w:rPr>
          <w:rFonts w:ascii="宋体" w:eastAsia="宋体" w:hAnsi="宋体" w:cs="Times New Roman" w:hint="eastAsia"/>
          <w:sz w:val="28"/>
          <w:szCs w:val="28"/>
        </w:rPr>
        <w:tab/>
      </w:r>
      <w:r w:rsidRPr="004620C2">
        <w:rPr>
          <w:rFonts w:ascii="宋体" w:eastAsia="宋体" w:hAnsi="宋体" w:cs="Times New Roman" w:hint="eastAsia"/>
          <w:sz w:val="28"/>
          <w:szCs w:val="28"/>
        </w:rPr>
        <w:tab/>
        <w:t xml:space="preserve">B. </w:t>
      </w:r>
      <w:r w:rsidRPr="004620C2">
        <w:rPr>
          <w:rFonts w:ascii="宋体" w:eastAsia="宋体" w:hAnsi="宋体" w:cs="Times New Roman" w:hint="eastAsia"/>
          <w:i/>
          <w:sz w:val="28"/>
          <w:szCs w:val="28"/>
        </w:rPr>
        <w:t>b</w:t>
      </w:r>
      <w:r w:rsidRPr="004620C2">
        <w:rPr>
          <w:rFonts w:ascii="宋体" w:eastAsia="宋体" w:hAnsi="宋体" w:cs="Times New Roman" w:hint="eastAsia"/>
          <w:sz w:val="28"/>
          <w:szCs w:val="28"/>
        </w:rPr>
        <w:t>点</w:t>
      </w:r>
      <w:r w:rsidRPr="004620C2">
        <w:rPr>
          <w:rFonts w:ascii="宋体" w:eastAsia="宋体" w:hAnsi="宋体" w:cs="Times New Roman" w:hint="eastAsia"/>
          <w:sz w:val="28"/>
          <w:szCs w:val="28"/>
        </w:rPr>
        <w:tab/>
      </w:r>
      <w:r w:rsidRPr="004620C2">
        <w:rPr>
          <w:rFonts w:ascii="宋体" w:eastAsia="宋体" w:hAnsi="宋体" w:cs="Times New Roman" w:hint="eastAsia"/>
          <w:sz w:val="28"/>
          <w:szCs w:val="28"/>
        </w:rPr>
        <w:tab/>
      </w:r>
      <w:r w:rsidRPr="004620C2">
        <w:rPr>
          <w:rFonts w:ascii="宋体" w:eastAsia="宋体" w:hAnsi="宋体" w:cs="Times New Roman" w:hint="eastAsia"/>
          <w:sz w:val="28"/>
          <w:szCs w:val="28"/>
        </w:rPr>
        <w:tab/>
        <w:t xml:space="preserve">C. </w:t>
      </w:r>
      <w:r w:rsidRPr="004620C2">
        <w:rPr>
          <w:rFonts w:ascii="宋体" w:eastAsia="宋体" w:hAnsi="宋体" w:cs="Times New Roman" w:hint="eastAsia"/>
          <w:i/>
          <w:sz w:val="28"/>
          <w:szCs w:val="28"/>
        </w:rPr>
        <w:t>c</w:t>
      </w:r>
      <w:r w:rsidRPr="004620C2">
        <w:rPr>
          <w:rFonts w:ascii="宋体" w:eastAsia="宋体" w:hAnsi="宋体" w:cs="Times New Roman" w:hint="eastAsia"/>
          <w:sz w:val="28"/>
          <w:szCs w:val="28"/>
        </w:rPr>
        <w:t>点</w:t>
      </w:r>
      <w:r w:rsidRPr="004620C2">
        <w:rPr>
          <w:rFonts w:ascii="宋体" w:eastAsia="宋体" w:hAnsi="宋体" w:cs="Times New Roman" w:hint="eastAsia"/>
          <w:sz w:val="28"/>
          <w:szCs w:val="28"/>
        </w:rPr>
        <w:tab/>
      </w:r>
      <w:r w:rsidRPr="004620C2">
        <w:rPr>
          <w:rFonts w:ascii="宋体" w:eastAsia="宋体" w:hAnsi="宋体" w:cs="Times New Roman" w:hint="eastAsia"/>
          <w:sz w:val="28"/>
          <w:szCs w:val="28"/>
        </w:rPr>
        <w:tab/>
      </w:r>
      <w:r w:rsidRPr="004620C2">
        <w:rPr>
          <w:rFonts w:ascii="宋体" w:eastAsia="宋体" w:hAnsi="宋体" w:cs="Times New Roman" w:hint="eastAsia"/>
          <w:sz w:val="28"/>
          <w:szCs w:val="28"/>
        </w:rPr>
        <w:tab/>
        <w:t xml:space="preserve">D. </w:t>
      </w:r>
      <w:r w:rsidRPr="004620C2">
        <w:rPr>
          <w:rFonts w:ascii="宋体" w:eastAsia="宋体" w:hAnsi="宋体" w:cs="Times New Roman" w:hint="eastAsia"/>
          <w:i/>
          <w:sz w:val="28"/>
          <w:szCs w:val="28"/>
        </w:rPr>
        <w:t>d</w:t>
      </w:r>
      <w:r w:rsidRPr="004620C2">
        <w:rPr>
          <w:rFonts w:ascii="宋体" w:eastAsia="宋体" w:hAnsi="宋体" w:cs="Times New Roman" w:hint="eastAsia"/>
          <w:sz w:val="28"/>
          <w:szCs w:val="28"/>
        </w:rPr>
        <w:t>点</w:t>
      </w:r>
    </w:p>
    <w:p w14:paraId="31F4A23A" w14:textId="77777777" w:rsidR="004620C2" w:rsidRPr="004620C2" w:rsidRDefault="004620C2" w:rsidP="004620C2">
      <w:pPr>
        <w:numPr>
          <w:ilvl w:val="0"/>
          <w:numId w:val="1"/>
        </w:num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4620C2">
        <w:rPr>
          <w:rFonts w:ascii="宋体" w:eastAsia="宋体" w:hAnsi="宋体" w:cs="Times New Roman" w:hint="eastAsia"/>
          <w:sz w:val="28"/>
          <w:szCs w:val="28"/>
        </w:rPr>
        <w:t>根据提供的信息，能计算哪些物理量（    ）</w:t>
      </w:r>
    </w:p>
    <w:p w14:paraId="11004F09" w14:textId="77777777" w:rsidR="004620C2" w:rsidRPr="004620C2" w:rsidRDefault="004620C2" w:rsidP="004620C2">
      <w:pPr>
        <w:numPr>
          <w:ilvl w:val="0"/>
          <w:numId w:val="3"/>
        </w:num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4620C2">
        <w:rPr>
          <w:rFonts w:ascii="宋体" w:eastAsia="宋体" w:hAnsi="宋体" w:cs="Times New Roman" w:hint="eastAsia"/>
          <w:sz w:val="28"/>
          <w:szCs w:val="28"/>
        </w:rPr>
        <w:t>小车的运动周期</w:t>
      </w:r>
    </w:p>
    <w:p w14:paraId="53E4B614" w14:textId="77777777" w:rsidR="004620C2" w:rsidRPr="004620C2" w:rsidRDefault="004620C2" w:rsidP="004620C2">
      <w:pPr>
        <w:numPr>
          <w:ilvl w:val="0"/>
          <w:numId w:val="3"/>
        </w:num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4620C2">
        <w:rPr>
          <w:rFonts w:ascii="宋体" w:eastAsia="宋体" w:hAnsi="宋体" w:cs="Times New Roman" w:hint="eastAsia"/>
          <w:sz w:val="28"/>
          <w:szCs w:val="28"/>
        </w:rPr>
        <w:t>小车受到的向心力</w:t>
      </w:r>
    </w:p>
    <w:p w14:paraId="082A04BF" w14:textId="77777777" w:rsidR="004620C2" w:rsidRPr="004620C2" w:rsidRDefault="004620C2" w:rsidP="004620C2">
      <w:pPr>
        <w:numPr>
          <w:ilvl w:val="0"/>
          <w:numId w:val="3"/>
        </w:num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4620C2">
        <w:rPr>
          <w:rFonts w:ascii="宋体" w:eastAsia="宋体" w:hAnsi="宋体" w:cs="Times New Roman" w:hint="eastAsia"/>
          <w:sz w:val="28"/>
          <w:szCs w:val="28"/>
        </w:rPr>
        <w:t>小车的向心加速度</w:t>
      </w:r>
    </w:p>
    <w:p w14:paraId="4F04C0F1" w14:textId="77777777" w:rsidR="004620C2" w:rsidRPr="004620C2" w:rsidRDefault="004620C2" w:rsidP="004620C2">
      <w:pPr>
        <w:numPr>
          <w:ilvl w:val="0"/>
          <w:numId w:val="3"/>
        </w:num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4620C2">
        <w:rPr>
          <w:rFonts w:ascii="宋体" w:eastAsia="宋体" w:hAnsi="宋体" w:cs="Times New Roman" w:hint="eastAsia"/>
          <w:sz w:val="28"/>
          <w:szCs w:val="28"/>
        </w:rPr>
        <w:t>记录同学到</w:t>
      </w:r>
      <w:r w:rsidRPr="004620C2">
        <w:rPr>
          <w:rFonts w:ascii="宋体" w:eastAsia="宋体" w:hAnsi="宋体" w:cs="Times New Roman" w:hint="eastAsia"/>
          <w:i/>
          <w:sz w:val="28"/>
          <w:szCs w:val="28"/>
        </w:rPr>
        <w:t>O</w:t>
      </w:r>
      <w:r w:rsidRPr="004620C2">
        <w:rPr>
          <w:rFonts w:ascii="宋体" w:eastAsia="宋体" w:hAnsi="宋体" w:cs="Times New Roman" w:hint="eastAsia"/>
          <w:sz w:val="28"/>
          <w:szCs w:val="28"/>
        </w:rPr>
        <w:t>点的距离</w:t>
      </w:r>
    </w:p>
    <w:p w14:paraId="046AC82D" w14:textId="77777777" w:rsidR="004620C2" w:rsidRPr="004620C2" w:rsidRDefault="004620C2" w:rsidP="004620C2">
      <w:pPr>
        <w:numPr>
          <w:ilvl w:val="0"/>
          <w:numId w:val="1"/>
        </w:num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4620C2">
        <w:rPr>
          <w:rFonts w:ascii="宋体" w:eastAsia="宋体" w:hAnsi="宋体" w:cs="Times New Roman" w:hint="eastAsia"/>
          <w:sz w:val="28"/>
          <w:szCs w:val="28"/>
        </w:rPr>
        <w:t>已知观测者接受到的频率</w:t>
      </w:r>
      <m:oMath>
        <m:sSup>
          <m:sSupPr>
            <m:ctrlPr>
              <w:rPr>
                <w:rFonts w:ascii="Cambria Math" w:eastAsia="宋体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eastAsia="宋体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="宋体" w:hAnsi="Cambria Math" w:cs="Times New Roman"/>
                <w:sz w:val="28"/>
                <w:szCs w:val="28"/>
              </w:rPr>
              <m:t>'</m:t>
            </m:r>
          </m:sup>
        </m:sSup>
      </m:oMath>
      <w:r w:rsidRPr="004620C2">
        <w:rPr>
          <w:rFonts w:ascii="宋体" w:eastAsia="宋体" w:hAnsi="宋体" w:cs="Times New Roman" w:hint="eastAsia"/>
          <w:sz w:val="28"/>
          <w:szCs w:val="28"/>
        </w:rPr>
        <w:t>与声源的频率</w:t>
      </w:r>
      <m:oMath>
        <m:r>
          <w:rPr>
            <w:rFonts w:ascii="Cambria Math" w:eastAsia="宋体" w:hAnsi="Cambria Math" w:cs="Times New Roman"/>
            <w:sz w:val="28"/>
            <w:szCs w:val="28"/>
          </w:rPr>
          <m:t>f</m:t>
        </m:r>
      </m:oMath>
      <w:r w:rsidRPr="004620C2">
        <w:rPr>
          <w:rFonts w:ascii="宋体" w:eastAsia="宋体" w:hAnsi="宋体" w:cs="Times New Roman" w:hint="eastAsia"/>
          <w:sz w:val="28"/>
          <w:szCs w:val="28"/>
        </w:rPr>
        <w:t>满足</w:t>
      </w:r>
      <m:oMath>
        <m:sSup>
          <m:sSupPr>
            <m:ctrlPr>
              <w:rPr>
                <w:rFonts w:ascii="Cambria Math" w:eastAsia="宋体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eastAsia="宋体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="宋体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eastAsia="宋体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宋体" w:hAnsi="Cambria Math" w:cs="Times New Roman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eastAsia="宋体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宋体" w:hAnsi="Cambria Math" w:cs="Times New Roman"/>
                    <w:sz w:val="28"/>
                    <w:szCs w:val="28"/>
                  </w:rPr>
                  <m:t>v±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</m:e>
            </m:d>
          </m:num>
          <m:den>
            <m:d>
              <m:dPr>
                <m:ctrlPr>
                  <w:rPr>
                    <w:rFonts w:ascii="Cambria Math" w:eastAsia="宋体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宋体" w:hAnsi="Cambria Math" w:cs="Times New Roman"/>
                    <w:sz w:val="28"/>
                    <w:szCs w:val="28"/>
                  </w:rPr>
                  <m:t>v∓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28"/>
                        <w:szCs w:val="28"/>
                      </w:rPr>
                      <m:t>s</m:t>
                    </m:r>
                  </m:sub>
                </m:sSub>
              </m:e>
            </m:d>
          </m:den>
        </m:f>
        <w:bookmarkStart w:id="0" w:name="_Hlk176446236"/>
        <m:r>
          <w:rPr>
            <w:rFonts w:ascii="Cambria Math" w:eastAsia="宋体" w:hAnsi="Cambria Math" w:cs="Times New Roman"/>
            <w:sz w:val="28"/>
            <w:szCs w:val="28"/>
          </w:rPr>
          <m:t>f</m:t>
        </m:r>
      </m:oMath>
      <w:bookmarkEnd w:id="0"/>
      <w:r w:rsidRPr="004620C2">
        <w:rPr>
          <w:rFonts w:ascii="宋体" w:eastAsia="宋体" w:hAnsi="宋体" w:cs="Times New Roman" w:hint="eastAsia"/>
          <w:sz w:val="28"/>
          <w:szCs w:val="28"/>
        </w:rPr>
        <w:t>,其</w:t>
      </w:r>
      <w:r w:rsidRPr="004620C2">
        <w:rPr>
          <w:rFonts w:ascii="宋体" w:eastAsia="宋体" w:hAnsi="宋体" w:cs="Times New Roman" w:hint="eastAsia"/>
          <w:sz w:val="28"/>
          <w:szCs w:val="28"/>
        </w:rPr>
        <w:lastRenderedPageBreak/>
        <w:t>中</w:t>
      </w:r>
      <m:oMath>
        <m:r>
          <w:rPr>
            <w:rFonts w:ascii="Cambria Math" w:eastAsia="宋体" w:hAnsi="Cambria Math" w:cs="Times New Roman"/>
            <w:sz w:val="28"/>
            <w:szCs w:val="28"/>
          </w:rPr>
          <m:t>v</m:t>
        </m:r>
      </m:oMath>
      <w:r w:rsidRPr="004620C2">
        <w:rPr>
          <w:rFonts w:ascii="宋体" w:eastAsia="宋体" w:hAnsi="宋体" w:cs="Times New Roman" w:hint="eastAsia"/>
          <w:sz w:val="28"/>
          <w:szCs w:val="28"/>
        </w:rPr>
        <w:t>表示波在介质中的行进速度；</w:t>
      </w:r>
      <m:oMath>
        <m:sSub>
          <m:sSubPr>
            <m:ctrlPr>
              <w:rPr>
                <w:rFonts w:ascii="Cambria Math" w:eastAsia="宋体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宋体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="宋体" w:hAnsi="Cambria Math" w:cs="Times New Roman"/>
                <w:sz w:val="28"/>
                <w:szCs w:val="28"/>
              </w:rPr>
              <m:t>0</m:t>
            </m:r>
          </m:sub>
        </m:sSub>
      </m:oMath>
      <w:r w:rsidRPr="004620C2">
        <w:rPr>
          <w:rFonts w:ascii="宋体" w:eastAsia="宋体" w:hAnsi="宋体" w:cs="Times New Roman" w:hint="eastAsia"/>
          <w:sz w:val="28"/>
          <w:szCs w:val="28"/>
        </w:rPr>
        <w:t>表示观察者相对介质的相对速度，若接近发射源则取正；</w:t>
      </w:r>
      <m:oMath>
        <m:sSub>
          <m:sSubPr>
            <m:ctrlPr>
              <w:rPr>
                <w:rFonts w:ascii="Cambria Math" w:eastAsia="宋体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宋体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="宋体" w:hAnsi="Cambria Math" w:cs="Times New Roman"/>
                <w:sz w:val="28"/>
                <w:szCs w:val="28"/>
              </w:rPr>
              <m:t>s</m:t>
            </m:r>
          </m:sub>
        </m:sSub>
      </m:oMath>
      <w:r w:rsidRPr="004620C2">
        <w:rPr>
          <w:rFonts w:ascii="宋体" w:eastAsia="宋体" w:hAnsi="宋体" w:cs="Times New Roman" w:hint="eastAsia"/>
          <w:sz w:val="28"/>
          <w:szCs w:val="28"/>
        </w:rPr>
        <w:t>表示发射</w:t>
      </w:r>
      <w:proofErr w:type="gramStart"/>
      <w:r w:rsidRPr="004620C2">
        <w:rPr>
          <w:rFonts w:ascii="宋体" w:eastAsia="宋体" w:hAnsi="宋体" w:cs="Times New Roman" w:hint="eastAsia"/>
          <w:sz w:val="28"/>
          <w:szCs w:val="28"/>
        </w:rPr>
        <w:t>源相对</w:t>
      </w:r>
      <w:proofErr w:type="gramEnd"/>
      <w:r w:rsidRPr="004620C2">
        <w:rPr>
          <w:rFonts w:ascii="宋体" w:eastAsia="宋体" w:hAnsi="宋体" w:cs="Times New Roman" w:hint="eastAsia"/>
          <w:sz w:val="28"/>
          <w:szCs w:val="28"/>
        </w:rPr>
        <w:t>介质的运动速度，若接近观察者则取负。由图（2）的数据可得小车的速度为_______m/s（取整数），圆轨道半径为_______m（保留两位小数）。当小车运动到</w:t>
      </w:r>
      <w:r w:rsidRPr="004620C2">
        <w:rPr>
          <w:rFonts w:ascii="宋体" w:eastAsia="宋体" w:hAnsi="宋体" w:cs="Times New Roman" w:hint="eastAsia"/>
          <w:i/>
          <w:sz w:val="28"/>
          <w:szCs w:val="28"/>
        </w:rPr>
        <w:t>d</w:t>
      </w:r>
      <w:r w:rsidRPr="004620C2">
        <w:rPr>
          <w:rFonts w:ascii="宋体" w:eastAsia="宋体" w:hAnsi="宋体" w:cs="Times New Roman" w:hint="eastAsia"/>
          <w:sz w:val="28"/>
          <w:szCs w:val="28"/>
        </w:rPr>
        <w:t>点时同学测量到的频率为_______Hz。</w:t>
      </w:r>
    </w:p>
    <w:p w14:paraId="7D776435" w14:textId="04F69644" w:rsidR="00A4598C" w:rsidRPr="00A4598C" w:rsidRDefault="00A4598C" w:rsidP="00A4598C">
      <w:p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A4598C">
        <w:rPr>
          <w:rFonts w:ascii="宋体" w:eastAsia="宋体" w:hAnsi="宋体" w:cs="Times New Roman" w:hint="eastAsia"/>
          <w:sz w:val="28"/>
          <w:szCs w:val="28"/>
        </w:rPr>
        <w:t>分析这道题目可以发现，图（1）与课堂实验的情景是一致的，图（2）则给出了一个完整周期内接收频率的变化曲线。根据前面的分析，频率最高时声源朝向观测者运动，而小车每转一周只经过一次该位置，因此运动周期为22.6s。对比频率最小值与本征频率，可以推算出相对运动速度即小车线速度，这一定性推导并不要求学生掌握多普勒效应的定量公式。结合周期可进一步求出轨道半径和向心加速度。由于题目未给小车质量，向心力无法计算；同时频率变化只与相对速度有关，与距离无关，因此e点到O点的距离也无法求出。</w:t>
      </w:r>
    </w:p>
    <w:p w14:paraId="4A3F188E" w14:textId="77777777" w:rsidR="00A4598C" w:rsidRDefault="00A4598C" w:rsidP="00A4598C">
      <w:pPr>
        <w:spacing w:line="360" w:lineRule="auto"/>
        <w:ind w:firstLineChars="200" w:firstLine="560"/>
        <w:rPr>
          <w:rFonts w:ascii="宋体" w:eastAsia="宋体" w:hAnsi="宋体" w:cs="Times New Roman"/>
          <w:sz w:val="28"/>
          <w:szCs w:val="28"/>
        </w:rPr>
      </w:pPr>
      <w:r w:rsidRPr="00A4598C">
        <w:rPr>
          <w:rFonts w:ascii="宋体" w:eastAsia="宋体" w:hAnsi="宋体" w:cs="Times New Roman" w:hint="eastAsia"/>
          <w:sz w:val="28"/>
          <w:szCs w:val="28"/>
        </w:rPr>
        <w:t>需要说明的是，课程标准对多普勒效应的定量计算不作统一要求。但考虑到部分学生有进一步学习的兴趣，第三问给出了定量关系式和符号规则。学生在理解第二问的基础上，只需正确代入公式即可完成计算。</w:t>
      </w:r>
    </w:p>
    <w:p w14:paraId="05BB1DFA" w14:textId="3BAFF040" w:rsidR="004620C2" w:rsidRPr="004620C2" w:rsidRDefault="004620C2" w:rsidP="00A4598C">
      <w:pPr>
        <w:spacing w:line="360" w:lineRule="auto"/>
        <w:ind w:firstLineChars="200" w:firstLine="602"/>
        <w:rPr>
          <w:rFonts w:ascii="宋体" w:eastAsia="宋体" w:hAnsi="宋体" w:cs="Times New Roman" w:hint="eastAsia"/>
          <w:b/>
          <w:sz w:val="30"/>
          <w:szCs w:val="30"/>
        </w:rPr>
      </w:pPr>
      <w:r w:rsidRPr="004620C2">
        <w:rPr>
          <w:rFonts w:ascii="宋体" w:eastAsia="宋体" w:hAnsi="宋体" w:cs="Times New Roman" w:hint="eastAsia"/>
          <w:b/>
          <w:sz w:val="30"/>
          <w:szCs w:val="30"/>
        </w:rPr>
        <w:t>四、</w:t>
      </w:r>
      <w:r w:rsidR="00A4598C" w:rsidRPr="00A4598C">
        <w:rPr>
          <w:rFonts w:ascii="宋体" w:eastAsia="宋体" w:hAnsi="宋体" w:cs="Times New Roman" w:hint="eastAsia"/>
          <w:b/>
          <w:sz w:val="30"/>
          <w:szCs w:val="30"/>
        </w:rPr>
        <w:t>教学效果与思考</w:t>
      </w:r>
    </w:p>
    <w:p w14:paraId="43DC2F84" w14:textId="7FDF9A32" w:rsidR="00A4598C" w:rsidRPr="00A4598C" w:rsidRDefault="004620C2" w:rsidP="00A4598C">
      <w:p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4620C2">
        <w:rPr>
          <w:rFonts w:ascii="宋体" w:eastAsia="宋体" w:hAnsi="宋体" w:cs="Times New Roman" w:hint="eastAsia"/>
          <w:sz w:val="28"/>
          <w:szCs w:val="28"/>
        </w:rPr>
        <w:t>通</w:t>
      </w:r>
      <w:r w:rsidR="00A4598C" w:rsidRPr="00A4598C">
        <w:rPr>
          <w:rFonts w:ascii="宋体" w:eastAsia="宋体" w:hAnsi="宋体" w:cs="Times New Roman" w:hint="eastAsia"/>
          <w:sz w:val="28"/>
          <w:szCs w:val="28"/>
        </w:rPr>
        <w:t>从本次教学实践来看，以核心素养为导向的情景化设计取得了比较理想的效果。学生对多普勒效应本质的理解更加到位，能够突破“距离决定频率”的直觉误区。在实验观察、问题讨论和解题分析的过程中，学生的科学思维能力和探究意识也得到了有效锻炼。</w:t>
      </w:r>
    </w:p>
    <w:p w14:paraId="348B4C69" w14:textId="402B7CF4" w:rsidR="00A4598C" w:rsidRPr="00A4598C" w:rsidRDefault="00A4598C" w:rsidP="00A4598C">
      <w:p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proofErr w:type="gramStart"/>
      <w:r w:rsidRPr="00A4598C">
        <w:rPr>
          <w:rFonts w:ascii="宋体" w:eastAsia="宋体" w:hAnsi="宋体" w:cs="Times New Roman" w:hint="eastAsia"/>
          <w:sz w:val="28"/>
          <w:szCs w:val="28"/>
        </w:rPr>
        <w:t>整堂课从实验</w:t>
      </w:r>
      <w:proofErr w:type="gramEnd"/>
      <w:r w:rsidRPr="00A4598C">
        <w:rPr>
          <w:rFonts w:ascii="宋体" w:eastAsia="宋体" w:hAnsi="宋体" w:cs="Times New Roman" w:hint="eastAsia"/>
          <w:sz w:val="28"/>
          <w:szCs w:val="28"/>
        </w:rPr>
        <w:t>感知到数据分析，学生的参与度较高，主动思考和提问的</w:t>
      </w:r>
      <w:r w:rsidRPr="00A4598C">
        <w:rPr>
          <w:rFonts w:ascii="宋体" w:eastAsia="宋体" w:hAnsi="宋体" w:cs="Times New Roman" w:hint="eastAsia"/>
          <w:sz w:val="28"/>
          <w:szCs w:val="28"/>
        </w:rPr>
        <w:lastRenderedPageBreak/>
        <w:t>频率明显增加，这在一定程度上验证了“双新”所倡导的教学理念。</w:t>
      </w:r>
    </w:p>
    <w:p w14:paraId="785C53C2" w14:textId="5EFF36A1" w:rsidR="004620C2" w:rsidRPr="004620C2" w:rsidRDefault="00A4598C" w:rsidP="00A4598C">
      <w:pPr>
        <w:spacing w:line="360" w:lineRule="auto"/>
        <w:ind w:firstLineChars="200" w:firstLine="560"/>
        <w:rPr>
          <w:rFonts w:ascii="宋体" w:eastAsia="宋体" w:hAnsi="宋体" w:cs="Times New Roman" w:hint="eastAsia"/>
          <w:sz w:val="28"/>
          <w:szCs w:val="28"/>
        </w:rPr>
      </w:pPr>
      <w:r w:rsidRPr="00A4598C">
        <w:rPr>
          <w:rFonts w:ascii="宋体" w:eastAsia="宋体" w:hAnsi="宋体" w:cs="Times New Roman" w:hint="eastAsia"/>
          <w:sz w:val="28"/>
          <w:szCs w:val="28"/>
        </w:rPr>
        <w:t>当然，这类教学设计对备课的要求也相应提高。在今后的教学中，教师还需要进一步研读教材和课程标准，挖掘更多有启发性的素材，创设更贴合学生实际的情景，使物理教学既有知识含量，又能激发学生的思考和兴趣。</w:t>
      </w:r>
    </w:p>
    <w:p w14:paraId="540FA671" w14:textId="77777777" w:rsidR="00BB15F5" w:rsidRPr="004620C2" w:rsidRDefault="00BB15F5">
      <w:pPr>
        <w:rPr>
          <w:rFonts w:hint="eastAsia"/>
        </w:rPr>
      </w:pPr>
    </w:p>
    <w:sectPr w:rsidR="00BB15F5" w:rsidRPr="004620C2" w:rsidSect="004620C2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348E9" w14:textId="77777777" w:rsidR="00E219BB" w:rsidRDefault="00E219BB" w:rsidP="004620C2">
      <w:pPr>
        <w:rPr>
          <w:rFonts w:hint="eastAsia"/>
        </w:rPr>
      </w:pPr>
      <w:r>
        <w:separator/>
      </w:r>
    </w:p>
  </w:endnote>
  <w:endnote w:type="continuationSeparator" w:id="0">
    <w:p w14:paraId="2493A10F" w14:textId="77777777" w:rsidR="00E219BB" w:rsidRDefault="00E219BB" w:rsidP="004620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5EB32" w14:textId="77777777" w:rsidR="00E219BB" w:rsidRDefault="00E219BB" w:rsidP="004620C2">
      <w:pPr>
        <w:rPr>
          <w:rFonts w:hint="eastAsia"/>
        </w:rPr>
      </w:pPr>
      <w:r>
        <w:separator/>
      </w:r>
    </w:p>
  </w:footnote>
  <w:footnote w:type="continuationSeparator" w:id="0">
    <w:p w14:paraId="7C51FBD3" w14:textId="77777777" w:rsidR="00E219BB" w:rsidRDefault="00E219BB" w:rsidP="004620C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2087D"/>
    <w:multiLevelType w:val="hybridMultilevel"/>
    <w:tmpl w:val="A1BC5602"/>
    <w:lvl w:ilvl="0" w:tplc="DB643F3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B1345E3"/>
    <w:multiLevelType w:val="hybridMultilevel"/>
    <w:tmpl w:val="31BA09BE"/>
    <w:lvl w:ilvl="0" w:tplc="AD9CEF4E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)"/>
      <w:lvlJc w:val="left"/>
      <w:pPr>
        <w:ind w:left="1200" w:hanging="420"/>
      </w:pPr>
    </w:lvl>
    <w:lvl w:ilvl="2" w:tplc="0409001B">
      <w:start w:val="1"/>
      <w:numFmt w:val="lowerRoman"/>
      <w:lvlText w:val="%3."/>
      <w:lvlJc w:val="right"/>
      <w:pPr>
        <w:ind w:left="1620" w:hanging="420"/>
      </w:pPr>
    </w:lvl>
    <w:lvl w:ilvl="3" w:tplc="0409000F">
      <w:start w:val="1"/>
      <w:numFmt w:val="decimal"/>
      <w:lvlText w:val="%4."/>
      <w:lvlJc w:val="left"/>
      <w:pPr>
        <w:ind w:left="2040" w:hanging="420"/>
      </w:pPr>
    </w:lvl>
    <w:lvl w:ilvl="4" w:tplc="04090019">
      <w:start w:val="1"/>
      <w:numFmt w:val="lowerLetter"/>
      <w:lvlText w:val="%5)"/>
      <w:lvlJc w:val="left"/>
      <w:pPr>
        <w:ind w:left="2460" w:hanging="420"/>
      </w:pPr>
    </w:lvl>
    <w:lvl w:ilvl="5" w:tplc="0409001B">
      <w:start w:val="1"/>
      <w:numFmt w:val="lowerRoman"/>
      <w:lvlText w:val="%6."/>
      <w:lvlJc w:val="right"/>
      <w:pPr>
        <w:ind w:left="2880" w:hanging="420"/>
      </w:pPr>
    </w:lvl>
    <w:lvl w:ilvl="6" w:tplc="0409000F">
      <w:start w:val="1"/>
      <w:numFmt w:val="decimal"/>
      <w:lvlText w:val="%7."/>
      <w:lvlJc w:val="left"/>
      <w:pPr>
        <w:ind w:left="3300" w:hanging="420"/>
      </w:pPr>
    </w:lvl>
    <w:lvl w:ilvl="7" w:tplc="04090019">
      <w:start w:val="1"/>
      <w:numFmt w:val="lowerLetter"/>
      <w:lvlText w:val="%8)"/>
      <w:lvlJc w:val="left"/>
      <w:pPr>
        <w:ind w:left="3720" w:hanging="420"/>
      </w:pPr>
    </w:lvl>
    <w:lvl w:ilvl="8" w:tplc="0409001B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5FF92A34"/>
    <w:multiLevelType w:val="hybridMultilevel"/>
    <w:tmpl w:val="C952DD48"/>
    <w:lvl w:ilvl="0" w:tplc="47D67452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)"/>
      <w:lvlJc w:val="left"/>
      <w:pPr>
        <w:ind w:left="1200" w:hanging="420"/>
      </w:pPr>
    </w:lvl>
    <w:lvl w:ilvl="2" w:tplc="0409001B">
      <w:start w:val="1"/>
      <w:numFmt w:val="lowerRoman"/>
      <w:lvlText w:val="%3."/>
      <w:lvlJc w:val="right"/>
      <w:pPr>
        <w:ind w:left="1620" w:hanging="420"/>
      </w:pPr>
    </w:lvl>
    <w:lvl w:ilvl="3" w:tplc="0409000F">
      <w:start w:val="1"/>
      <w:numFmt w:val="decimal"/>
      <w:lvlText w:val="%4."/>
      <w:lvlJc w:val="left"/>
      <w:pPr>
        <w:ind w:left="2040" w:hanging="420"/>
      </w:pPr>
    </w:lvl>
    <w:lvl w:ilvl="4" w:tplc="04090019">
      <w:start w:val="1"/>
      <w:numFmt w:val="lowerLetter"/>
      <w:lvlText w:val="%5)"/>
      <w:lvlJc w:val="left"/>
      <w:pPr>
        <w:ind w:left="2460" w:hanging="420"/>
      </w:pPr>
    </w:lvl>
    <w:lvl w:ilvl="5" w:tplc="0409001B">
      <w:start w:val="1"/>
      <w:numFmt w:val="lowerRoman"/>
      <w:lvlText w:val="%6."/>
      <w:lvlJc w:val="right"/>
      <w:pPr>
        <w:ind w:left="2880" w:hanging="420"/>
      </w:pPr>
    </w:lvl>
    <w:lvl w:ilvl="6" w:tplc="0409000F">
      <w:start w:val="1"/>
      <w:numFmt w:val="decimal"/>
      <w:lvlText w:val="%7."/>
      <w:lvlJc w:val="left"/>
      <w:pPr>
        <w:ind w:left="3300" w:hanging="420"/>
      </w:pPr>
    </w:lvl>
    <w:lvl w:ilvl="7" w:tplc="04090019">
      <w:start w:val="1"/>
      <w:numFmt w:val="lowerLetter"/>
      <w:lvlText w:val="%8)"/>
      <w:lvlJc w:val="left"/>
      <w:pPr>
        <w:ind w:left="3720" w:hanging="420"/>
      </w:pPr>
    </w:lvl>
    <w:lvl w:ilvl="8" w:tplc="0409001B">
      <w:start w:val="1"/>
      <w:numFmt w:val="lowerRoman"/>
      <w:lvlText w:val="%9."/>
      <w:lvlJc w:val="right"/>
      <w:pPr>
        <w:ind w:left="4140" w:hanging="420"/>
      </w:pPr>
    </w:lvl>
  </w:abstractNum>
  <w:num w:numId="1" w16cid:durableId="6366405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75181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70322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975"/>
    <w:rsid w:val="0007065A"/>
    <w:rsid w:val="00127C58"/>
    <w:rsid w:val="001E21EA"/>
    <w:rsid w:val="00323379"/>
    <w:rsid w:val="00340697"/>
    <w:rsid w:val="004620C2"/>
    <w:rsid w:val="00557E0C"/>
    <w:rsid w:val="00704975"/>
    <w:rsid w:val="007846B3"/>
    <w:rsid w:val="007D2232"/>
    <w:rsid w:val="007E4377"/>
    <w:rsid w:val="0081075D"/>
    <w:rsid w:val="00826FC6"/>
    <w:rsid w:val="008510D9"/>
    <w:rsid w:val="0090382E"/>
    <w:rsid w:val="00995667"/>
    <w:rsid w:val="00A4598C"/>
    <w:rsid w:val="00B53029"/>
    <w:rsid w:val="00BB15F5"/>
    <w:rsid w:val="00C446C4"/>
    <w:rsid w:val="00D6569F"/>
    <w:rsid w:val="00DA4D3B"/>
    <w:rsid w:val="00E219BB"/>
    <w:rsid w:val="00EB0B71"/>
    <w:rsid w:val="00F3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660B93"/>
  <w15:chartTrackingRefBased/>
  <w15:docId w15:val="{16DDF62C-AB5F-48C9-A856-948EE9A3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0497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9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4975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4975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4975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497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497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497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04975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0497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049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04975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04975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04975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0497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0497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0497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049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04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497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049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49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049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49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4975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49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04975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704975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620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620C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620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620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1488</Words>
  <Characters>1518</Characters>
  <Application>Microsoft Office Word</Application>
  <DocSecurity>0</DocSecurity>
  <Lines>56</Lines>
  <Paragraphs>32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 鲍</dc:creator>
  <cp:keywords/>
  <dc:description/>
  <cp:lastModifiedBy>宇 鲍</cp:lastModifiedBy>
  <cp:revision>16</cp:revision>
  <dcterms:created xsi:type="dcterms:W3CDTF">2026-04-09T14:40:00Z</dcterms:created>
  <dcterms:modified xsi:type="dcterms:W3CDTF">2026-04-10T01:36:00Z</dcterms:modified>
</cp:coreProperties>
</file>