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B4546" w14:textId="77777777" w:rsidR="00C015F4" w:rsidRPr="00862A7A" w:rsidRDefault="00000000" w:rsidP="00862A7A">
      <w:pPr>
        <w:spacing w:line="276" w:lineRule="auto"/>
        <w:jc w:val="center"/>
        <w:rPr>
          <w:b/>
          <w:bCs/>
          <w:sz w:val="24"/>
        </w:rPr>
      </w:pPr>
      <w:r w:rsidRPr="00862A7A">
        <w:rPr>
          <w:rFonts w:hint="eastAsia"/>
          <w:b/>
          <w:bCs/>
          <w:sz w:val="24"/>
        </w:rPr>
        <w:t>创设情感场域，激活时代共鸣</w:t>
      </w:r>
    </w:p>
    <w:p w14:paraId="4B2D3A56" w14:textId="71C0A715" w:rsidR="00C015F4" w:rsidRPr="00862A7A" w:rsidRDefault="00000000" w:rsidP="00862A7A">
      <w:pPr>
        <w:spacing w:line="276" w:lineRule="auto"/>
        <w:jc w:val="center"/>
        <w:rPr>
          <w:b/>
          <w:bCs/>
          <w:sz w:val="24"/>
        </w:rPr>
      </w:pPr>
      <w:r w:rsidRPr="00862A7A">
        <w:rPr>
          <w:rFonts w:hint="eastAsia"/>
          <w:b/>
          <w:bCs/>
          <w:sz w:val="24"/>
        </w:rPr>
        <w:t>——</w:t>
      </w:r>
      <w:r w:rsidR="00862A7A" w:rsidRPr="00862A7A">
        <w:rPr>
          <w:rFonts w:hint="eastAsia"/>
          <w:b/>
          <w:bCs/>
          <w:sz w:val="24"/>
        </w:rPr>
        <w:t>革命传统作品</w:t>
      </w:r>
      <w:r w:rsidRPr="00862A7A">
        <w:rPr>
          <w:rFonts w:hint="eastAsia"/>
          <w:b/>
          <w:bCs/>
          <w:sz w:val="24"/>
        </w:rPr>
        <w:t>《荷花淀》《小二黑结婚》联读</w:t>
      </w:r>
      <w:r w:rsidR="00862A7A" w:rsidRPr="00862A7A">
        <w:rPr>
          <w:rFonts w:hint="eastAsia"/>
          <w:b/>
          <w:bCs/>
          <w:sz w:val="24"/>
        </w:rPr>
        <w:t>教学</w:t>
      </w:r>
      <w:r w:rsidR="00862A7A">
        <w:rPr>
          <w:rFonts w:hint="eastAsia"/>
          <w:b/>
          <w:bCs/>
          <w:sz w:val="24"/>
        </w:rPr>
        <w:t>设计与实施</w:t>
      </w:r>
    </w:p>
    <w:p w14:paraId="05A880C7" w14:textId="77777777" w:rsidR="00862A7A" w:rsidRPr="00862A7A" w:rsidRDefault="00862A7A">
      <w:pPr>
        <w:jc w:val="center"/>
        <w:rPr>
          <w:rFonts w:ascii="新宋体" w:eastAsia="新宋体" w:hAnsi="新宋体"/>
          <w:sz w:val="24"/>
        </w:rPr>
      </w:pPr>
    </w:p>
    <w:p w14:paraId="6762B97D" w14:textId="00778EA8" w:rsidR="00862A7A" w:rsidRPr="00862A7A" w:rsidRDefault="00862A7A">
      <w:pPr>
        <w:jc w:val="center"/>
        <w:rPr>
          <w:rFonts w:ascii="新宋体" w:eastAsia="新宋体" w:hAnsi="新宋体" w:hint="eastAsia"/>
          <w:sz w:val="24"/>
        </w:rPr>
      </w:pPr>
      <w:r w:rsidRPr="00862A7A">
        <w:rPr>
          <w:rFonts w:ascii="新宋体" w:eastAsia="新宋体" w:hAnsi="新宋体" w:hint="eastAsia"/>
          <w:sz w:val="24"/>
        </w:rPr>
        <w:t>上海市南洋中学  李心怡</w:t>
      </w:r>
    </w:p>
    <w:p w14:paraId="7855E413" w14:textId="77777777" w:rsidR="00C015F4" w:rsidRPr="00862A7A" w:rsidRDefault="00C015F4">
      <w:pPr>
        <w:rPr>
          <w:sz w:val="24"/>
        </w:rPr>
      </w:pPr>
    </w:p>
    <w:p w14:paraId="121B98F4" w14:textId="77777777" w:rsidR="00C015F4" w:rsidRPr="00862A7A" w:rsidRDefault="00000000">
      <w:pPr>
        <w:ind w:firstLineChars="200" w:firstLine="480"/>
        <w:rPr>
          <w:sz w:val="24"/>
        </w:rPr>
      </w:pPr>
      <w:r w:rsidRPr="00862A7A">
        <w:rPr>
          <w:rFonts w:hint="eastAsia"/>
          <w:sz w:val="24"/>
        </w:rPr>
        <w:t>摘要：由于当前高中语文“中国革命传统作品研习”任务群的教学实践中，学生对于革命文学的认知常陷于标签化和平面化。本文以《荷花淀》与《小二黑结婚》的联读教学为例，提出一种深入挖掘“落后人物”内在动机的教学策略。通过解构人物的“落后”标签，运用“化学方程式”等创新性学习支架，引导学生透视革命进程中个体心灵的挣扎与蜕变，从而理解革命叙事的多重面貌和觉醒的过渡性过程。本文旨在打破单一的英雄史诗叙事，让学生在对普通人命运的共情中，深刻体认革命对人性与社会的深度重塑，实现革命精神的活态传承。</w:t>
      </w:r>
    </w:p>
    <w:p w14:paraId="47C7796B" w14:textId="77777777" w:rsidR="00C015F4" w:rsidRPr="00862A7A" w:rsidRDefault="00000000">
      <w:pPr>
        <w:ind w:firstLineChars="200" w:firstLine="480"/>
        <w:rPr>
          <w:sz w:val="24"/>
        </w:rPr>
      </w:pPr>
      <w:r w:rsidRPr="00862A7A">
        <w:rPr>
          <w:rFonts w:hint="eastAsia"/>
          <w:sz w:val="24"/>
        </w:rPr>
        <w:t>关键词：中国革命传统作品研习；落后人物；动机挖掘</w:t>
      </w:r>
    </w:p>
    <w:p w14:paraId="4A89E13A" w14:textId="77777777" w:rsidR="00C015F4" w:rsidRPr="00862A7A" w:rsidRDefault="00C015F4">
      <w:pPr>
        <w:rPr>
          <w:sz w:val="24"/>
        </w:rPr>
      </w:pPr>
    </w:p>
    <w:p w14:paraId="2692425E" w14:textId="77777777" w:rsidR="00C015F4" w:rsidRPr="00862A7A" w:rsidRDefault="00000000">
      <w:pPr>
        <w:ind w:firstLineChars="200" w:firstLine="482"/>
        <w:rPr>
          <w:b/>
          <w:bCs/>
          <w:sz w:val="24"/>
        </w:rPr>
      </w:pPr>
      <w:r w:rsidRPr="00862A7A">
        <w:rPr>
          <w:rFonts w:hint="eastAsia"/>
          <w:b/>
          <w:bCs/>
          <w:sz w:val="24"/>
        </w:rPr>
        <w:t>一、问题的提出：“革命英雄”标签的背后</w:t>
      </w:r>
    </w:p>
    <w:p w14:paraId="5408D0E3" w14:textId="77777777" w:rsidR="00C015F4" w:rsidRPr="00862A7A" w:rsidRDefault="00000000">
      <w:pPr>
        <w:ind w:firstLineChars="200" w:firstLine="480"/>
        <w:rPr>
          <w:sz w:val="24"/>
        </w:rPr>
      </w:pPr>
      <w:r w:rsidRPr="00862A7A">
        <w:rPr>
          <w:rFonts w:hint="eastAsia"/>
          <w:sz w:val="24"/>
        </w:rPr>
        <w:t>2021</w:t>
      </w:r>
      <w:r w:rsidRPr="00862A7A">
        <w:rPr>
          <w:rFonts w:hint="eastAsia"/>
          <w:sz w:val="24"/>
        </w:rPr>
        <w:t>年教育部印发的《革命传统进中小学课程教材指南》提及，希望通过革命传统作品的学习“让学生联系自身思想实际和亲身见闻，深入理解和体认”革命精神，然而在当前现实的高中语文教学中，学生阅读革命传统文学存在一个普遍的困境，即仅能对文本进行刻板浅薄的理解和分析，能准确罗列出革命志士的高尚品格，却没办法深入理解笔下关键词背后所承载的情感，由于“自身思想实际和亲身见闻”距离革命年代甚远，因此也难以真正将自己置入那个艰苦而壮阔的时代背景中，去真正体悟到那段历史时期普通民众思想转变的复杂性、艰难性与曲折性。</w:t>
      </w:r>
    </w:p>
    <w:p w14:paraId="71426BE7" w14:textId="77777777" w:rsidR="00C015F4" w:rsidRPr="00862A7A" w:rsidRDefault="00000000">
      <w:pPr>
        <w:ind w:firstLineChars="200" w:firstLine="480"/>
        <w:rPr>
          <w:sz w:val="24"/>
        </w:rPr>
      </w:pPr>
      <w:r w:rsidRPr="00862A7A">
        <w:rPr>
          <w:rFonts w:hint="eastAsia"/>
          <w:sz w:val="24"/>
        </w:rPr>
        <w:t>这种阅读与体认的差距，知与情的分裂，使得很多学生对革命传统文学产生隔膜，难以真正理解文本和人物，也难以将课内的学习经验迁移至其他文本中。比如在阅读《丰子恺的运河》时，很多学生体悟不到丰子恺先生不愿为日军驱使，而被迫离开家乡背后的爱国之情，仅认为丰子恺先生是因为战火而离开家乡避难。而这种情感隔膜或许并非来自于学生对历史和过往的漠视，也并非完全来源于与这段历史距离的遥远，而是教学实践中存在的某些固有模式，无形中构建了一堵阻碍学生与文本深度对话的“高墙”。</w:t>
      </w:r>
    </w:p>
    <w:p w14:paraId="1C327C26" w14:textId="77777777" w:rsidR="00C015F4" w:rsidRPr="00862A7A" w:rsidRDefault="00000000">
      <w:pPr>
        <w:ind w:firstLineChars="200" w:firstLine="480"/>
        <w:rPr>
          <w:sz w:val="24"/>
        </w:rPr>
      </w:pPr>
      <w:r w:rsidRPr="00862A7A">
        <w:rPr>
          <w:rFonts w:hint="eastAsia"/>
          <w:sz w:val="24"/>
        </w:rPr>
        <w:t>其中最深远的问题或许是，革命叙事在教学和文学史中过度英雄化的倾向，《指南》中明确“语文课程教材中革命传统教育内容的主要载体为革命领袖、革命英雄、英雄模范等的代表性作品及反映他们生平事迹的传记、故事、文学作品”，“中国革命传统作品研习”任务群中所选取的篇目也确如其是，因此教学目标多为致力于让学生感受英雄人物无私无畏、勇敢坚定的革命精神。此种英雄叙事固然能起到榜样的作用，但也容易让学生产生隔膜和错觉，误认为革命者仿佛生来就拥有超凡的觉悟和钢铁般的意志，是不同于常人的，这种对“完美英雄”的刻画，反而使得学生难以代入，觉得英雄离自己过于遥远，甚至“不真实”。当英雄被置于神坛之上，其人性中的复杂性、脆弱性以及在觉醒过程中的艰难跋涉就被一笔带过或完全忽略。这种“神性化”的处理，恰恰消解了革命者作为“人”的血肉丰满，导致学生在情感上难以与他们产生共鸣，最终使得革命精神的感召力被削弱。</w:t>
      </w:r>
    </w:p>
    <w:p w14:paraId="1B6C0C61" w14:textId="69F11E0E" w:rsidR="00C015F4" w:rsidRPr="00862A7A" w:rsidRDefault="00000000" w:rsidP="00862A7A">
      <w:pPr>
        <w:ind w:firstLineChars="200" w:firstLine="480"/>
        <w:rPr>
          <w:rFonts w:hint="eastAsia"/>
          <w:sz w:val="24"/>
        </w:rPr>
      </w:pPr>
      <w:r w:rsidRPr="00862A7A">
        <w:rPr>
          <w:rFonts w:hint="eastAsia"/>
          <w:sz w:val="24"/>
        </w:rPr>
        <w:lastRenderedPageBreak/>
        <w:t>而《荷花淀》和《小二黑结婚》中存在的“落后人物”便提供了一个契机</w:t>
      </w:r>
      <w:r w:rsidRPr="00862A7A">
        <w:rPr>
          <w:rStyle w:val="a4"/>
          <w:rFonts w:hint="eastAsia"/>
          <w:sz w:val="24"/>
        </w:rPr>
        <w:footnoteReference w:id="1"/>
      </w:r>
      <w:r w:rsidRPr="00862A7A">
        <w:rPr>
          <w:rFonts w:hint="eastAsia"/>
          <w:sz w:val="24"/>
        </w:rPr>
        <w:t>，使得学生可以突破对于革命精神片面刻板的印象。在革命文学中，除了英雄人物，也存在着不少被称为“落后人物”的角色，如《荷花淀》中的水生嫂和女人们，亦如《小二黑结婚》中的二诸葛和三仙姑。在传统的教学中，这些人物往往被简单地贴上“封建迷信”、“愚昧落后”的标签，作为被批判和改造的对象。学生在阅读时，很容易形成一种二元对立的思维模式——英雄是完美的，落后人物是负面的。这种简单的价值判断阻碍了学生深入挖掘“落后人物”行为背后的深层动因和复杂人性。例如，二诸葛沉迷于算卦，这固然是荒诞可笑的。但若教学中再追问一句，为何如此？也许学生便能理解在那个朝不保夕、生命如草芥的动荡年代，一个普通农民面对自身命运的无力感，使得他不得不将对未来的一线希望，寄托于虚无缥缈的迷信来寻求心理慰藉，如此学生也能离那个时代更进一步，对于革命英雄人物起到的引领作用有更深切的体悟。唯有深入探讨革命是如何在旧思想、旧习惯的泥沼中艰难前行，如何逐步唤醒和改造那些被时代裹挟的普通民众，学生或许才能体会到革命进程的复杂性，真正看到革命力量的伟大与艰巨。</w:t>
      </w:r>
    </w:p>
    <w:p w14:paraId="1B23A65B" w14:textId="77777777" w:rsidR="00C015F4" w:rsidRPr="00862A7A" w:rsidRDefault="00000000">
      <w:pPr>
        <w:ind w:firstLineChars="200" w:firstLine="482"/>
        <w:rPr>
          <w:b/>
          <w:bCs/>
          <w:sz w:val="24"/>
        </w:rPr>
      </w:pPr>
      <w:r w:rsidRPr="00862A7A">
        <w:rPr>
          <w:rFonts w:hint="eastAsia"/>
          <w:b/>
          <w:bCs/>
          <w:sz w:val="24"/>
        </w:rPr>
        <w:t>二、学习支架的搭建：互文与跨学科</w:t>
      </w:r>
    </w:p>
    <w:p w14:paraId="41B19E9D" w14:textId="77777777" w:rsidR="00C015F4" w:rsidRPr="00862A7A" w:rsidRDefault="00000000">
      <w:pPr>
        <w:ind w:firstLineChars="200" w:firstLine="480"/>
        <w:rPr>
          <w:sz w:val="24"/>
        </w:rPr>
      </w:pPr>
      <w:r w:rsidRPr="00862A7A">
        <w:rPr>
          <w:rFonts w:hint="eastAsia"/>
          <w:sz w:val="24"/>
        </w:rPr>
        <w:t>在文学史上，孙犁与赵树理各自代表着中国革命文学的重要流派，孙犁以其清雅、诗意的笔触，描绘了战争背景下人性的光辉和美好理想，《荷花淀》展现的便是在纯洁美好的环境中觉醒的“理想新人”。与之形成鲜明对照的是，赵树理则以其通俗、幽默、富有地方色彩的“山药蛋派”风格，深入剖析了革命洪流中普通农民的思想困境与生活实态，《小二黑结婚》刻画了在旧秩序惯性中挣扎的“落后旧人”。教材将这两部风格迥异但又内在关联的作品进行联读，除了鉴赏其文学风格的差异外，更深层的考量或许在于通过这种互补性的阅读，构建一个更为完整和立体的革命叙事场域，使学生认识到革命并非一蹴而就的完美进程，而是一个会经历阵痛的、复杂多元的过程。</w:t>
      </w:r>
    </w:p>
    <w:p w14:paraId="561ED7A8" w14:textId="77777777" w:rsidR="00C015F4" w:rsidRPr="00862A7A" w:rsidRDefault="00000000">
      <w:pPr>
        <w:ind w:firstLineChars="200" w:firstLine="480"/>
        <w:rPr>
          <w:sz w:val="24"/>
        </w:rPr>
      </w:pPr>
      <w:r w:rsidRPr="00862A7A">
        <w:rPr>
          <w:rFonts w:hint="eastAsia"/>
          <w:sz w:val="24"/>
        </w:rPr>
        <w:t>因此在教学过程中侧重于“动机挖掘”或许可以帮助学生深入理解这种复杂性，是引导学生情感入场和认知深化的关键环节。在教学实践中，不再让学生停留在“人物做了什么”，或是分析人物、情节和环境的表层叙述，而是引导他们去探究“人物为什么会这样做”。而在这个过程中便需要提供必要的支架，来让学生能够进一步分析：</w:t>
      </w:r>
    </w:p>
    <w:p w14:paraId="78443413" w14:textId="77777777" w:rsidR="00C015F4" w:rsidRPr="00862A7A" w:rsidRDefault="00000000">
      <w:pPr>
        <w:ind w:firstLineChars="200" w:firstLine="480"/>
        <w:rPr>
          <w:sz w:val="24"/>
        </w:rPr>
      </w:pPr>
      <w:r w:rsidRPr="00862A7A">
        <w:rPr>
          <w:rFonts w:hint="eastAsia"/>
          <w:sz w:val="24"/>
        </w:rPr>
        <w:t>一是“创作背景支架”，通过补充孙犁在冀中抗战根据地的亲身经历与赵树理在晋冀鲁豫边区农村土改实践的创作背景，让学生理解作品并非凭空虚构，而是有其深刻的现实土壤；</w:t>
      </w:r>
    </w:p>
    <w:p w14:paraId="6B8EBA41" w14:textId="77777777" w:rsidR="00C015F4" w:rsidRPr="00862A7A" w:rsidRDefault="00000000">
      <w:pPr>
        <w:ind w:firstLineChars="200" w:firstLine="480"/>
        <w:rPr>
          <w:sz w:val="24"/>
        </w:rPr>
      </w:pPr>
      <w:r w:rsidRPr="00862A7A">
        <w:rPr>
          <w:rFonts w:hint="eastAsia"/>
          <w:sz w:val="24"/>
        </w:rPr>
        <w:t>二是“社会历史支架”，通过补充二十世纪四十年代华北农村的经济状况、社会结构、封建礼教的顽固性以及初建时期的政策推行背景，帮助学生还原那个时代的真实语境。例如，对于二诸葛的“迷信”，仅仅斥之为“愚昧”是远远不够的。只有当学生了解到在旧社会，农民生活缺乏保障，天灾人祸频繁，且缺乏科学教育时，他们才能理解二诸葛沉溺于“命相”背后那种对命运的无奈、对未来的恐惧以及对未知世界的一种原始而朴素的求生欲。这种对“落后”行为深层动机的理解，并非认同其观念，而是为学生与人物建立情感连接奠定基础。</w:t>
      </w:r>
    </w:p>
    <w:p w14:paraId="5D8C4B78" w14:textId="77777777" w:rsidR="00C015F4" w:rsidRPr="00862A7A" w:rsidRDefault="00000000">
      <w:pPr>
        <w:ind w:firstLineChars="200" w:firstLine="480"/>
        <w:rPr>
          <w:sz w:val="24"/>
        </w:rPr>
      </w:pPr>
      <w:r w:rsidRPr="00862A7A">
        <w:rPr>
          <w:rFonts w:hint="eastAsia"/>
          <w:sz w:val="24"/>
        </w:rPr>
        <w:t>三是“逻辑分析支架”，为了突破单一要素影响的思维模式，或许可以引入“化学方程式”这一跨学科的学习支架，调用学生熟悉的化学分析模式，将抽象的人物思想转变过程具象化为逻辑推演。这一尝试并非简单地将文学人物符号化，</w:t>
      </w:r>
      <w:r w:rsidRPr="00862A7A">
        <w:rPr>
          <w:rFonts w:hint="eastAsia"/>
          <w:sz w:val="24"/>
        </w:rPr>
        <w:lastRenderedPageBreak/>
        <w:t>而是试图提供一个分析工具，迫使学生深入文本细节，去识别人物转变过程中不同因素的影响和重要顺序，并识别哪些因素仅起到了催化剂的作用，并不是决定性的因素。这种具象化的分析方式，尝试将学生从宏大叙事中拉回到具体的文本语境中，让他们在分析人物行为和心理变化时，不再空泛地套用概念，而是要找出文本中支撑其转变的具体因素。例如，水生嫂的觉醒，并非一朝一夕完成，而是其原有淳朴、坚韧的农民底色与抗战环境、丈夫言行、自身遭遇等外部因素共同作用的结果。通过构建这种“化学方程式”，学生不仅能够理清人物转变的脉络，更能在对比不同人物的方程式时，发现革命进程中个体觉醒的多元路径和复杂性，发现同样是“落后”人物，在不同文本中的差异，从而能深入理解作家的构思意图。</w:t>
      </w:r>
    </w:p>
    <w:p w14:paraId="05EA6730" w14:textId="621AE92F" w:rsidR="00C015F4" w:rsidRPr="00862A7A" w:rsidRDefault="00000000" w:rsidP="00862A7A">
      <w:pPr>
        <w:ind w:firstLineChars="200" w:firstLine="480"/>
        <w:rPr>
          <w:rFonts w:hint="eastAsia"/>
          <w:sz w:val="24"/>
        </w:rPr>
      </w:pPr>
      <w:r w:rsidRPr="00862A7A">
        <w:rPr>
          <w:rFonts w:hint="eastAsia"/>
          <w:sz w:val="24"/>
        </w:rPr>
        <w:t>这种以动机挖掘为核心，以互文性阅读和跨学科支架为手段的教学设想，旨在使学生真正沉浸于文本之中，与那段历史中的“人”实现深层对话，从而在情感上与革命精神形成共振。</w:t>
      </w:r>
    </w:p>
    <w:p w14:paraId="0C8550D1" w14:textId="4785C581" w:rsidR="00C015F4" w:rsidRPr="00862A7A" w:rsidRDefault="00000000">
      <w:pPr>
        <w:ind w:firstLineChars="200" w:firstLine="482"/>
        <w:rPr>
          <w:b/>
          <w:bCs/>
          <w:sz w:val="24"/>
        </w:rPr>
      </w:pPr>
      <w:r w:rsidRPr="00862A7A">
        <w:rPr>
          <w:rFonts w:hint="eastAsia"/>
          <w:b/>
          <w:bCs/>
          <w:sz w:val="24"/>
        </w:rPr>
        <w:t>三、</w:t>
      </w:r>
      <w:r w:rsidR="00862A7A">
        <w:rPr>
          <w:rFonts w:hint="eastAsia"/>
          <w:b/>
          <w:bCs/>
          <w:sz w:val="24"/>
        </w:rPr>
        <w:t>教学</w:t>
      </w:r>
      <w:r w:rsidRPr="00862A7A">
        <w:rPr>
          <w:rFonts w:hint="eastAsia"/>
          <w:b/>
          <w:bCs/>
          <w:sz w:val="24"/>
        </w:rPr>
        <w:t>设计与实施</w:t>
      </w:r>
    </w:p>
    <w:p w14:paraId="717A1420" w14:textId="77777777" w:rsidR="00C015F4" w:rsidRPr="00862A7A" w:rsidRDefault="00000000">
      <w:pPr>
        <w:ind w:firstLineChars="200" w:firstLine="480"/>
        <w:rPr>
          <w:sz w:val="24"/>
        </w:rPr>
      </w:pPr>
      <w:r w:rsidRPr="00862A7A">
        <w:rPr>
          <w:rFonts w:hint="eastAsia"/>
          <w:sz w:val="24"/>
        </w:rPr>
        <w:t>在教学实践环节，笔者旨在通过一系列活动，引导学生层层递进，从对人物“落后”行为的表层感知，深入到其背后复杂的情感逻辑和时代语境，最终对人物的“新生”过程进行具象化分析和深度体悟。</w:t>
      </w:r>
    </w:p>
    <w:p w14:paraId="73630449" w14:textId="23FC98DB" w:rsidR="00C015F4" w:rsidRPr="00862A7A" w:rsidRDefault="00000000">
      <w:pPr>
        <w:ind w:firstLineChars="200" w:firstLine="482"/>
        <w:rPr>
          <w:b/>
          <w:bCs/>
          <w:sz w:val="24"/>
        </w:rPr>
      </w:pPr>
      <w:r w:rsidRPr="00862A7A">
        <w:rPr>
          <w:rFonts w:hint="eastAsia"/>
          <w:b/>
          <w:bCs/>
          <w:sz w:val="24"/>
        </w:rPr>
        <w:t>活动一</w:t>
      </w:r>
      <w:r w:rsidR="00862A7A">
        <w:rPr>
          <w:rFonts w:hint="eastAsia"/>
          <w:b/>
          <w:bCs/>
          <w:sz w:val="24"/>
        </w:rPr>
        <w:t>、</w:t>
      </w:r>
      <w:r w:rsidRPr="00862A7A">
        <w:rPr>
          <w:rFonts w:hint="eastAsia"/>
          <w:b/>
          <w:bCs/>
          <w:sz w:val="24"/>
        </w:rPr>
        <w:t>品读人物的“落后”</w:t>
      </w:r>
    </w:p>
    <w:p w14:paraId="38A85DAE" w14:textId="77777777" w:rsidR="00C015F4" w:rsidRPr="00862A7A" w:rsidRDefault="00000000">
      <w:pPr>
        <w:ind w:firstLineChars="200" w:firstLine="480"/>
        <w:rPr>
          <w:sz w:val="24"/>
        </w:rPr>
      </w:pPr>
      <w:r w:rsidRPr="00862A7A">
        <w:rPr>
          <w:rFonts w:hint="eastAsia"/>
          <w:sz w:val="24"/>
        </w:rPr>
        <w:t>两篇文章风格迥异，但都同样呈现了人物从“落后”到“新生”的转变，当《荷花淀》的水生嫂及女人们放下苇眉子端起枪杆，《小二黑结婚》的二诸葛及三仙姑收起黄历和香案，人物都在逐步摆脱“落后”的标签，然而这一过程，似乎与学生们的生活经验产生了裂隙，因此学生在预习过程中，便出现了真实的疑问：这些转变是否过于理想化？革命文学一定要塑造这样的范式吗？是以在这一阶段，不急于灌输新生力量的强大与必然，而是引导学生重新审视两者的“落后”概念是否一致？</w:t>
      </w:r>
    </w:p>
    <w:p w14:paraId="2E1EAB1D" w14:textId="77777777" w:rsidR="00C015F4" w:rsidRPr="00862A7A" w:rsidRDefault="00000000">
      <w:pPr>
        <w:ind w:firstLineChars="200" w:firstLine="480"/>
        <w:rPr>
          <w:sz w:val="24"/>
        </w:rPr>
      </w:pPr>
      <w:r w:rsidRPr="00862A7A">
        <w:rPr>
          <w:sz w:val="24"/>
        </w:rPr>
        <w:t>《荷花淀》中的女人们落后之处主要是与丈夫们英勇投身革命保家卫国相比，女人们更多停留于在意自己的小家及私情</w:t>
      </w:r>
      <w:r w:rsidRPr="00862A7A">
        <w:rPr>
          <w:rFonts w:hint="eastAsia"/>
          <w:sz w:val="24"/>
        </w:rPr>
        <w:t>，在</w:t>
      </w:r>
      <w:r w:rsidRPr="00862A7A">
        <w:rPr>
          <w:sz w:val="24"/>
        </w:rPr>
        <w:t>家庭伦理</w:t>
      </w:r>
      <w:r w:rsidRPr="00862A7A">
        <w:rPr>
          <w:rFonts w:hint="eastAsia"/>
          <w:sz w:val="24"/>
        </w:rPr>
        <w:t>中注重于</w:t>
      </w:r>
      <w:r w:rsidRPr="00862A7A">
        <w:rPr>
          <w:sz w:val="24"/>
        </w:rPr>
        <w:t>个人情感，因此会阻拦丈夫去部队、冲动探夫、不顾大局、没有把集体利益放在首位、不理解战士们的革命热情等</w:t>
      </w:r>
      <w:r w:rsidRPr="00862A7A">
        <w:rPr>
          <w:rFonts w:hint="eastAsia"/>
          <w:sz w:val="24"/>
        </w:rPr>
        <w:t>，</w:t>
      </w:r>
      <w:r w:rsidRPr="00862A7A">
        <w:rPr>
          <w:sz w:val="24"/>
        </w:rPr>
        <w:t>归根结底可以概括为革命觉悟不够高。《小二黑结婚》中二诸葛和三仙姑的落后</w:t>
      </w:r>
      <w:r w:rsidRPr="00862A7A">
        <w:rPr>
          <w:rFonts w:hint="eastAsia"/>
          <w:sz w:val="24"/>
        </w:rPr>
        <w:t>则</w:t>
      </w:r>
      <w:r w:rsidRPr="00862A7A">
        <w:rPr>
          <w:sz w:val="24"/>
        </w:rPr>
        <w:t>主要是停留在封建迷信、信奉旧社会的理法制度、不理解革命也没有接受新社会的理法、阻挠进步行为和思想，可以概括为思想解放没能跟上革命</w:t>
      </w:r>
      <w:r w:rsidRPr="00862A7A">
        <w:rPr>
          <w:rFonts w:hint="eastAsia"/>
          <w:sz w:val="24"/>
        </w:rPr>
        <w:t>的</w:t>
      </w:r>
      <w:r w:rsidRPr="00862A7A">
        <w:rPr>
          <w:sz w:val="24"/>
        </w:rPr>
        <w:t>脚步。</w:t>
      </w:r>
    </w:p>
    <w:p w14:paraId="69973546" w14:textId="77777777" w:rsidR="00C015F4" w:rsidRPr="00862A7A" w:rsidRDefault="00000000">
      <w:pPr>
        <w:ind w:firstLineChars="200" w:firstLine="480"/>
        <w:rPr>
          <w:sz w:val="24"/>
        </w:rPr>
      </w:pPr>
      <w:r w:rsidRPr="00862A7A">
        <w:rPr>
          <w:sz w:val="24"/>
        </w:rPr>
        <w:t>但落后事实上是一个相对而言的概念，在人物的比较过程中，</w:t>
      </w:r>
      <w:r w:rsidRPr="00862A7A">
        <w:rPr>
          <w:rFonts w:hint="eastAsia"/>
          <w:sz w:val="24"/>
        </w:rPr>
        <w:t>才会</w:t>
      </w:r>
      <w:r w:rsidRPr="00862A7A">
        <w:rPr>
          <w:sz w:val="24"/>
        </w:rPr>
        <w:t>发现有一部分人物稍显落后，比如按照情理而言，女性由于身体客观条件不如男性，因此水生嫂们编席积极生产、照顾家里，已经也是在间接支持革命战争了，但是在</w:t>
      </w:r>
      <w:r w:rsidRPr="00862A7A">
        <w:rPr>
          <w:sz w:val="24"/>
        </w:rPr>
        <w:t>“</w:t>
      </w:r>
      <w:r w:rsidRPr="00862A7A">
        <w:rPr>
          <w:sz w:val="24"/>
        </w:rPr>
        <w:t>全民抗战</w:t>
      </w:r>
      <w:r w:rsidRPr="00862A7A">
        <w:rPr>
          <w:sz w:val="24"/>
        </w:rPr>
        <w:t>”</w:t>
      </w:r>
      <w:r w:rsidRPr="00862A7A">
        <w:rPr>
          <w:sz w:val="24"/>
        </w:rPr>
        <w:t>的战争语境下，女性</w:t>
      </w:r>
      <w:r w:rsidRPr="00862A7A">
        <w:rPr>
          <w:sz w:val="24"/>
        </w:rPr>
        <w:t>“</w:t>
      </w:r>
      <w:r w:rsidRPr="00862A7A">
        <w:rPr>
          <w:sz w:val="24"/>
        </w:rPr>
        <w:t>进步</w:t>
      </w:r>
      <w:r w:rsidRPr="00862A7A">
        <w:rPr>
          <w:sz w:val="24"/>
        </w:rPr>
        <w:t>”</w:t>
      </w:r>
      <w:r w:rsidRPr="00862A7A">
        <w:rPr>
          <w:sz w:val="24"/>
        </w:rPr>
        <w:t>与否却被置于和男性相同的评价体系中，因此在积极参与战斗的丈夫们的比照下，女人们稍显落后。但是跟二诸葛们比起来，她们好歹没有阻挠革命进步行为。</w:t>
      </w:r>
    </w:p>
    <w:p w14:paraId="68E3B20B" w14:textId="77777777" w:rsidR="00C015F4" w:rsidRPr="00862A7A" w:rsidRDefault="00000000">
      <w:pPr>
        <w:ind w:firstLineChars="200" w:firstLine="480"/>
        <w:rPr>
          <w:sz w:val="24"/>
        </w:rPr>
      </w:pPr>
      <w:r w:rsidRPr="00862A7A">
        <w:rPr>
          <w:rFonts w:hint="eastAsia"/>
          <w:sz w:val="24"/>
        </w:rPr>
        <w:t>在那个“国破家亡”的特殊历史时期，对于广大农村妇女而言，“家”是她们生活的全部重心，是她们情感与物质的唯一寄托。她们对丈夫的牵挂、对家庭的守护，是人类最基本的情感需求。在“全民抗战”的宏大语境下，这种对“小家”的坚守被定义为“落后”，其背后隐藏着革命对个体情感的巨大动员力和社会观念的深刻变革。通过这种分析，学生能够初步理解，所谓的“落后”并非绝对的贬义词，而是特定历史条件下，人性本能在旧有社会结构中的自然投射。</w:t>
      </w:r>
    </w:p>
    <w:p w14:paraId="02323441" w14:textId="77777777" w:rsidR="00C015F4" w:rsidRPr="00862A7A" w:rsidRDefault="00000000">
      <w:pPr>
        <w:ind w:firstLineChars="200" w:firstLine="480"/>
        <w:rPr>
          <w:sz w:val="24"/>
        </w:rPr>
      </w:pPr>
      <w:r w:rsidRPr="00862A7A">
        <w:rPr>
          <w:sz w:val="24"/>
        </w:rPr>
        <w:lastRenderedPageBreak/>
        <w:t>《小二黑结婚》尽管也是在战争年代，但是所选取的语境，更多是侧重战争后方的日常生活范畴。</w:t>
      </w:r>
      <w:r w:rsidRPr="00862A7A">
        <w:rPr>
          <w:rFonts w:hint="eastAsia"/>
          <w:sz w:val="24"/>
        </w:rPr>
        <w:t>可以</w:t>
      </w:r>
      <w:r w:rsidRPr="00862A7A">
        <w:rPr>
          <w:sz w:val="24"/>
        </w:rPr>
        <w:t>引导学生结合赵树理的创作意图和当时的农村社会背景来思考：二诸葛沉迷于算卦占卜，并非他生性顽劣，而是在旧社会动荡不安、生命缺乏保障的背景下，普通农民面对自身命运的无力感和对未来的一线希望，只能寄托于虚无缥缈的迷信来寻求心理慰藉。他的</w:t>
      </w:r>
      <w:r w:rsidRPr="00862A7A">
        <w:rPr>
          <w:sz w:val="24"/>
        </w:rPr>
        <w:t>“</w:t>
      </w:r>
      <w:r w:rsidRPr="00862A7A">
        <w:rPr>
          <w:sz w:val="24"/>
        </w:rPr>
        <w:t>落后</w:t>
      </w:r>
      <w:r w:rsidRPr="00862A7A">
        <w:rPr>
          <w:sz w:val="24"/>
        </w:rPr>
        <w:t>”</w:t>
      </w:r>
      <w:r w:rsidRPr="00862A7A">
        <w:rPr>
          <w:sz w:val="24"/>
        </w:rPr>
        <w:t>体现的是一种旧时代下的生存惯性。三仙姑的打扮与言行，则更多地反映了旧社会女性在缺乏自我价值实现途径时，通过依附迷信权威来获取存在感和话语权的畸形心理。通过深挖这些人物行为背后的心理动机和时代烙印，学生能够发现，二诸葛和三仙姑并非天生的反派，他们更是被旧时代旋涡裹挟、试图在动荡中维持自身秩序的</w:t>
      </w:r>
      <w:r w:rsidRPr="00862A7A">
        <w:rPr>
          <w:sz w:val="24"/>
        </w:rPr>
        <w:t>“</w:t>
      </w:r>
      <w:r w:rsidRPr="00862A7A">
        <w:rPr>
          <w:sz w:val="24"/>
        </w:rPr>
        <w:t>踉跄行进者</w:t>
      </w:r>
      <w:r w:rsidRPr="00862A7A">
        <w:rPr>
          <w:sz w:val="24"/>
        </w:rPr>
        <w:t>”</w:t>
      </w:r>
      <w:r w:rsidRPr="00862A7A">
        <w:rPr>
          <w:sz w:val="24"/>
        </w:rPr>
        <w:t>。这种对</w:t>
      </w:r>
      <w:r w:rsidRPr="00862A7A">
        <w:rPr>
          <w:sz w:val="24"/>
        </w:rPr>
        <w:t>“</w:t>
      </w:r>
      <w:r w:rsidRPr="00862A7A">
        <w:rPr>
          <w:sz w:val="24"/>
        </w:rPr>
        <w:t>落后</w:t>
      </w:r>
      <w:r w:rsidRPr="00862A7A">
        <w:rPr>
          <w:sz w:val="24"/>
        </w:rPr>
        <w:t>”</w:t>
      </w:r>
      <w:r w:rsidRPr="00862A7A">
        <w:rPr>
          <w:sz w:val="24"/>
        </w:rPr>
        <w:t>的深度同情与还原，成功地打破了学生与文本间的刻板印象和情感壁垒，为他们后续理解人物的</w:t>
      </w:r>
      <w:r w:rsidRPr="00862A7A">
        <w:rPr>
          <w:sz w:val="24"/>
        </w:rPr>
        <w:t>“</w:t>
      </w:r>
      <w:r w:rsidRPr="00862A7A">
        <w:rPr>
          <w:sz w:val="24"/>
        </w:rPr>
        <w:t>新生</w:t>
      </w:r>
      <w:r w:rsidRPr="00862A7A">
        <w:rPr>
          <w:sz w:val="24"/>
        </w:rPr>
        <w:t>”</w:t>
      </w:r>
      <w:r w:rsidRPr="00862A7A">
        <w:rPr>
          <w:sz w:val="24"/>
        </w:rPr>
        <w:t>奠定了坚实的基础。</w:t>
      </w:r>
    </w:p>
    <w:p w14:paraId="5CFFE2B3" w14:textId="71F6CBFD" w:rsidR="00C015F4" w:rsidRPr="00862A7A" w:rsidRDefault="00000000" w:rsidP="00862A7A">
      <w:pPr>
        <w:ind w:firstLineChars="200" w:firstLine="480"/>
        <w:rPr>
          <w:rFonts w:hint="eastAsia"/>
          <w:sz w:val="24"/>
        </w:rPr>
      </w:pPr>
      <w:r w:rsidRPr="00862A7A">
        <w:rPr>
          <w:sz w:val="24"/>
        </w:rPr>
        <w:t>如果说水生嫂们主动参与斗争，是获得了进步，而《小二黑结婚》按道理要解放思想，接受新的理法制度才算新生，</w:t>
      </w:r>
      <w:r w:rsidRPr="00862A7A">
        <w:rPr>
          <w:rFonts w:hint="eastAsia"/>
          <w:sz w:val="24"/>
        </w:rPr>
        <w:t>然而二诸葛和三仙姑事实上也并没有</w:t>
      </w:r>
      <w:r w:rsidRPr="00862A7A">
        <w:rPr>
          <w:sz w:val="24"/>
        </w:rPr>
        <w:t>打心底里接受了新社会的法则</w:t>
      </w:r>
      <w:r w:rsidRPr="00862A7A">
        <w:rPr>
          <w:rFonts w:hint="eastAsia"/>
          <w:sz w:val="24"/>
        </w:rPr>
        <w:t>，</w:t>
      </w:r>
      <w:r w:rsidRPr="00862A7A">
        <w:rPr>
          <w:sz w:val="24"/>
        </w:rPr>
        <w:t>他们发生的转变，更多的是，从神仙，变回了凡人、两位老人。</w:t>
      </w:r>
    </w:p>
    <w:p w14:paraId="5FA8DFF7" w14:textId="2C80CB6C" w:rsidR="00C015F4" w:rsidRPr="00862A7A" w:rsidRDefault="00000000">
      <w:pPr>
        <w:ind w:firstLineChars="200" w:firstLine="482"/>
        <w:rPr>
          <w:b/>
          <w:bCs/>
          <w:sz w:val="24"/>
        </w:rPr>
      </w:pPr>
      <w:r w:rsidRPr="00862A7A">
        <w:rPr>
          <w:rFonts w:hint="eastAsia"/>
          <w:b/>
          <w:bCs/>
          <w:sz w:val="24"/>
        </w:rPr>
        <w:t>活动二</w:t>
      </w:r>
      <w:r w:rsidR="00862A7A">
        <w:rPr>
          <w:rFonts w:hint="eastAsia"/>
          <w:b/>
          <w:bCs/>
          <w:sz w:val="24"/>
        </w:rPr>
        <w:t>、</w:t>
      </w:r>
      <w:r w:rsidRPr="00862A7A">
        <w:rPr>
          <w:rFonts w:hint="eastAsia"/>
          <w:b/>
          <w:bCs/>
          <w:sz w:val="24"/>
        </w:rPr>
        <w:t>见证人物的“新生”</w:t>
      </w:r>
    </w:p>
    <w:p w14:paraId="6CA4F8FE" w14:textId="77777777" w:rsidR="00C015F4" w:rsidRPr="00862A7A" w:rsidRDefault="00000000">
      <w:pPr>
        <w:ind w:firstLineChars="200" w:firstLine="480"/>
        <w:rPr>
          <w:sz w:val="24"/>
        </w:rPr>
      </w:pPr>
      <w:r w:rsidRPr="00862A7A">
        <w:rPr>
          <w:rFonts w:hint="eastAsia"/>
          <w:sz w:val="24"/>
        </w:rPr>
        <w:t>在学生对人物的“落后”表现有了立体化的理解后，可以引导他们尝试为水生嫂和二诸葛等人填写“人物转变方程式”。这一具象化的分析工具，要求学生精准识别“反应物”（人物原有特质与思想、决定转变发生的内部动因）、“催化剂”（加速转变发生的外部事件）以及“生成物”（转变后形成的新人格）。</w:t>
      </w:r>
    </w:p>
    <w:p w14:paraId="0FF1288E" w14:textId="77777777" w:rsidR="00C015F4" w:rsidRPr="00862A7A" w:rsidRDefault="00000000">
      <w:pPr>
        <w:rPr>
          <w:sz w:val="24"/>
        </w:rPr>
      </w:pPr>
      <w:r w:rsidRPr="00862A7A">
        <w:rPr>
          <w:rFonts w:hint="eastAsia"/>
          <w:noProof/>
          <w:sz w:val="24"/>
        </w:rPr>
        <w:drawing>
          <wp:anchor distT="0" distB="0" distL="114300" distR="114300" simplePos="0" relativeHeight="251659264" behindDoc="0" locked="0" layoutInCell="1" allowOverlap="1" wp14:anchorId="30CC0A53" wp14:editId="1EB4CD20">
            <wp:simplePos x="0" y="0"/>
            <wp:positionH relativeFrom="column">
              <wp:posOffset>46990</wp:posOffset>
            </wp:positionH>
            <wp:positionV relativeFrom="paragraph">
              <wp:posOffset>90805</wp:posOffset>
            </wp:positionV>
            <wp:extent cx="5272405" cy="1153795"/>
            <wp:effectExtent l="0" t="0" r="10795" b="14605"/>
            <wp:wrapSquare wrapText="bothSides"/>
            <wp:docPr id="1" name="图片 1" descr="截屏2026-04-08 22.5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截屏2026-04-08 22.59.19"/>
                    <pic:cNvPicPr>
                      <a:picLocks noChangeAspect="1"/>
                    </pic:cNvPicPr>
                  </pic:nvPicPr>
                  <pic:blipFill>
                    <a:blip r:embed="rId6"/>
                    <a:stretch>
                      <a:fillRect/>
                    </a:stretch>
                  </pic:blipFill>
                  <pic:spPr>
                    <a:xfrm>
                      <a:off x="0" y="0"/>
                      <a:ext cx="5272405" cy="1153795"/>
                    </a:xfrm>
                    <a:prstGeom prst="rect">
                      <a:avLst/>
                    </a:prstGeom>
                  </pic:spPr>
                </pic:pic>
              </a:graphicData>
            </a:graphic>
          </wp:anchor>
        </w:drawing>
      </w:r>
    </w:p>
    <w:p w14:paraId="31AD81DD" w14:textId="77777777" w:rsidR="00C015F4" w:rsidRPr="00862A7A" w:rsidRDefault="00000000">
      <w:pPr>
        <w:ind w:firstLineChars="200" w:firstLine="480"/>
        <w:rPr>
          <w:sz w:val="24"/>
        </w:rPr>
      </w:pPr>
      <w:r w:rsidRPr="00862A7A">
        <w:rPr>
          <w:rFonts w:hint="eastAsia"/>
          <w:sz w:val="24"/>
        </w:rPr>
        <w:t>对于水生嫂及女人们，她们的转变方程式可以概括为：传统农妇</w:t>
      </w:r>
      <w:r w:rsidRPr="00862A7A">
        <w:rPr>
          <w:rFonts w:hint="eastAsia"/>
          <w:sz w:val="24"/>
        </w:rPr>
        <w:t>+</w:t>
      </w:r>
      <w:r w:rsidRPr="00862A7A">
        <w:rPr>
          <w:rFonts w:hint="eastAsia"/>
          <w:sz w:val="24"/>
        </w:rPr>
        <w:t>（家国情感</w:t>
      </w:r>
      <w:r w:rsidRPr="00862A7A">
        <w:rPr>
          <w:rFonts w:hint="eastAsia"/>
          <w:sz w:val="24"/>
        </w:rPr>
        <w:t>+</w:t>
      </w:r>
      <w:r w:rsidRPr="00862A7A">
        <w:rPr>
          <w:rFonts w:hint="eastAsia"/>
          <w:sz w:val="24"/>
        </w:rPr>
        <w:t>身体素养</w:t>
      </w:r>
      <w:r w:rsidRPr="00862A7A">
        <w:rPr>
          <w:rFonts w:hint="eastAsia"/>
          <w:sz w:val="24"/>
        </w:rPr>
        <w:t>+</w:t>
      </w:r>
      <w:r w:rsidRPr="00862A7A">
        <w:rPr>
          <w:rFonts w:hint="eastAsia"/>
          <w:sz w:val="24"/>
        </w:rPr>
        <w:t>淳朴底色）</w:t>
      </w:r>
      <w:r w:rsidRPr="00862A7A">
        <w:rPr>
          <w:rFonts w:hint="eastAsia"/>
          <w:sz w:val="24"/>
        </w:rPr>
        <w:t>[</w:t>
      </w:r>
      <w:r w:rsidRPr="00862A7A">
        <w:rPr>
          <w:rFonts w:hint="eastAsia"/>
          <w:sz w:val="24"/>
        </w:rPr>
        <w:t>原有特质</w:t>
      </w:r>
      <w:r w:rsidRPr="00862A7A">
        <w:rPr>
          <w:rFonts w:hint="eastAsia"/>
          <w:sz w:val="24"/>
        </w:rPr>
        <w:t>]+</w:t>
      </w:r>
      <w:r w:rsidRPr="00862A7A">
        <w:rPr>
          <w:rFonts w:hint="eastAsia"/>
          <w:sz w:val="24"/>
        </w:rPr>
        <w:t>（丈夫榜样</w:t>
      </w:r>
      <w:r w:rsidRPr="00862A7A">
        <w:rPr>
          <w:rFonts w:hint="eastAsia"/>
          <w:sz w:val="24"/>
        </w:rPr>
        <w:t>+</w:t>
      </w:r>
      <w:r w:rsidRPr="00862A7A">
        <w:rPr>
          <w:rFonts w:hint="eastAsia"/>
          <w:sz w:val="24"/>
        </w:rPr>
        <w:t>不甘示弱）</w:t>
      </w:r>
      <w:r w:rsidRPr="00862A7A">
        <w:rPr>
          <w:rFonts w:hint="eastAsia"/>
          <w:sz w:val="24"/>
        </w:rPr>
        <w:t>[</w:t>
      </w:r>
      <w:r w:rsidRPr="00862A7A">
        <w:rPr>
          <w:rFonts w:hint="eastAsia"/>
          <w:sz w:val="24"/>
        </w:rPr>
        <w:t>外部刺激</w:t>
      </w:r>
      <w:r w:rsidRPr="00862A7A">
        <w:rPr>
          <w:rFonts w:hint="eastAsia"/>
          <w:sz w:val="24"/>
        </w:rPr>
        <w:t>]+</w:t>
      </w:r>
      <w:r w:rsidRPr="00862A7A">
        <w:rPr>
          <w:rFonts w:hint="eastAsia"/>
          <w:sz w:val="24"/>
        </w:rPr>
        <w:t>探夫遇敌（催化剂）→革命战士。学生通过分析发现，水生嫂的转变并非空穴来风，其内驱力在于保卫家园的强烈愿望和对侵略者的不甘示弱。她们在探夫遇险后，说出“咱们也组织个队伍，不让鬼子再来欺负咱们”的话语，体现了革命如何激发了女性内在的自我保护意识和抗争精神，将小我的爱家情感升华为大我的保国热情。这是一种主动追求进步的转变模式，充满了内在的生命力与自觉性。</w:t>
      </w:r>
    </w:p>
    <w:p w14:paraId="255CA630" w14:textId="6408BB1C" w:rsidR="00C015F4" w:rsidRPr="00862A7A" w:rsidRDefault="00000000" w:rsidP="00862A7A">
      <w:pPr>
        <w:ind w:firstLineChars="200" w:firstLine="480"/>
        <w:rPr>
          <w:rFonts w:hint="eastAsia"/>
          <w:sz w:val="24"/>
        </w:rPr>
      </w:pPr>
      <w:r w:rsidRPr="00862A7A">
        <w:rPr>
          <w:rFonts w:hint="eastAsia"/>
          <w:sz w:val="24"/>
        </w:rPr>
        <w:t>然而，当学生尝试为二诸葛们填写方程式时，他们会发现其模式截然不同：“神仙”</w:t>
      </w:r>
      <w:r w:rsidRPr="00862A7A">
        <w:rPr>
          <w:rFonts w:hint="eastAsia"/>
          <w:sz w:val="24"/>
        </w:rPr>
        <w:t>+</w:t>
      </w:r>
      <w:r w:rsidRPr="00862A7A">
        <w:rPr>
          <w:rFonts w:hint="eastAsia"/>
          <w:sz w:val="24"/>
        </w:rPr>
        <w:t>（封建旧习</w:t>
      </w:r>
      <w:r w:rsidRPr="00862A7A">
        <w:rPr>
          <w:rFonts w:hint="eastAsia"/>
          <w:sz w:val="24"/>
        </w:rPr>
        <w:t>+</w:t>
      </w:r>
      <w:r w:rsidRPr="00862A7A">
        <w:rPr>
          <w:rFonts w:hint="eastAsia"/>
          <w:sz w:val="24"/>
        </w:rPr>
        <w:t>畏缩性格</w:t>
      </w:r>
      <w:r w:rsidRPr="00862A7A">
        <w:rPr>
          <w:rFonts w:hint="eastAsia"/>
          <w:sz w:val="24"/>
        </w:rPr>
        <w:t>+</w:t>
      </w:r>
      <w:r w:rsidRPr="00862A7A">
        <w:rPr>
          <w:rFonts w:hint="eastAsia"/>
          <w:sz w:val="24"/>
        </w:rPr>
        <w:t>对权威的顺从）</w:t>
      </w:r>
      <w:r w:rsidRPr="00862A7A">
        <w:rPr>
          <w:rFonts w:hint="eastAsia"/>
          <w:sz w:val="24"/>
        </w:rPr>
        <w:t>[</w:t>
      </w:r>
      <w:r w:rsidRPr="00862A7A">
        <w:rPr>
          <w:rFonts w:hint="eastAsia"/>
          <w:sz w:val="24"/>
        </w:rPr>
        <w:t>原有特质</w:t>
      </w:r>
      <w:r w:rsidRPr="00862A7A">
        <w:rPr>
          <w:rFonts w:hint="eastAsia"/>
          <w:sz w:val="24"/>
        </w:rPr>
        <w:t>]+</w:t>
      </w:r>
      <w:r w:rsidRPr="00862A7A">
        <w:rPr>
          <w:rFonts w:hint="eastAsia"/>
          <w:sz w:val="24"/>
        </w:rPr>
        <w:t>（区长教育</w:t>
      </w:r>
      <w:r w:rsidRPr="00862A7A">
        <w:rPr>
          <w:rFonts w:hint="eastAsia"/>
          <w:sz w:val="24"/>
        </w:rPr>
        <w:t>/</w:t>
      </w:r>
      <w:r w:rsidRPr="00862A7A">
        <w:rPr>
          <w:rFonts w:hint="eastAsia"/>
          <w:sz w:val="24"/>
        </w:rPr>
        <w:t>法律威慑</w:t>
      </w:r>
      <w:r w:rsidRPr="00862A7A">
        <w:rPr>
          <w:rFonts w:hint="eastAsia"/>
          <w:sz w:val="24"/>
        </w:rPr>
        <w:t>+</w:t>
      </w:r>
      <w:r w:rsidRPr="00862A7A">
        <w:rPr>
          <w:rFonts w:hint="eastAsia"/>
          <w:sz w:val="24"/>
        </w:rPr>
        <w:t>现实碰壁</w:t>
      </w:r>
      <w:r w:rsidRPr="00862A7A">
        <w:rPr>
          <w:rFonts w:hint="eastAsia"/>
          <w:sz w:val="24"/>
        </w:rPr>
        <w:t>/</w:t>
      </w:r>
      <w:r w:rsidRPr="00862A7A">
        <w:rPr>
          <w:rFonts w:hint="eastAsia"/>
          <w:sz w:val="24"/>
        </w:rPr>
        <w:t>旧势力失势）</w:t>
      </w:r>
      <w:r w:rsidRPr="00862A7A">
        <w:rPr>
          <w:rFonts w:hint="eastAsia"/>
          <w:sz w:val="24"/>
        </w:rPr>
        <w:t>[</w:t>
      </w:r>
      <w:r w:rsidRPr="00862A7A">
        <w:rPr>
          <w:rFonts w:hint="eastAsia"/>
          <w:sz w:val="24"/>
        </w:rPr>
        <w:t>外部压力</w:t>
      </w:r>
      <w:r w:rsidRPr="00862A7A">
        <w:rPr>
          <w:rFonts w:hint="eastAsia"/>
          <w:sz w:val="24"/>
        </w:rPr>
        <w:t>]+</w:t>
      </w:r>
      <w:r w:rsidRPr="00862A7A">
        <w:rPr>
          <w:rFonts w:hint="eastAsia"/>
          <w:sz w:val="24"/>
        </w:rPr>
        <w:t>阻婚受教（催化剂）→被动适应新社会的“凡人”。学生通过讨论发现，二诸葛的转变，并非源于他内心对新思想的彻底认同或觉悟的瞬间提升，而更多的是被动妥协。他在区长面前的“低头”，与其说是心悦诚服，不如说是现实利益与生存压力下的无奈选择。这种“被动转变”反映了革命在乡村后方推进思想改造的艰巨性，也揭示了思想解放的漫长过程。通过对比两种不同的“转变方程式”，学生深刻理解到革命进程中人群觉醒的多元路径和深浅不一的程度。这种对比分析，不仅深化了学生对人物性格的认知，更拓宽了他们对“革命者”和“革命精神”内涵的理解，使其不再局限于单一的</w:t>
      </w:r>
      <w:r w:rsidRPr="00862A7A">
        <w:rPr>
          <w:rFonts w:hint="eastAsia"/>
          <w:sz w:val="24"/>
        </w:rPr>
        <w:lastRenderedPageBreak/>
        <w:t>英雄形象，而是包含着不同层次、不同程度的觉醒者，从而呈现出革命叙事更真实、更丰富的多重面貌。</w:t>
      </w:r>
    </w:p>
    <w:p w14:paraId="6E6047AA" w14:textId="77777777" w:rsidR="00C015F4" w:rsidRPr="00862A7A" w:rsidRDefault="00000000">
      <w:pPr>
        <w:ind w:firstLineChars="200" w:firstLine="482"/>
        <w:rPr>
          <w:b/>
          <w:bCs/>
          <w:sz w:val="24"/>
        </w:rPr>
      </w:pPr>
      <w:r w:rsidRPr="00862A7A">
        <w:rPr>
          <w:rFonts w:hint="eastAsia"/>
          <w:b/>
          <w:bCs/>
          <w:sz w:val="24"/>
        </w:rPr>
        <w:t>活动三：从“落后”中“新生”</w:t>
      </w:r>
    </w:p>
    <w:p w14:paraId="7EAA48DA" w14:textId="77777777" w:rsidR="00C015F4" w:rsidRPr="00862A7A" w:rsidRDefault="00000000">
      <w:pPr>
        <w:ind w:firstLineChars="200" w:firstLine="480"/>
        <w:rPr>
          <w:sz w:val="24"/>
        </w:rPr>
      </w:pPr>
      <w:r w:rsidRPr="00862A7A">
        <w:rPr>
          <w:rFonts w:hint="eastAsia"/>
          <w:sz w:val="24"/>
        </w:rPr>
        <w:t>在《小二黑结婚》中，尽管二诸葛表面上接受了小芹和小二黑的婚事，但在文本中二诸葛的“低头咕哝”和“心里还是不舒坦”等细节，都暗示着他的转变并未彻底完成。他的“新生”并非是思想的凤凰涅槃，而仅仅是从“神仙”变回了“凡人”——他放弃了迷信，但旧有的思维惯性、对权威的盲从以及某种程度的固执依然存在。这种“过渡性”的描写，恰恰是赵树理作为“文化转型缓冲带”的深刻之处。他向学生展示了，思想的解放和观念的更新是一个漫长而艰难的过程，它不是一蹴而就的瞬间顿悟，而是“时代挤压下的渐变”。</w:t>
      </w:r>
    </w:p>
    <w:p w14:paraId="2648B249" w14:textId="3DFF08F3" w:rsidR="00C015F4" w:rsidRPr="00862A7A" w:rsidRDefault="00000000" w:rsidP="00862A7A">
      <w:pPr>
        <w:ind w:firstLineChars="200" w:firstLine="480"/>
        <w:rPr>
          <w:rFonts w:hint="eastAsia"/>
          <w:sz w:val="24"/>
        </w:rPr>
      </w:pPr>
      <w:r w:rsidRPr="00862A7A">
        <w:rPr>
          <w:rFonts w:hint="eastAsia"/>
          <w:sz w:val="24"/>
        </w:rPr>
        <w:t>这种“不彻底的新生”反而增加了革命文学的历史真实感和人物的厚度，让学生意识到革命不仅是战场上的胜利，更是对数千年封建思想和心理的漫长磨蚀。通过对这种“过渡性”的深入分析，学生得以从更深层次上理解革命对个体的改造，认识到革命的艰巨性不仅体现在枪林弹雨的前线，更体现在对后方亿万民众心灵的缓慢而复杂的启蒙与重塑。这种对“过渡性”的深刻体悟，最终使得学生对革命文学的理解不再停留在表层的英雄崇拜，而是上升到对人性与社会变革的深层思考。</w:t>
      </w:r>
    </w:p>
    <w:p w14:paraId="4DEC58B6" w14:textId="5DC688D2" w:rsidR="00C015F4" w:rsidRPr="00862A7A" w:rsidRDefault="00000000">
      <w:pPr>
        <w:ind w:firstLineChars="200" w:firstLine="482"/>
        <w:rPr>
          <w:b/>
          <w:bCs/>
          <w:sz w:val="24"/>
        </w:rPr>
      </w:pPr>
      <w:r w:rsidRPr="00862A7A">
        <w:rPr>
          <w:rFonts w:hint="eastAsia"/>
          <w:b/>
          <w:bCs/>
          <w:sz w:val="24"/>
        </w:rPr>
        <w:t>四、教学的反思与</w:t>
      </w:r>
      <w:r w:rsidR="00862A7A">
        <w:rPr>
          <w:rFonts w:hint="eastAsia"/>
          <w:b/>
          <w:bCs/>
          <w:sz w:val="24"/>
        </w:rPr>
        <w:t>改进</w:t>
      </w:r>
      <w:r w:rsidRPr="00862A7A">
        <w:rPr>
          <w:rFonts w:hint="eastAsia"/>
          <w:b/>
          <w:bCs/>
          <w:sz w:val="24"/>
        </w:rPr>
        <w:t>：置于单元视域下的文学探究</w:t>
      </w:r>
    </w:p>
    <w:p w14:paraId="7F140ED0" w14:textId="77777777" w:rsidR="00C015F4" w:rsidRPr="00862A7A" w:rsidRDefault="00000000">
      <w:pPr>
        <w:ind w:firstLineChars="200" w:firstLine="480"/>
        <w:rPr>
          <w:sz w:val="24"/>
        </w:rPr>
      </w:pPr>
      <w:r w:rsidRPr="00862A7A">
        <w:rPr>
          <w:rFonts w:hint="eastAsia"/>
          <w:sz w:val="24"/>
        </w:rPr>
        <w:t>（一）单元“苦难与新生”主题关联</w:t>
      </w:r>
    </w:p>
    <w:p w14:paraId="3F893374" w14:textId="77777777" w:rsidR="00C015F4" w:rsidRPr="00862A7A" w:rsidRDefault="00000000">
      <w:pPr>
        <w:ind w:firstLineChars="200" w:firstLine="480"/>
        <w:rPr>
          <w:sz w:val="24"/>
        </w:rPr>
      </w:pPr>
      <w:r w:rsidRPr="00862A7A">
        <w:rPr>
          <w:rFonts w:hint="eastAsia"/>
          <w:sz w:val="24"/>
        </w:rPr>
        <w:t>本单元以“苦难与新生”为主题，聚焦中国革命传统文学作品，“关注对艺术形象的刻画，突出对作家富有个性的创作风格的鉴赏”</w:t>
      </w:r>
      <w:r w:rsidRPr="00862A7A">
        <w:rPr>
          <w:rFonts w:hint="eastAsia"/>
          <w:sz w:val="24"/>
        </w:rPr>
        <w:t>,</w:t>
      </w:r>
      <w:r w:rsidRPr="00862A7A">
        <w:rPr>
          <w:rFonts w:hint="eastAsia"/>
          <w:sz w:val="24"/>
        </w:rPr>
        <w:t>单元中的六篇作品“在表现革命斗争艰苦与悲壮的基调下，在革命的宏大叙事和严肃主题中注入一丝浪漫和宁静的气息，使革命的图景呈现出历史的真实感和文学的艺术性”，因此本单元的教学重点或为，从文学创作的角度来探究革命传统文学的艺术感染力来源于何处，是如何带给一代代读者历久弥新的感动的。这意味着教学的重心必须从政治历史的外部解读，坚定地回归到文学审美的内部肌理之中。在本节课的教学设计中，我们将探究的聚光灯打在了水生嫂的“儿女情长”与二诸葛的“封建迷信”这些看似带有“落后”瑕疵的细节上，正是为了深入理解“苦难与新生”这一主题背后微观人性层面的转变。</w:t>
      </w:r>
    </w:p>
    <w:p w14:paraId="0D87C694" w14:textId="77777777" w:rsidR="00C015F4" w:rsidRPr="00862A7A" w:rsidRDefault="00000000">
      <w:pPr>
        <w:ind w:firstLineChars="200" w:firstLine="480"/>
        <w:rPr>
          <w:sz w:val="24"/>
        </w:rPr>
      </w:pPr>
      <w:r w:rsidRPr="00862A7A">
        <w:rPr>
          <w:rFonts w:hint="eastAsia"/>
          <w:sz w:val="24"/>
        </w:rPr>
        <w:t>学生通过深度细读发现，所谓“苦难”，并不仅仅是隆隆的炮火和物质的极度匮乏，更是二诸葛在面对动荡时只能依靠几枚铜钱算卦来寻求内心慰藉的极度悲哀与生存焦虑；所谓“新生”，也绝非是振臂一呼后思想境界的瞬间飞跃，而是水生嫂在寻夫未果、遭遇敌寇的生死边缘，将对小家庭的绵长依恋，痛苦而艰难地升华为保家卫国之志的涅槃过程。正是通过这种对人物过渡性状态的微观凝视，孙犁笔下那诗意明丽的浪漫主义光辉与赵树理笔下那沾满泥土气息的幽默讽刺，才在学生眼中褪去了晦涩的文学史标签，变成了触手可及的生命质感。尝试用这种建立在扎实文本细读基础上的微观探究，来让学生深刻体认到革命文学跨越时代的巨大艺术感染力。</w:t>
      </w:r>
    </w:p>
    <w:p w14:paraId="2CD9E2A6" w14:textId="77777777" w:rsidR="00C015F4" w:rsidRPr="00862A7A" w:rsidRDefault="00000000">
      <w:pPr>
        <w:ind w:firstLineChars="200" w:firstLine="480"/>
        <w:rPr>
          <w:sz w:val="24"/>
        </w:rPr>
      </w:pPr>
      <w:r w:rsidRPr="00862A7A">
        <w:rPr>
          <w:rFonts w:hint="eastAsia"/>
          <w:sz w:val="24"/>
        </w:rPr>
        <w:t>（二）共性阅读策略的延续</w:t>
      </w:r>
    </w:p>
    <w:p w14:paraId="3DD8CDB3" w14:textId="77777777" w:rsidR="00C015F4" w:rsidRPr="00862A7A" w:rsidRDefault="00000000">
      <w:pPr>
        <w:ind w:firstLineChars="200" w:firstLine="480"/>
        <w:rPr>
          <w:sz w:val="24"/>
        </w:rPr>
      </w:pPr>
      <w:r w:rsidRPr="00862A7A">
        <w:rPr>
          <w:rFonts w:hint="eastAsia"/>
          <w:sz w:val="24"/>
        </w:rPr>
        <w:t>从长远的语文学科核心素养培育来看，一堂文学阅读课不能仅仅满足于带领学生读懂一两篇特定的小说，而是必须致力于从中提炼并建构出能够迁移运用至同类文本的共性阅读策略。在未来的高中语文学习中，当学生再次面对《林海雪原》中孤胆英雄的险中求胜，抑或是《党费》中母亲在极端境遇下的绝然抉择时，他们将不再满足于表面情节的惊险刺激或是单个人物形象的伟大崇高，而是能够</w:t>
      </w:r>
      <w:r w:rsidRPr="00862A7A">
        <w:rPr>
          <w:rFonts w:hint="eastAsia"/>
          <w:sz w:val="24"/>
        </w:rPr>
        <w:lastRenderedPageBreak/>
        <w:t>自觉地运用这一策略，剥开宏大叙事的外衣，深入探寻人物灵魂深处的激烈交锋。这种超越了具体篇目的阅读策略建构，真正赋予了学生一把解码中国革命文学精神内核的万能钥匙，使他们在面对浩如烟海的红色经典时，能够始终保持一种温情与敬意交织的文学自觉，从而在潜移默化中完成对革命文化最深层的心理认同与精神传承。</w:t>
      </w:r>
    </w:p>
    <w:p w14:paraId="41582C3C" w14:textId="77777777" w:rsidR="00C015F4" w:rsidRPr="00862A7A" w:rsidRDefault="00000000">
      <w:pPr>
        <w:ind w:firstLineChars="200" w:firstLine="480"/>
        <w:rPr>
          <w:sz w:val="24"/>
        </w:rPr>
      </w:pPr>
      <w:r w:rsidRPr="00862A7A">
        <w:rPr>
          <w:rFonts w:hint="eastAsia"/>
          <w:sz w:val="24"/>
        </w:rPr>
        <w:t>其次，本方案的实施也为传统的教学评价体系提供了新的思路。传统的评价往往侧重于学生对情节的概括、人物特征的罗列以及主题思想的提炼等显性的内容特征。然而，在本方案中，评价的重心转向了学生对人物心理逻辑的还原能力和对复杂历史情境的理解深度，这使得答案需要深入文本内容体悟得出，也可能并不是唯一的答案。例如，通过“填写人物转变方程式”这一活动，我们评估的不再仅仅是学生是否记住了二诸葛做了什么、是个怎样的人，而是他们能否清晰地辨识出导致二诸葛转变的外部压力因素，以及其转变的被动性和不彻底性。通过“角色内心独白撰写”或“跨时空对话”等任务，我们观察学生能否超越刻板印象，从第一人称视角准确捕捉人物在特定历史条件下的真实情感波动、纠结与挣扎。这种“共情式阅读评价”的引入，不仅能够更全面地衡量学生的学习成果，也引导教师更加关注教学过程中对学生思维深度和情感体验的培养，促使教学从知识的单向灌输转向学生主体性的激发与引导。</w:t>
      </w:r>
    </w:p>
    <w:p w14:paraId="6EA5DC53" w14:textId="77777777" w:rsidR="00C015F4" w:rsidRPr="00862A7A" w:rsidRDefault="00000000">
      <w:pPr>
        <w:ind w:firstLineChars="200" w:firstLine="480"/>
        <w:rPr>
          <w:sz w:val="24"/>
        </w:rPr>
      </w:pPr>
      <w:r w:rsidRPr="00862A7A">
        <w:rPr>
          <w:rFonts w:hint="eastAsia"/>
          <w:sz w:val="24"/>
        </w:rPr>
        <w:t>（三）审视课堂局限，走向“沉浸式”文学体验的未来构想</w:t>
      </w:r>
    </w:p>
    <w:p w14:paraId="6C0256E2" w14:textId="77777777" w:rsidR="00C015F4" w:rsidRPr="00862A7A" w:rsidRDefault="00000000">
      <w:pPr>
        <w:ind w:firstLineChars="200" w:firstLine="480"/>
        <w:rPr>
          <w:sz w:val="24"/>
        </w:rPr>
      </w:pPr>
      <w:r w:rsidRPr="00862A7A">
        <w:rPr>
          <w:rFonts w:hint="eastAsia"/>
          <w:sz w:val="24"/>
        </w:rPr>
        <w:t>如果抛开课堂上表面呈现的流畅与热烈，反思整个课堂的推进轨迹，尽管有试图通过填写“人物转变化学方程式”来激活学生的探究欲望，但这在本质上依然是一种偏向于理性分析与逻辑拆解的教学行为。从寻找落后表现到分析催化因素，再到得出转变结论，整个学习流程呈现出一种强烈的线性特征与明显的教师控制痕迹。在这个过程中，文学语言与复杂的情感波澜被抽象成了一个个冰冷的逻辑节点，学生虽然得出了深刻的结论，但他们的学习状态依然未能真正跃入文学那浩渺的感性之河中畅游。这种对文本过度条块化的处理方式，在一定程度上割裂了小说本身浑然一体的审美意蕴，限制了学生在阅读过程中那种不可言传的、原生态的生命体验。</w:t>
      </w:r>
    </w:p>
    <w:sectPr w:rsidR="00C015F4" w:rsidRPr="00862A7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0C54B" w14:textId="77777777" w:rsidR="00E5490B" w:rsidRDefault="00E5490B">
      <w:r>
        <w:separator/>
      </w:r>
    </w:p>
  </w:endnote>
  <w:endnote w:type="continuationSeparator" w:id="0">
    <w:p w14:paraId="214F0598" w14:textId="77777777" w:rsidR="00E5490B" w:rsidRDefault="00E549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新宋体">
    <w:panose1 w:val="02010609030101010101"/>
    <w:charset w:val="86"/>
    <w:family w:val="modern"/>
    <w:pitch w:val="fixed"/>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E9ADC" w14:textId="77777777" w:rsidR="00E5490B" w:rsidRDefault="00E5490B">
      <w:r>
        <w:separator/>
      </w:r>
    </w:p>
  </w:footnote>
  <w:footnote w:type="continuationSeparator" w:id="0">
    <w:p w14:paraId="66BEFFB4" w14:textId="77777777" w:rsidR="00E5490B" w:rsidRDefault="00E5490B">
      <w:r>
        <w:continuationSeparator/>
      </w:r>
    </w:p>
  </w:footnote>
  <w:footnote w:id="1">
    <w:p w14:paraId="56059FF5" w14:textId="77777777" w:rsidR="00C015F4" w:rsidRDefault="00000000">
      <w:pPr>
        <w:pStyle w:val="a3"/>
      </w:pPr>
      <w:r>
        <w:rPr>
          <w:rStyle w:val="a4"/>
        </w:rPr>
        <w:footnoteRef/>
      </w:r>
      <w:r>
        <w:rPr>
          <w:rFonts w:hint="eastAsia"/>
        </w:rPr>
        <w:t>詹丹</w:t>
      </w:r>
      <w:r>
        <w:rPr>
          <w:rFonts w:hint="eastAsia"/>
        </w:rPr>
        <w:t>.</w:t>
      </w:r>
      <w:r>
        <w:rPr>
          <w:rFonts w:hint="eastAsia"/>
        </w:rPr>
        <w:t>把“落后”作为解读革命小说的一个方法——谈《小二黑结婚》到《荷花淀》《党费》的组合性理解</w:t>
      </w:r>
      <w:r>
        <w:rPr>
          <w:rFonts w:hint="eastAsia"/>
        </w:rPr>
        <w:t>[J].</w:t>
      </w:r>
      <w:r>
        <w:rPr>
          <w:rFonts w:hint="eastAsia"/>
        </w:rPr>
        <w:t>语文学习</w:t>
      </w:r>
      <w:r>
        <w:rPr>
          <w:rFonts w:hint="eastAsia"/>
        </w:rPr>
        <w:t>,2023,(04):62-67.</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embedSystemFonts/>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4FB977EC"/>
    <w:rsid w:val="00862A7A"/>
    <w:rsid w:val="00B64AFB"/>
    <w:rsid w:val="00C015F4"/>
    <w:rsid w:val="00E5490B"/>
    <w:rsid w:val="07F74BA8"/>
    <w:rsid w:val="0E8F67F9"/>
    <w:rsid w:val="163FC420"/>
    <w:rsid w:val="2AEBC893"/>
    <w:rsid w:val="3737AE5C"/>
    <w:rsid w:val="3AED1766"/>
    <w:rsid w:val="3E2E354C"/>
    <w:rsid w:val="3EE3BDF1"/>
    <w:rsid w:val="3F9B69D5"/>
    <w:rsid w:val="45F47C4E"/>
    <w:rsid w:val="4ECDD5C8"/>
    <w:rsid w:val="4FB6813B"/>
    <w:rsid w:val="4FB977EC"/>
    <w:rsid w:val="55F3A828"/>
    <w:rsid w:val="57A36ACF"/>
    <w:rsid w:val="5CF5ED95"/>
    <w:rsid w:val="5DD354C1"/>
    <w:rsid w:val="5ECD2480"/>
    <w:rsid w:val="5F9F874F"/>
    <w:rsid w:val="5FBF91A5"/>
    <w:rsid w:val="673DB648"/>
    <w:rsid w:val="6CAFA0E6"/>
    <w:rsid w:val="73FF88FB"/>
    <w:rsid w:val="75B3B06E"/>
    <w:rsid w:val="75D389B3"/>
    <w:rsid w:val="76BFBEEF"/>
    <w:rsid w:val="76FF15D1"/>
    <w:rsid w:val="78DEABC6"/>
    <w:rsid w:val="7AFB9BBB"/>
    <w:rsid w:val="7BBF04F9"/>
    <w:rsid w:val="7BDFAED1"/>
    <w:rsid w:val="7CBBBC0B"/>
    <w:rsid w:val="7E717246"/>
    <w:rsid w:val="7EFD5D54"/>
    <w:rsid w:val="7F27E7E8"/>
    <w:rsid w:val="7F2FA8FC"/>
    <w:rsid w:val="7F991FA0"/>
    <w:rsid w:val="9BB4A19E"/>
    <w:rsid w:val="AF6F0A56"/>
    <w:rsid w:val="AFF3D260"/>
    <w:rsid w:val="BBC9A571"/>
    <w:rsid w:val="BBFFEED4"/>
    <w:rsid w:val="BECD0DA8"/>
    <w:rsid w:val="CEFE5432"/>
    <w:rsid w:val="CFBE0408"/>
    <w:rsid w:val="DE767422"/>
    <w:rsid w:val="DE9F2EE1"/>
    <w:rsid w:val="DFDE2F07"/>
    <w:rsid w:val="E1FB5B02"/>
    <w:rsid w:val="E5FF560E"/>
    <w:rsid w:val="EDFB85F2"/>
    <w:rsid w:val="EE4FF680"/>
    <w:rsid w:val="EE7FE2B1"/>
    <w:rsid w:val="EF9FB3E6"/>
    <w:rsid w:val="EFCF5108"/>
    <w:rsid w:val="EFE7F3BC"/>
    <w:rsid w:val="F397EE5B"/>
    <w:rsid w:val="FDEF87CA"/>
    <w:rsid w:val="FE7B44CB"/>
    <w:rsid w:val="FF5DDAEF"/>
    <w:rsid w:val="FFAF5978"/>
    <w:rsid w:val="FFCB9B7C"/>
    <w:rsid w:val="FFFFB1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8A14926"/>
  <w15:docId w15:val="{145819AC-0FFB-4362-B2C4-F0774EEAD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keepLines/>
      <w:spacing w:before="340" w:after="330" w:line="576" w:lineRule="auto"/>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pPr>
      <w:snapToGrid w:val="0"/>
      <w:jc w:val="left"/>
    </w:pPr>
    <w:rPr>
      <w:sz w:val="18"/>
    </w:rPr>
  </w:style>
  <w:style w:type="character" w:styleId="a4">
    <w:name w:val="footnote reference"/>
    <w:basedOn w:val="a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479</TotalTime>
  <Pages>6</Pages>
  <Words>3716</Words>
  <Characters>3716</Characters>
  <Application>Microsoft Office Word</Application>
  <DocSecurity>0</DocSecurity>
  <Lines>109</Lines>
  <Paragraphs>42</Paragraphs>
  <ScaleCrop>false</ScaleCrop>
  <Company/>
  <LinksUpToDate>false</LinksUpToDate>
  <CharactersWithSpaces>7390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dc:creator>
  <cp:lastModifiedBy>官 上</cp:lastModifiedBy>
  <cp:revision>2</cp:revision>
  <dcterms:created xsi:type="dcterms:W3CDTF">2026-04-07T11:59:00Z</dcterms:created>
  <dcterms:modified xsi:type="dcterms:W3CDTF">2026-04-14T00:02:00Z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2052-12.1.24031.24031</vt:lpwstr>
  </property>
  <property fmtid="{D5CDD505-2E9C-101B-9397-08002B2CF9AE}" pid="3" name="ICV">
    <vt:lpwstr>270F91EF03DA1B900DA0D369D27AE056_41</vt:lpwstr>
  </property>
</Properties>
</file>