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CFCA4">
      <w:pPr>
        <w:jc w:val="center"/>
        <w:rPr>
          <w:rFonts w:hint="eastAsia"/>
        </w:rPr>
      </w:pPr>
      <w:r>
        <w:rPr>
          <w:rFonts w:hint="eastAsia"/>
          <w:sz w:val="30"/>
          <w:szCs w:val="30"/>
        </w:rPr>
        <w:t>质疑创新能力培养的单元教学实践研究——以初中物理“浮力”项目化学习为例</w:t>
      </w:r>
    </w:p>
    <w:p w14:paraId="7D975B46">
      <w:pPr>
        <w:jc w:val="center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曾鸿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上海市龙苑中学</w:t>
      </w:r>
      <w:r>
        <w:rPr>
          <w:rFonts w:hint="eastAsia"/>
          <w:sz w:val="28"/>
          <w:szCs w:val="28"/>
          <w:lang w:val="en-US" w:eastAsia="zh-CN"/>
        </w:rPr>
        <w:t xml:space="preserve">  上海 200232 </w:t>
      </w:r>
      <w:r>
        <w:rPr>
          <w:rFonts w:hint="eastAsia"/>
          <w:sz w:val="28"/>
          <w:szCs w:val="28"/>
          <w:lang w:eastAsia="zh-CN"/>
        </w:rPr>
        <w:t>）</w:t>
      </w:r>
    </w:p>
    <w:p w14:paraId="4099E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</w:rPr>
      </w:pPr>
      <w:bookmarkStart w:id="0" w:name="_GoBack"/>
      <w:bookmarkEnd w:id="0"/>
      <w:r>
        <w:rPr>
          <w:rFonts w:hint="eastAsia"/>
          <w:lang w:eastAsia="zh-CN"/>
        </w:rPr>
        <w:t xml:space="preserve"> </w:t>
      </w:r>
      <w:r>
        <w:rPr>
          <w:rFonts w:hint="eastAsia"/>
          <w:b/>
          <w:bCs/>
        </w:rPr>
        <w:t xml:space="preserve">摘要  </w:t>
      </w:r>
    </w:p>
    <w:p w14:paraId="5A15B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质疑创新能力是科学素养的核心，亦是《义务教育物理课程标准（2022年版）》所强调的“科学思维”关键表现。然而，传统物理教学常忽视对此能力的</w:t>
      </w:r>
      <w:r>
        <w:rPr>
          <w:rFonts w:hint="eastAsia"/>
          <w:lang w:eastAsia="zh-CN"/>
        </w:rPr>
        <w:t>系统地培养</w:t>
      </w:r>
      <w:r>
        <w:rPr>
          <w:rFonts w:hint="eastAsia"/>
        </w:rPr>
        <w:t>，导致学生批判意识薄弱，创新实践能力不足。为此，本研究以建构主义理论和情境学习理论为指导，在初中物理“浮力”单元中构建了“质疑—批判—创新”三阶任务链的教学模式。通过“沉船打捞”真实项目，引导学生在认知冲突中质疑阿基米德原理的适用边界，在模型分析中培养批判思维，在工程设计中实践技术创新。教学实践表明，该模式</w:t>
      </w:r>
      <w:r>
        <w:rPr>
          <w:rFonts w:hint="eastAsia"/>
          <w:lang w:eastAsia="zh-CN"/>
        </w:rPr>
        <w:t>显著地提升</w:t>
      </w:r>
      <w:r>
        <w:rPr>
          <w:rFonts w:hint="eastAsia"/>
        </w:rPr>
        <w:t>了学生的科学推理能力、创新自信与社会责任感，为核心素养在物理教学中的落地提供了可复制的实践路径。</w:t>
      </w:r>
    </w:p>
    <w:p w14:paraId="2C785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  <w:b/>
          <w:bCs/>
        </w:rPr>
      </w:pPr>
      <w:r>
        <w:rPr>
          <w:rFonts w:hint="eastAsia"/>
          <w:lang w:eastAsia="zh-CN"/>
        </w:rPr>
        <w:t xml:space="preserve">  </w:t>
      </w:r>
      <w:r>
        <w:rPr>
          <w:rFonts w:hint="eastAsia"/>
          <w:b/>
          <w:bCs/>
        </w:rPr>
        <w:t>关键词</w:t>
      </w:r>
      <w:r>
        <w:rPr>
          <w:rFonts w:hint="eastAsia"/>
          <w:b/>
          <w:bCs/>
          <w:lang w:eastAsia="zh-CN"/>
        </w:rPr>
        <w:t xml:space="preserve"> </w:t>
      </w:r>
      <w:r>
        <w:rPr>
          <w:rFonts w:hint="eastAsia"/>
          <w:b/>
          <w:bCs/>
        </w:rPr>
        <w:t>：质疑创新能力</w:t>
      </w:r>
      <w:r>
        <w:rPr>
          <w:rFonts w:hint="eastAsia"/>
          <w:b/>
          <w:bCs/>
          <w:lang w:eastAsia="zh-CN"/>
        </w:rPr>
        <w:t>；</w:t>
      </w:r>
      <w:r>
        <w:rPr>
          <w:rFonts w:hint="eastAsia"/>
          <w:b/>
          <w:bCs/>
        </w:rPr>
        <w:t>项目化学习</w:t>
      </w:r>
      <w:r>
        <w:rPr>
          <w:rFonts w:hint="eastAsia"/>
          <w:b/>
          <w:bCs/>
          <w:lang w:eastAsia="zh-CN"/>
        </w:rPr>
        <w:t>；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浮力教学</w:t>
      </w:r>
      <w:r>
        <w:rPr>
          <w:rFonts w:hint="eastAsia"/>
          <w:b/>
          <w:bCs/>
          <w:lang w:val="en-US" w:eastAsia="zh-CN"/>
        </w:rPr>
        <w:t xml:space="preserve"> ；</w:t>
      </w:r>
      <w:r>
        <w:rPr>
          <w:rFonts w:hint="eastAsia"/>
          <w:b/>
          <w:bCs/>
        </w:rPr>
        <w:t>科学思维</w:t>
      </w:r>
      <w:r>
        <w:rPr>
          <w:rFonts w:hint="eastAsia"/>
          <w:b/>
          <w:bCs/>
          <w:lang w:eastAsia="zh-CN"/>
        </w:rPr>
        <w:t>；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核心素养</w:t>
      </w:r>
    </w:p>
    <w:p w14:paraId="168E0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 xml:space="preserve">一、问题提出与研究框架  </w:t>
      </w:r>
    </w:p>
    <w:p w14:paraId="75B29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《义务教育物理课程标准（2022年版）》将“科学思维”列为物理核心素养，并强调“质疑创新”是其关键行为表现[1]。然而，当前初中物理课堂仍多以知识传授为主，学生普遍长于公式演算而短于批判建构，这一现象在“浮力”单元教学中尤为突出。阿基米德原理常被作为既定结论传授，其理想化假设与应用边界却被忽略，导致学生难以应对“为何浮力大于重力物体仍沉底”等真实问题。</w:t>
      </w:r>
    </w:p>
    <w:p w14:paraId="42F46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建构主义理论指出，知识是在解决真实问题的过程中主动建构的[2,6]。项目化学习（PBL）通过创设真实、复杂、开放的任务情境，为学生提供了质疑、协作与创新的实践场域[3,7]，其“驱动性问题—探索—成果展示”的结构与本研究的培养目标高度契合。基于此，本研究提出核心问题：如何通过浮力单元的项目化学习，系统设计任务链，有效培养学生的质疑创新能力？</w:t>
      </w:r>
    </w:p>
    <w:p w14:paraId="3C3B5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为解决这一问题，我们以维果茨基的“最近发展区”理论为指导，并借鉴Linn &amp; Eylon（2011）提出的“知识整合视角”[4</w:t>
      </w:r>
      <w:r>
        <w:rPr>
          <w:rFonts w:hint="eastAsia"/>
          <w:lang w:val="en-US" w:eastAsia="zh-CN"/>
        </w:rPr>
        <w:t>,8</w:t>
      </w:r>
      <w:r>
        <w:rPr>
          <w:rFonts w:hint="eastAsia"/>
        </w:rPr>
        <w:t>]，设计了以“沉船打捞”为核心项目的PBL教学模式</w:t>
      </w:r>
      <w:r>
        <w:rPr>
          <w:rFonts w:hint="eastAsia"/>
          <w:lang w:eastAsia="zh-CN"/>
        </w:rPr>
        <w:t>，</w:t>
      </w:r>
      <w:r>
        <w:rPr>
          <w:rFonts w:hint="eastAsia"/>
        </w:rPr>
        <w:t>帮助学生在真实问题中联结浮力概念与流体情境，形成连贯的科学理解。项目围绕“如何打捞一艘沉没的金属船体（密度&gt;水）？”这一驱动性问题，构建了递进的三阶任务链：</w:t>
      </w:r>
    </w:p>
    <w:p w14:paraId="18D72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质疑阶段</w:t>
      </w:r>
      <w:r>
        <w:rPr>
          <w:rFonts w:hint="eastAsia"/>
        </w:rPr>
        <w:t>：创设认知冲突，激发学生对原理适用性的质疑；</w:t>
      </w:r>
    </w:p>
    <w:p w14:paraId="794FB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批判阶段</w:t>
      </w:r>
      <w:r>
        <w:rPr>
          <w:rFonts w:hint="eastAsia"/>
        </w:rPr>
        <w:t>：解构理想模型，培养边界意识与批判思维；</w:t>
      </w:r>
    </w:p>
    <w:p w14:paraId="3A7AC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创新阶段</w:t>
      </w:r>
      <w:r>
        <w:rPr>
          <w:rFonts w:hint="eastAsia"/>
        </w:rPr>
        <w:t>：在约束条件下进行工程设计与实践，实现知识整合与技术创新。</w:t>
      </w:r>
    </w:p>
    <w:p w14:paraId="71BA4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项目周期6周，成果形式包括方案报告、装置模型、实验视频与听证会答辩，并通过多元评价量表对思维过程与创新品质进行持续评估。</w:t>
      </w:r>
    </w:p>
    <w:p w14:paraId="626C46A2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160" w:afterAutospacing="0"/>
        <w:ind w:left="0" w:right="0" w:firstLine="422" w:firstLineChars="200"/>
        <w:textAlignment w:val="auto"/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二、教学实践与能力发展路径</w:t>
      </w:r>
    </w:p>
    <w:p w14:paraId="62D3D07E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160" w:afterAutospacing="0"/>
        <w:ind w:left="420" w:leftChars="200" w:right="0" w:firstLine="0" w:firstLineChars="0"/>
        <w:textAlignment w:val="auto"/>
        <w:rPr>
          <w:rFonts w:hint="default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2.1</w:t>
      </w:r>
      <w:r>
        <w:rPr>
          <w:rFonts w:hint="default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质疑阶段：在认知冲突中引发概念重构</w:t>
      </w:r>
    </w:p>
    <w:p w14:paraId="5CB1B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具体而言，</w:t>
      </w:r>
      <w:r>
        <w:rPr>
          <w:rFonts w:hint="default"/>
          <w:lang w:val="en-US" w:eastAsia="zh-CN"/>
        </w:rPr>
        <w:t>基于皮亚杰的认知冲突理论，本阶段通过实验数据异常打破学生的前概念平衡。学生分组将相同铁块浸入清水、浓盐水和泥浆中测量浮力，数据</w:t>
      </w:r>
      <w:r>
        <w:rPr>
          <w:rFonts w:hint="eastAsia"/>
          <w:lang w:val="en-US" w:eastAsia="zh-CN"/>
        </w:rPr>
        <w:t>记录在表格中。</w:t>
      </w:r>
    </w:p>
    <w:p w14:paraId="700C9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jc w:val="center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表1 不同液体中铁块浮力测量数据</w:t>
      </w:r>
    </w:p>
    <w:tbl>
      <w:tblPr>
        <w:tblStyle w:val="6"/>
        <w:tblpPr w:leftFromText="180" w:rightFromText="180" w:vertAnchor="text" w:horzAnchor="page" w:tblpX="2052" w:tblpY="1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9"/>
        <w:gridCol w:w="2029"/>
        <w:gridCol w:w="2029"/>
        <w:gridCol w:w="2031"/>
      </w:tblGrid>
      <w:tr w14:paraId="1FCFF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029" w:type="dxa"/>
          </w:tcPr>
          <w:p w14:paraId="0774C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液体类型</w:t>
            </w:r>
          </w:p>
        </w:tc>
        <w:tc>
          <w:tcPr>
            <w:tcW w:w="2029" w:type="dxa"/>
          </w:tcPr>
          <w:p w14:paraId="1F3D6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测力计示数/N</w:t>
            </w:r>
          </w:p>
        </w:tc>
        <w:tc>
          <w:tcPr>
            <w:tcW w:w="2029" w:type="dxa"/>
          </w:tcPr>
          <w:p w14:paraId="0A69A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浮力计算值/N</w:t>
            </w:r>
          </w:p>
        </w:tc>
        <w:tc>
          <w:tcPr>
            <w:tcW w:w="2031" w:type="dxa"/>
          </w:tcPr>
          <w:p w14:paraId="54A01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物体状态</w:t>
            </w:r>
          </w:p>
        </w:tc>
      </w:tr>
      <w:tr w14:paraId="4727B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029" w:type="dxa"/>
          </w:tcPr>
          <w:p w14:paraId="6D2B3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清水</w:t>
            </w:r>
          </w:p>
        </w:tc>
        <w:tc>
          <w:tcPr>
            <w:tcW w:w="2029" w:type="dxa"/>
          </w:tcPr>
          <w:p w14:paraId="6272F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1.2</w:t>
            </w:r>
          </w:p>
        </w:tc>
        <w:tc>
          <w:tcPr>
            <w:tcW w:w="2029" w:type="dxa"/>
          </w:tcPr>
          <w:p w14:paraId="0129B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0.8</w:t>
            </w:r>
          </w:p>
        </w:tc>
        <w:tc>
          <w:tcPr>
            <w:tcW w:w="2031" w:type="dxa"/>
          </w:tcPr>
          <w:p w14:paraId="22877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沉底</w:t>
            </w:r>
          </w:p>
        </w:tc>
      </w:tr>
      <w:tr w14:paraId="1E313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029" w:type="dxa"/>
          </w:tcPr>
          <w:p w14:paraId="66487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浓盐水</w:t>
            </w:r>
          </w:p>
        </w:tc>
        <w:tc>
          <w:tcPr>
            <w:tcW w:w="2029" w:type="dxa"/>
          </w:tcPr>
          <w:p w14:paraId="6AB84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0.9</w:t>
            </w:r>
          </w:p>
        </w:tc>
        <w:tc>
          <w:tcPr>
            <w:tcW w:w="2029" w:type="dxa"/>
          </w:tcPr>
          <w:p w14:paraId="4C02F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1.1</w:t>
            </w:r>
          </w:p>
        </w:tc>
        <w:tc>
          <w:tcPr>
            <w:tcW w:w="2031" w:type="dxa"/>
          </w:tcPr>
          <w:p w14:paraId="2272A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悬浮</w:t>
            </w:r>
          </w:p>
        </w:tc>
      </w:tr>
      <w:tr w14:paraId="5F71B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029" w:type="dxa"/>
          </w:tcPr>
          <w:p w14:paraId="3E6C6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泥浆</w:t>
            </w:r>
          </w:p>
        </w:tc>
        <w:tc>
          <w:tcPr>
            <w:tcW w:w="2029" w:type="dxa"/>
          </w:tcPr>
          <w:p w14:paraId="41883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0.5</w:t>
            </w:r>
          </w:p>
        </w:tc>
        <w:tc>
          <w:tcPr>
            <w:tcW w:w="2029" w:type="dxa"/>
          </w:tcPr>
          <w:p w14:paraId="77FA1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1.5</w:t>
            </w:r>
          </w:p>
        </w:tc>
        <w:tc>
          <w:tcPr>
            <w:tcW w:w="2031" w:type="dxa"/>
          </w:tcPr>
          <w:p w14:paraId="6C1D4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沉底</w:t>
            </w:r>
          </w:p>
        </w:tc>
      </w:tr>
    </w:tbl>
    <w:p w14:paraId="6BC82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泥浆中“浮力最大却沉底”的反常现象引发了深度质疑。学生提出关键问题：“阿基米德原理在非均匀流体中是否失效？” “排开液体体积在实际情况中如何定义？”教师通过“现象异常—原理冲突—条件排查—模型修正”的思维路径图搭建质疑支架，并建立“问题银行”记录优质质疑。学生王某在反思中认识到：“物理定律并非万能，泥浆中的固体颗粒让‘排开体积’变得复杂。”这表明学生已开始建立对科学理论条件性的理解。</w:t>
      </w:r>
    </w:p>
    <w:p w14:paraId="2E519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200" w:firstLine="0" w:firstLineChars="0"/>
        <w:textAlignment w:val="auto"/>
        <w:rPr>
          <w:rFonts w:hint="default"/>
          <w:b/>
          <w:bCs/>
        </w:rPr>
      </w:pPr>
      <w:r>
        <w:rPr>
          <w:rFonts w:hint="eastAsia"/>
          <w:b/>
          <w:bCs/>
          <w:lang w:val="en-US" w:eastAsia="zh-CN"/>
        </w:rPr>
        <w:t>2.2</w:t>
      </w:r>
      <w:r>
        <w:rPr>
          <w:rFonts w:hint="default"/>
          <w:b/>
          <w:bCs/>
        </w:rPr>
        <w:t>批判阶段：在模型</w:t>
      </w:r>
      <w:r>
        <w:rPr>
          <w:rFonts w:hint="eastAsia"/>
          <w:b/>
          <w:bCs/>
          <w:lang w:val="en-US" w:eastAsia="zh-CN"/>
        </w:rPr>
        <w:t>分析</w:t>
      </w:r>
      <w:r>
        <w:rPr>
          <w:rFonts w:hint="default"/>
          <w:b/>
          <w:bCs/>
        </w:rPr>
        <w:t>中建立边界意识</w:t>
      </w:r>
    </w:p>
    <w:p w14:paraId="42284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在此基础上，</w:t>
      </w:r>
      <w:r>
        <w:rPr>
          <w:rFonts w:hint="default"/>
        </w:rPr>
        <w:t>本阶段依据Giere的科学模型边界思想</w:t>
      </w: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1A2029"/>
          <w:spacing w:val="0"/>
          <w:sz w:val="24"/>
          <w:szCs w:val="24"/>
          <w:shd w:val="clear" w:fill="FFFFFF"/>
          <w:vertAlign w:val="baseline"/>
        </w:rPr>
        <w:t>[5,9]</w:t>
      </w:r>
      <w:r>
        <w:rPr>
          <w:rFonts w:hint="default"/>
        </w:rPr>
        <w:t>，引导学生</w:t>
      </w:r>
      <w:r>
        <w:rPr>
          <w:rFonts w:hint="eastAsia"/>
          <w:lang w:val="en-US" w:eastAsia="zh-CN"/>
        </w:rPr>
        <w:t>分析</w:t>
      </w:r>
      <w:r>
        <w:rPr>
          <w:rFonts w:hint="default"/>
        </w:rPr>
        <w:t>教材实验的理想化假设。学生通过更换不同直径细线（0.2mm、0.5mm），量化细线体积对浮力测量的影响（误差约3%）；用黏土填充物体表面凹槽模拟锈蚀船体，复测浮力变化；并使用3D建模软件扫描物体，对比实际体积与排水法结果。这些活动揭示了教材实验忽略的次要因素，使学生认识到“模型是现实的简化而非现实本身”。</w:t>
      </w:r>
    </w:p>
    <w:p w14:paraId="4EEDB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default"/>
        </w:rPr>
      </w:pPr>
      <w:r>
        <w:rPr>
          <w:rFonts w:hint="default"/>
        </w:rPr>
        <w:t>批判思维进一步延伸至工程实践领域。在评估传统打捞方案时，学生不仅分析其技术原理，还指出“浮筒可能泄漏油污”“起重机成本高昂且受天气制约”等环境与经济限制。这表明学生已能建立多维度评估框架，批判思维从理论认知走向实践综合。</w:t>
      </w:r>
    </w:p>
    <w:p w14:paraId="0D39A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left="420" w:leftChars="200" w:firstLine="0" w:firstLineChars="0"/>
        <w:textAlignment w:val="auto"/>
        <w:rPr>
          <w:rFonts w:hint="default"/>
          <w:b/>
          <w:bCs/>
        </w:rPr>
      </w:pPr>
      <w:r>
        <w:rPr>
          <w:rFonts w:hint="eastAsia"/>
          <w:b/>
          <w:bCs/>
          <w:lang w:val="en-US" w:eastAsia="zh-CN"/>
        </w:rPr>
        <w:t>2.3</w:t>
      </w:r>
      <w:r>
        <w:rPr>
          <w:rFonts w:hint="default"/>
          <w:b/>
          <w:bCs/>
        </w:rPr>
        <w:t>创新阶段：在工程设计中实现知识整合</w:t>
      </w:r>
    </w:p>
    <w:p w14:paraId="10B70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进一步地，</w:t>
      </w:r>
      <w:r>
        <w:rPr>
          <w:rFonts w:hint="default"/>
        </w:rPr>
        <w:t>创新阶段以工程思维为指导，要求学生在成本（</w:t>
      </w:r>
      <w:r>
        <w:rPr>
          <w:rFonts w:hint="eastAsia"/>
        </w:rPr>
        <w:t>≦</w:t>
      </w:r>
      <w:r>
        <w:rPr>
          <w:rFonts w:hint="default"/>
        </w:rPr>
        <w:t>50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</w:rPr>
        <w:t>元）、环保与技术可行性的多重约束下，解决“南海Ⅰ号”古沉船打捞中的“吸附力”难题。各小组展现出丰富的创造力：</w:t>
      </w:r>
    </w:p>
    <w:p w14:paraId="2F0FF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default"/>
        </w:rPr>
        <w:t>小组1提出“盐水密度梯度分层打捞法”，通过调节浮力实现能源节约与文物防护</w:t>
      </w:r>
      <w:r>
        <w:rPr>
          <w:rFonts w:hint="eastAsia"/>
          <w:lang w:eastAsia="zh-CN"/>
        </w:rPr>
        <w:t>；</w:t>
      </w:r>
    </w:p>
    <w:p w14:paraId="701A9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</w:rPr>
      </w:pPr>
      <w:r>
        <w:rPr>
          <w:rFonts w:hint="default"/>
        </w:rPr>
        <w:t>小组2设计“折叠式气囊”，经三次迭代优化气体释放速率，解决狭窄水域打捞难题；</w:t>
      </w:r>
    </w:p>
    <w:p w14:paraId="19533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</w:rPr>
      </w:pPr>
      <w:r>
        <w:rPr>
          <w:rFonts w:hint="default"/>
        </w:rPr>
        <w:t>小组3制作“负压解除器”，将模拟船体脱离时间缩短60%。</w:t>
      </w:r>
    </w:p>
    <w:p w14:paraId="79E2C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default"/>
        </w:rPr>
      </w:pPr>
      <w:r>
        <w:rPr>
          <w:rFonts w:hint="default"/>
        </w:rPr>
        <w:t>教师通过“创新方案评估表”（原理科学性、技术可行性、环保性）指导学生优化设计，并组织方案听证会模拟真实工程答辩。学生在“设计—制作—测试”的迭代中，不仅深化了知识整合，更培养了面对失败、坚持探索的创新品格。</w:t>
      </w:r>
    </w:p>
    <w:p w14:paraId="1DBAA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2" w:firstLineChars="200"/>
        <w:textAlignment w:val="auto"/>
        <w:rPr>
          <w:rFonts w:hint="default"/>
          <w:b/>
          <w:bCs/>
        </w:rPr>
      </w:pPr>
      <w:r>
        <w:rPr>
          <w:rFonts w:hint="default"/>
          <w:b/>
          <w:bCs/>
        </w:rPr>
        <w:t>三、支持系统与评价机制</w:t>
      </w:r>
    </w:p>
    <w:p w14:paraId="74B14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default"/>
        </w:rPr>
      </w:pPr>
      <w:r>
        <w:rPr>
          <w:rFonts w:hint="default"/>
        </w:rPr>
        <w:t>为保障项目实施，我们构建了多维支持系统。思维工具方面，“质疑引导支架”与“问题银行”帮助学生系统化质疑；资源支持方面，利用注射器、塑料瓶等低成本材料和3D建模等数字化工具，降低探究门槛；教师指导方面，遵循适时适度原则，在关键节点提供方法论支持。</w:t>
      </w:r>
    </w:p>
    <w:p w14:paraId="1EDCB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default"/>
        </w:rPr>
      </w:pPr>
      <w:r>
        <w:rPr>
          <w:rFonts w:hint="default"/>
        </w:rPr>
        <w:t>评价体系突破知识考核局限，聚焦思维品质。质疑创新能力评价量表涵盖三个核心维度：</w:t>
      </w:r>
    </w:p>
    <w:p w14:paraId="09BF4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A2029"/>
          <w:spacing w:val="0"/>
          <w:sz w:val="24"/>
          <w:szCs w:val="24"/>
        </w:rPr>
        <w:t>表2 质疑创新能力发展水平量表</w:t>
      </w:r>
    </w:p>
    <w:tbl>
      <w:tblPr>
        <w:tblStyle w:val="5"/>
        <w:tblW w:w="851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7"/>
        <w:gridCol w:w="1793"/>
        <w:gridCol w:w="2465"/>
        <w:gridCol w:w="3134"/>
      </w:tblGrid>
      <w:tr w14:paraId="2BDDD2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CCDD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能力维度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99DE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基础水平</w:t>
            </w:r>
          </w:p>
        </w:tc>
        <w:tc>
          <w:tcPr>
            <w:tcW w:w="2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7C45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发展水平</w:t>
            </w:r>
          </w:p>
        </w:tc>
        <w:tc>
          <w:tcPr>
            <w:tcW w:w="3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E21A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卓越水平</w:t>
            </w:r>
          </w:p>
        </w:tc>
      </w:tr>
      <w:tr w14:paraId="513ECC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E38C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b/>
              </w:rPr>
              <w:t>质疑深度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8B7D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</w:pPr>
            <w:r>
              <w:t>能发现数据异常</w:t>
            </w:r>
          </w:p>
        </w:tc>
        <w:tc>
          <w:tcPr>
            <w:tcW w:w="2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7AF9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</w:pPr>
            <w:r>
              <w:t>能提出有挑战性的问题</w:t>
            </w:r>
          </w:p>
        </w:tc>
        <w:tc>
          <w:tcPr>
            <w:tcW w:w="3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529C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</w:pPr>
            <w:r>
              <w:t>能指出理论模型的边界条件</w:t>
            </w:r>
          </w:p>
        </w:tc>
      </w:tr>
      <w:tr w14:paraId="2345E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99FE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b/>
              </w:rPr>
              <w:t>批判思维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6D01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</w:pPr>
            <w:r>
              <w:t>能识别明显误差</w:t>
            </w:r>
          </w:p>
        </w:tc>
        <w:tc>
          <w:tcPr>
            <w:tcW w:w="2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3BDC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</w:pPr>
            <w:r>
              <w:t>能分析误差来源</w:t>
            </w:r>
          </w:p>
        </w:tc>
        <w:tc>
          <w:tcPr>
            <w:tcW w:w="3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9326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</w:pPr>
            <w:r>
              <w:t>能建立简化模型分析次要因素</w:t>
            </w:r>
          </w:p>
        </w:tc>
      </w:tr>
      <w:tr w14:paraId="00250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65AA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b/>
              </w:rPr>
              <w:t>创新价值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4210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</w:pPr>
            <w:r>
              <w:t>能提出改进建议</w:t>
            </w:r>
          </w:p>
        </w:tc>
        <w:tc>
          <w:tcPr>
            <w:tcW w:w="2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F42D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</w:pPr>
            <w:r>
              <w:t>能设计创新方案</w:t>
            </w:r>
          </w:p>
        </w:tc>
        <w:tc>
          <w:tcPr>
            <w:tcW w:w="3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B426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</w:pPr>
            <w:r>
              <w:t>能制作功能性原型并优化</w:t>
            </w:r>
          </w:p>
        </w:tc>
      </w:tr>
    </w:tbl>
    <w:p w14:paraId="3393D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实践数据表明，经过6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周的项目学习，85%的学生在“质疑深度”和“创新价值”维度达到发展</w:t>
      </w:r>
      <w:r>
        <w:rPr>
          <w:rFonts w:hint="eastAsia"/>
          <w:lang w:val="en-US" w:eastAsia="zh-CN"/>
        </w:rPr>
        <w:t>水平及</w:t>
      </w:r>
      <w:r>
        <w:rPr>
          <w:rFonts w:hint="eastAsia"/>
        </w:rPr>
        <w:t>以上，</w:t>
      </w:r>
      <w:r>
        <w:rPr>
          <w:rFonts w:hint="eastAsia"/>
          <w:lang w:eastAsia="zh-CN"/>
        </w:rPr>
        <w:t>显著地高于</w:t>
      </w:r>
      <w:r>
        <w:rPr>
          <w:rFonts w:hint="eastAsia"/>
        </w:rPr>
        <w:t>传统教学班级的45%。这些数据不仅证明了教学效果，也为评价体系的优化提供了依据。</w:t>
      </w:r>
    </w:p>
    <w:p w14:paraId="3BD80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2" w:firstLineChars="200"/>
        <w:textAlignment w:val="auto"/>
        <w:rPr>
          <w:rFonts w:hint="default"/>
          <w:b/>
          <w:bCs/>
        </w:rPr>
      </w:pPr>
      <w:r>
        <w:rPr>
          <w:rFonts w:hint="default"/>
          <w:b/>
          <w:bCs/>
        </w:rPr>
        <w:t>四、实践成效与结论</w:t>
      </w:r>
    </w:p>
    <w:p w14:paraId="773FC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2" w:firstLineChars="200"/>
        <w:textAlignment w:val="auto"/>
        <w:rPr>
          <w:rFonts w:hint="default"/>
          <w:b/>
          <w:bCs/>
        </w:rPr>
      </w:pPr>
      <w:r>
        <w:rPr>
          <w:rFonts w:hint="eastAsia"/>
          <w:b/>
          <w:bCs/>
          <w:lang w:val="en-US" w:eastAsia="zh-CN"/>
        </w:rPr>
        <w:t>4.</w:t>
      </w:r>
      <w:r>
        <w:rPr>
          <w:rFonts w:hint="default"/>
          <w:b/>
          <w:bCs/>
        </w:rPr>
        <w:t>1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default"/>
          <w:b/>
          <w:bCs/>
        </w:rPr>
        <w:t>实践成效分析</w:t>
      </w:r>
    </w:p>
    <w:p w14:paraId="72E5E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default"/>
          <w:b w:val="0"/>
          <w:bCs w:val="0"/>
        </w:rPr>
      </w:pPr>
      <w:r>
        <w:rPr>
          <w:rFonts w:hint="default"/>
          <w:b w:val="0"/>
          <w:bCs w:val="0"/>
        </w:rPr>
        <w:t>本研究的实践成效主要体现在以下三个层面：</w:t>
      </w:r>
    </w:p>
    <w:p w14:paraId="746C5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2" w:firstLineChars="200"/>
        <w:textAlignment w:val="auto"/>
        <w:rPr>
          <w:rFonts w:hint="default"/>
          <w:b w:val="0"/>
          <w:bCs w:val="0"/>
        </w:rPr>
      </w:pPr>
      <w:r>
        <w:rPr>
          <w:rFonts w:hint="default"/>
          <w:b/>
          <w:bCs/>
        </w:rPr>
        <w:t>概念理解层面</w:t>
      </w:r>
      <w:r>
        <w:rPr>
          <w:rFonts w:hint="default"/>
          <w:b w:val="0"/>
          <w:bCs w:val="0"/>
        </w:rPr>
        <w:t>：学生实现了从“公式套用”到“条件性理解”的转变，能够</w:t>
      </w:r>
      <w:r>
        <w:rPr>
          <w:rFonts w:hint="eastAsia"/>
          <w:b w:val="0"/>
          <w:bCs w:val="0"/>
          <w:lang w:eastAsia="zh-CN"/>
        </w:rPr>
        <w:t>灵活地运用</w:t>
      </w:r>
      <w:r>
        <w:rPr>
          <w:rFonts w:hint="default"/>
          <w:b w:val="0"/>
          <w:bCs w:val="0"/>
        </w:rPr>
        <w:t>浮力知识分析和解决“沉船打捞”中的复杂问题。</w:t>
      </w:r>
    </w:p>
    <w:p w14:paraId="02327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2" w:firstLineChars="200"/>
        <w:textAlignment w:val="auto"/>
        <w:rPr>
          <w:rFonts w:hint="default"/>
          <w:b w:val="0"/>
          <w:bCs w:val="0"/>
        </w:rPr>
      </w:pPr>
      <w:r>
        <w:rPr>
          <w:rFonts w:hint="default"/>
          <w:b/>
          <w:bCs/>
        </w:rPr>
        <w:t>思维品质层面</w:t>
      </w:r>
      <w:r>
        <w:rPr>
          <w:rFonts w:hint="default"/>
          <w:b w:val="0"/>
          <w:bCs w:val="0"/>
        </w:rPr>
        <w:t>：学生的质疑与批判从关注零散数据异常，深入至对阿基米德原理模型边界条件的探讨，科学思维的深刻性与批判性</w:t>
      </w:r>
      <w:r>
        <w:rPr>
          <w:rFonts w:hint="eastAsia"/>
          <w:b w:val="0"/>
          <w:bCs w:val="0"/>
          <w:lang w:eastAsia="zh-CN"/>
        </w:rPr>
        <w:t>显著地提升</w:t>
      </w:r>
      <w:r>
        <w:rPr>
          <w:rFonts w:hint="default"/>
          <w:b w:val="0"/>
          <w:bCs w:val="0"/>
        </w:rPr>
        <w:t>。</w:t>
      </w:r>
    </w:p>
    <w:p w14:paraId="63B3E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2" w:firstLineChars="200"/>
        <w:textAlignment w:val="auto"/>
        <w:rPr>
          <w:rFonts w:hint="eastAsia" w:eastAsiaTheme="minorEastAsia"/>
          <w:b w:val="0"/>
          <w:bCs w:val="0"/>
          <w:lang w:eastAsia="zh-CN"/>
        </w:rPr>
      </w:pPr>
      <w:r>
        <w:rPr>
          <w:rFonts w:hint="default"/>
          <w:b/>
          <w:bCs/>
        </w:rPr>
        <w:t>创新实践层面</w:t>
      </w:r>
      <w:r>
        <w:rPr>
          <w:rFonts w:hint="default"/>
          <w:b w:val="0"/>
          <w:bCs w:val="0"/>
        </w:rPr>
        <w:t>：在工程设计中，学生展现出整合知识、应对约束条件并迭代优化的能力。正如学生刘某在反思中所言：“当我们的设计真正解决问题时，我相信科学能够创造价值。” 这标志着其创新自信与社会责任感的</w:t>
      </w:r>
      <w:r>
        <w:rPr>
          <w:rFonts w:hint="eastAsia"/>
          <w:b w:val="0"/>
          <w:bCs w:val="0"/>
          <w:lang w:eastAsia="zh-CN"/>
        </w:rPr>
        <w:t>同步地提升。</w:t>
      </w:r>
    </w:p>
    <w:p w14:paraId="2AAF1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2" w:firstLineChars="20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4.</w:t>
      </w:r>
      <w:r>
        <w:rPr>
          <w:rFonts w:hint="default"/>
          <w:b/>
          <w:bCs/>
        </w:rPr>
        <w:t>2实践反思与改进方向</w:t>
      </w:r>
      <w:r>
        <w:rPr>
          <w:rFonts w:hint="eastAsia"/>
          <w:b/>
          <w:bCs/>
          <w:lang w:val="en-US" w:eastAsia="zh-CN"/>
        </w:rPr>
        <w:t xml:space="preserve"> </w:t>
      </w:r>
    </w:p>
    <w:p w14:paraId="1F942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default"/>
          <w:b w:val="0"/>
          <w:bCs w:val="0"/>
        </w:rPr>
      </w:pPr>
      <w:r>
        <w:rPr>
          <w:rFonts w:hint="default"/>
          <w:b w:val="0"/>
          <w:bCs w:val="0"/>
        </w:rPr>
        <w:t>本研究的实践成效显著，但也暴露了</w:t>
      </w:r>
      <w:r>
        <w:rPr>
          <w:rFonts w:hint="eastAsia"/>
          <w:b w:val="0"/>
          <w:bCs w:val="0"/>
          <w:lang w:val="en-US" w:eastAsia="zh-CN"/>
        </w:rPr>
        <w:t>如夏雪梅博士指出的关于</w:t>
      </w:r>
      <w:r>
        <w:rPr>
          <w:rFonts w:hint="default"/>
          <w:b w:val="0"/>
          <w:bCs w:val="0"/>
        </w:rPr>
        <w:t>项目化学习在本土化实践中普遍面临的挑战</w:t>
      </w:r>
      <w:r>
        <w:rPr>
          <w:rFonts w:hint="eastAsia"/>
        </w:rPr>
        <w:t>[2]</w:t>
      </w:r>
      <w:r>
        <w:rPr>
          <w:rFonts w:hint="default"/>
          <w:b w:val="0"/>
          <w:bCs w:val="0"/>
        </w:rPr>
        <w:t>，主要体现在以下三个方面：</w:t>
      </w:r>
    </w:p>
    <w:p w14:paraId="2AEE3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240" w:firstLineChars="200"/>
        <w:textAlignment w:val="auto"/>
        <w:rPr>
          <w:rFonts w:hint="default"/>
          <w:b w:val="0"/>
          <w:bCs w:val="0"/>
        </w:rPr>
      </w:pPr>
      <w:r>
        <w:rPr>
          <w:rStyle w:val="11"/>
          <w:rFonts w:ascii="Consolas" w:hAnsi="Consolas" w:eastAsia="Consolas" w:cs="Consolas"/>
          <w:b/>
          <w:bCs/>
          <w:i w:val="0"/>
          <w:iCs w:val="0"/>
          <w:caps w:val="0"/>
          <w:color w:val="1A2029"/>
          <w:spacing w:val="0"/>
          <w:sz w:val="12"/>
          <w:szCs w:val="12"/>
          <w:shd w:val="clear" w:fill="FFFFFF"/>
          <w:vertAlign w:val="baseline"/>
        </w:rPr>
        <w:t>•</w:t>
      </w:r>
      <w:r>
        <w:rPr>
          <w:rFonts w:hint="default"/>
          <w:b/>
          <w:bCs/>
        </w:rPr>
        <w:t>教师角色转型</w:t>
      </w:r>
      <w:r>
        <w:rPr>
          <w:rFonts w:hint="default"/>
          <w:b w:val="0"/>
          <w:bCs w:val="0"/>
        </w:rPr>
        <w:t>： 项目的有效实施迫切需要教师从知识传授者转变为项目的设计者、思维的引导者与过程的支持者。这对教师的项目设计与过程指导能力提出了更高要求。未来需配套系统性的教师专业发展支持与培训机制。</w:t>
      </w:r>
    </w:p>
    <w:p w14:paraId="35822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240" w:firstLineChars="200"/>
        <w:textAlignment w:val="auto"/>
        <w:rPr>
          <w:rFonts w:hint="default"/>
          <w:b w:val="0"/>
          <w:bCs w:val="0"/>
        </w:rPr>
      </w:pPr>
      <w:r>
        <w:rPr>
          <w:rStyle w:val="11"/>
          <w:rFonts w:ascii="Consolas" w:hAnsi="Consolas" w:eastAsia="Consolas" w:cs="Consolas"/>
          <w:b/>
          <w:bCs/>
          <w:i w:val="0"/>
          <w:iCs w:val="0"/>
          <w:caps w:val="0"/>
          <w:color w:val="1A2029"/>
          <w:spacing w:val="0"/>
          <w:sz w:val="12"/>
          <w:szCs w:val="12"/>
          <w:shd w:val="clear" w:fill="FFFFFF"/>
          <w:vertAlign w:val="baseline"/>
        </w:rPr>
        <w:t>•</w:t>
      </w:r>
      <w:r>
        <w:rPr>
          <w:rFonts w:hint="default"/>
          <w:b/>
          <w:bCs/>
        </w:rPr>
        <w:t>课程实施保障</w:t>
      </w:r>
      <w:r>
        <w:rPr>
          <w:rFonts w:hint="default"/>
          <w:b w:val="0"/>
          <w:bCs w:val="0"/>
        </w:rPr>
        <w:t>： 项目学习需要充足的课时与资源支持，如何在学校现有的课程结构中协调项目学习与常规教学，是提升其可行性的关键。本研究尝试将项目学习与课程标准更紧密地结合，以提高实施的可行性。</w:t>
      </w:r>
    </w:p>
    <w:p w14:paraId="766D2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240" w:firstLineChars="200"/>
        <w:textAlignment w:val="auto"/>
        <w:rPr>
          <w:rFonts w:hint="default"/>
          <w:b w:val="0"/>
          <w:bCs w:val="0"/>
        </w:rPr>
      </w:pPr>
      <w:r>
        <w:rPr>
          <w:rStyle w:val="11"/>
          <w:rFonts w:ascii="Consolas" w:hAnsi="Consolas" w:eastAsia="Consolas" w:cs="Consolas"/>
          <w:b/>
          <w:bCs/>
          <w:i w:val="0"/>
          <w:iCs w:val="0"/>
          <w:caps w:val="0"/>
          <w:color w:val="1A2029"/>
          <w:spacing w:val="0"/>
          <w:sz w:val="12"/>
          <w:szCs w:val="12"/>
          <w:shd w:val="clear" w:fill="FFFFFF"/>
          <w:vertAlign w:val="baseline"/>
        </w:rPr>
        <w:t>•</w:t>
      </w:r>
      <w:r>
        <w:rPr>
          <w:rFonts w:hint="default"/>
          <w:b/>
          <w:bCs/>
        </w:rPr>
        <w:t>学生个体差异</w:t>
      </w:r>
      <w:r>
        <w:rPr>
          <w:rFonts w:hint="default"/>
          <w:b w:val="0"/>
          <w:bCs w:val="0"/>
        </w:rPr>
        <w:t>：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default"/>
          <w:b w:val="0"/>
          <w:bCs w:val="0"/>
        </w:rPr>
        <w:t>项目式学习环境中，学生的基础与能力差异更为凸显。如何为不同起点的学生提供个性化的学习支架，确保全体学生共同发展，是实现教育公平的重点难点，也是本项目下一步需要重点研究的问题。</w:t>
      </w:r>
    </w:p>
    <w:p w14:paraId="4B08B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2" w:firstLineChars="200"/>
        <w:textAlignment w:val="auto"/>
        <w:rPr>
          <w:rFonts w:hint="default"/>
          <w:b/>
          <w:bCs/>
        </w:rPr>
      </w:pPr>
      <w:r>
        <w:rPr>
          <w:rFonts w:hint="eastAsia"/>
          <w:b/>
          <w:bCs/>
          <w:lang w:val="en-US" w:eastAsia="zh-CN"/>
        </w:rPr>
        <w:t>4.</w:t>
      </w:r>
      <w:r>
        <w:rPr>
          <w:rFonts w:hint="default"/>
          <w:b/>
          <w:bCs/>
        </w:rPr>
        <w:t>3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default"/>
          <w:b/>
          <w:bCs/>
        </w:rPr>
        <w:t>研究结论与创新价值</w:t>
      </w:r>
    </w:p>
    <w:p w14:paraId="4DB5E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default"/>
          <w:b w:val="0"/>
          <w:bCs w:val="0"/>
        </w:rPr>
      </w:pPr>
      <w:r>
        <w:rPr>
          <w:rFonts w:hint="default"/>
          <w:b w:val="0"/>
          <w:bCs w:val="0"/>
        </w:rPr>
        <w:t>本研究通过系统的理论构建与教学实践，形成了以“真实情境为载体、三阶任务链为路径、多维评价为支撑”的质疑创新能力培养模式。该模式的核心创新价值在于：</w:t>
      </w:r>
    </w:p>
    <w:p w14:paraId="5C65A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240" w:firstLineChars="200"/>
        <w:textAlignment w:val="auto"/>
        <w:rPr>
          <w:rFonts w:hint="default"/>
          <w:b w:val="0"/>
          <w:bCs w:val="0"/>
        </w:rPr>
      </w:pPr>
      <w:r>
        <w:rPr>
          <w:rStyle w:val="11"/>
          <w:rFonts w:ascii="Consolas" w:hAnsi="Consolas" w:eastAsia="Consolas" w:cs="Consolas"/>
          <w:b/>
          <w:bCs/>
          <w:i w:val="0"/>
          <w:iCs w:val="0"/>
          <w:caps w:val="0"/>
          <w:color w:val="1A2029"/>
          <w:spacing w:val="0"/>
          <w:sz w:val="12"/>
          <w:szCs w:val="12"/>
          <w:shd w:val="clear" w:fill="FFFFFF"/>
          <w:vertAlign w:val="baseline"/>
        </w:rPr>
        <w:t>•</w:t>
      </w:r>
      <w:r>
        <w:rPr>
          <w:rFonts w:hint="default"/>
          <w:b/>
          <w:bCs/>
        </w:rPr>
        <w:t>理论融合创新</w:t>
      </w:r>
      <w:r>
        <w:rPr>
          <w:rFonts w:hint="default"/>
          <w:b w:val="0"/>
          <w:bCs w:val="0"/>
        </w:rPr>
        <w:t>：将建构主义、认知冲突与工程思维理论深度融合，构建了“认知冲突→</w:t>
      </w:r>
      <w:r>
        <w:rPr>
          <w:rFonts w:hint="eastAsia"/>
          <w:b w:val="0"/>
          <w:bCs w:val="0"/>
          <w:lang w:eastAsia="zh-CN"/>
        </w:rPr>
        <w:t>模型分析</w:t>
      </w:r>
      <w:r>
        <w:rPr>
          <w:rFonts w:hint="default"/>
          <w:b w:val="0"/>
          <w:bCs w:val="0"/>
        </w:rPr>
        <w:t>→工程实践”的思维发展模型，为科学教育理论提供了新的实践注脚。</w:t>
      </w:r>
    </w:p>
    <w:p w14:paraId="26ED8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240" w:firstLineChars="200"/>
        <w:textAlignment w:val="auto"/>
        <w:rPr>
          <w:rFonts w:hint="default"/>
          <w:b w:val="0"/>
          <w:bCs w:val="0"/>
        </w:rPr>
      </w:pPr>
      <w:r>
        <w:rPr>
          <w:rStyle w:val="11"/>
          <w:rFonts w:ascii="Consolas" w:hAnsi="Consolas" w:eastAsia="Consolas" w:cs="Consolas"/>
          <w:b/>
          <w:bCs/>
          <w:i w:val="0"/>
          <w:iCs w:val="0"/>
          <w:caps w:val="0"/>
          <w:color w:val="1A2029"/>
          <w:spacing w:val="0"/>
          <w:sz w:val="12"/>
          <w:szCs w:val="12"/>
          <w:shd w:val="clear" w:fill="FFFFFF"/>
          <w:vertAlign w:val="baseline"/>
        </w:rPr>
        <w:t>•</w:t>
      </w:r>
      <w:r>
        <w:rPr>
          <w:rFonts w:hint="default"/>
          <w:b/>
          <w:bCs/>
        </w:rPr>
        <w:t>教学路径创新</w:t>
      </w:r>
      <w:r>
        <w:rPr>
          <w:rFonts w:hint="default"/>
          <w:b w:val="0"/>
          <w:bCs w:val="0"/>
        </w:rPr>
        <w:t>：首创“质疑—批判—创新”三阶任务链，实现了课堂教学从“知识传递”到“思维生成”的根本性转型，该路径符合认知规律且贴近科学实践，具有较强的可推广性。</w:t>
      </w:r>
    </w:p>
    <w:p w14:paraId="0F160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240" w:firstLineChars="200"/>
        <w:textAlignment w:val="auto"/>
        <w:rPr>
          <w:rFonts w:hint="default"/>
          <w:b w:val="0"/>
          <w:bCs w:val="0"/>
        </w:rPr>
      </w:pPr>
      <w:r>
        <w:rPr>
          <w:rStyle w:val="11"/>
          <w:rFonts w:ascii="Consolas" w:hAnsi="Consolas" w:eastAsia="Consolas" w:cs="Consolas"/>
          <w:b/>
          <w:bCs/>
          <w:i w:val="0"/>
          <w:iCs w:val="0"/>
          <w:caps w:val="0"/>
          <w:color w:val="1A2029"/>
          <w:spacing w:val="0"/>
          <w:sz w:val="12"/>
          <w:szCs w:val="12"/>
          <w:shd w:val="clear" w:fill="FFFFFF"/>
          <w:vertAlign w:val="baseline"/>
        </w:rPr>
        <w:t>•</w:t>
      </w:r>
      <w:r>
        <w:rPr>
          <w:rFonts w:hint="default"/>
          <w:b/>
          <w:bCs/>
        </w:rPr>
        <w:t>评价机制创新</w:t>
      </w:r>
      <w:r>
        <w:rPr>
          <w:rFonts w:hint="default"/>
          <w:b w:val="0"/>
          <w:bCs w:val="0"/>
        </w:rPr>
        <w:t>：开发的质疑创新能力评价量表，</w:t>
      </w:r>
      <w:r>
        <w:rPr>
          <w:rFonts w:hint="eastAsia"/>
          <w:b w:val="0"/>
          <w:bCs w:val="0"/>
          <w:lang w:eastAsia="zh-CN"/>
        </w:rPr>
        <w:t>有效地破解</w:t>
      </w:r>
      <w:r>
        <w:rPr>
          <w:rFonts w:hint="default"/>
          <w:b w:val="0"/>
          <w:bCs w:val="0"/>
        </w:rPr>
        <w:t>了高阶思维难以量化的困境，推动了教学评价从重“知识考核”向重“思维品质”的转向。</w:t>
      </w:r>
    </w:p>
    <w:p w14:paraId="0602B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default"/>
          <w:b w:val="0"/>
          <w:bCs w:val="0"/>
        </w:rPr>
      </w:pPr>
      <w:r>
        <w:rPr>
          <w:rFonts w:hint="default"/>
          <w:b w:val="0"/>
          <w:bCs w:val="0"/>
        </w:rPr>
        <w:t>综上所述，本模式不仅为核心素养的落地提供了可复制的范例，更在实践中</w:t>
      </w:r>
      <w:r>
        <w:rPr>
          <w:rFonts w:hint="eastAsia"/>
          <w:b w:val="0"/>
          <w:bCs w:val="0"/>
          <w:lang w:eastAsia="zh-CN"/>
        </w:rPr>
        <w:t>有效地提升</w:t>
      </w:r>
      <w:r>
        <w:rPr>
          <w:rFonts w:hint="default"/>
          <w:b w:val="0"/>
          <w:bCs w:val="0"/>
        </w:rPr>
        <w:t>了学生的科学思维与创新能力，培养了其敢于质疑、勇于创新的科学精神。未来研究将致力于该模式在不同学科主题中的迁移应用，并着力解决本次反思中提及的教师支持与个性化学习等深层问题</w:t>
      </w:r>
      <w:r>
        <w:rPr>
          <w:rFonts w:hint="eastAsia"/>
          <w:b w:val="0"/>
          <w:bCs w:val="0"/>
          <w:lang w:eastAsia="zh-CN"/>
        </w:rPr>
        <w:t>，</w:t>
      </w:r>
      <w:r>
        <w:rPr>
          <w:rFonts w:hint="default"/>
          <w:b w:val="0"/>
          <w:bCs w:val="0"/>
        </w:rPr>
        <w:t>为基础教育阶段的创新人才培养贡献更多实践智慧。</w:t>
      </w:r>
    </w:p>
    <w:p w14:paraId="58CDE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                                               </w:t>
      </w:r>
    </w:p>
    <w:p w14:paraId="451E7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jc w:val="left"/>
        <w:textAlignment w:val="auto"/>
        <w:rPr>
          <w:rFonts w:hint="default" w:eastAsia="宋体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（作者通联：曾</w:t>
      </w:r>
      <w:r>
        <w:rPr>
          <w:rFonts w:hint="eastAsia" w:ascii="Verdana" w:hAnsi="Verdana" w:eastAsia="宋体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鸿</w:t>
      </w:r>
      <w:r>
        <w:rPr>
          <w:rFonts w:ascii="Verdana" w:hAnsi="Verdana" w:eastAsia="宋体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13818596563</w:t>
      </w:r>
      <w:r>
        <w:rPr>
          <w:rFonts w:hint="eastAsia" w:ascii="Verdana" w:hAnsi="Verdana" w:eastAsia="宋体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；</w:t>
      </w:r>
      <w:r>
        <w:rPr>
          <w:rFonts w:hint="eastAsia" w:ascii="Verdana" w:hAnsi="Verdana" w:eastAsia="宋体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邮箱360512385@qq.com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）   </w:t>
      </w:r>
    </w:p>
    <w:p w14:paraId="6AEFE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rPr>
          <w:rFonts w:hint="eastAsia"/>
          <w:b w:val="0"/>
          <w:bCs w:val="0"/>
        </w:rPr>
      </w:pPr>
    </w:p>
    <w:p w14:paraId="1AE33E45"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参考文献  </w:t>
      </w:r>
    </w:p>
    <w:p w14:paraId="22426A15">
      <w:pPr>
        <w:rPr>
          <w:rFonts w:hint="eastAsia"/>
        </w:rPr>
      </w:pPr>
      <w:r>
        <w:rPr>
          <w:rFonts w:hint="eastAsia"/>
        </w:rPr>
        <w:t xml:space="preserve">[1] 中华人民共和国教育部. 义务教育物理课程标准（2022年版）[S]. 北京：北京师范大学出版社，2022.  </w:t>
      </w:r>
    </w:p>
    <w:p w14:paraId="0709ECA8">
      <w:pPr>
        <w:rPr>
          <w:rFonts w:hint="eastAsia"/>
        </w:rPr>
      </w:pPr>
      <w:r>
        <w:rPr>
          <w:rFonts w:hint="eastAsia"/>
        </w:rPr>
        <w:t xml:space="preserve">[2] 夏雪梅. 项目化学习设计：学习素养视角下的国际与本土实践[M]. 北京：教育科学出版社，2021.  </w:t>
      </w:r>
    </w:p>
    <w:p w14:paraId="53193D28">
      <w:pPr>
        <w:rPr>
          <w:rFonts w:hint="eastAsia"/>
        </w:rPr>
      </w:pPr>
      <w:r>
        <w:rPr>
          <w:rFonts w:hint="eastAsia"/>
        </w:rPr>
        <w:t xml:space="preserve">[3] 王较过，张红洋. 物理实验教学论[M]. 北京：科学出版社，2019.  </w:t>
      </w:r>
    </w:p>
    <w:p w14:paraId="6EB2B903">
      <w:pPr>
        <w:rPr>
          <w:rFonts w:hint="eastAsia"/>
        </w:rPr>
      </w:pPr>
      <w:r>
        <w:rPr>
          <w:rFonts w:hint="eastAsia"/>
        </w:rPr>
        <w:t xml:space="preserve">[4] 郭玉英，姚建欣. 基于核心素养的物理学科能力研究[M]. 北京：北京师范大学出版社，2020.  </w:t>
      </w:r>
    </w:p>
    <w:p w14:paraId="18C31C9A">
      <w:pPr>
        <w:rPr>
          <w:rFonts w:hint="eastAsia"/>
        </w:rPr>
      </w:pPr>
      <w:r>
        <w:rPr>
          <w:rFonts w:hint="eastAsia"/>
        </w:rPr>
        <w:t xml:space="preserve">[5] 张玉峰，郭玉英. 围绕核心概念建构的物理单元教学设计[J]. 课程·教材·教法，2018, 38(12): 78-83.  </w:t>
      </w:r>
    </w:p>
    <w:p w14:paraId="44884892">
      <w:pPr>
        <w:rPr>
          <w:rFonts w:hint="eastAsia"/>
        </w:rPr>
      </w:pPr>
      <w:r>
        <w:rPr>
          <w:rFonts w:hint="eastAsia"/>
        </w:rPr>
        <w:t>[6]Jonassen D H. Objectivism versus constructivism: Do we need a new philosophical paradigm?[J]. Educational T echnology Research and Development, 1991, 39(3): 5-14.</w:t>
      </w:r>
    </w:p>
    <w:p w14:paraId="4B5E006B">
      <w:pPr>
        <w:rPr>
          <w:rFonts w:hint="eastAsia"/>
        </w:rPr>
      </w:pPr>
      <w:r>
        <w:rPr>
          <w:rFonts w:hint="eastAsia"/>
        </w:rPr>
        <w:t>[7] Krajcik, J. S., &amp; Blumenfeld, P . C. Project-based learning[M]// The Cambridge Handbook of the Learning Sciences. New York: Cambridge University Press, 2006: 317–334.</w:t>
      </w:r>
    </w:p>
    <w:p w14:paraId="1BB7D478">
      <w:pPr>
        <w:rPr>
          <w:rFonts w:hint="eastAsia"/>
        </w:rPr>
      </w:pPr>
      <w:r>
        <w:rPr>
          <w:rFonts w:hint="eastAsia"/>
        </w:rPr>
        <w:t>[8]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Linn, M. C., &amp; Eylon, B. S. Science Learning and Instruction: T aking Advantage of T echnology to Promote Knowledge Integration[M]. New York: Routledge, 2011.</w:t>
      </w:r>
    </w:p>
    <w:p w14:paraId="53DA8609">
      <w:r>
        <w:rPr>
          <w:rFonts w:hint="eastAsia"/>
        </w:rPr>
        <w:t>[9] Giere, R. N. Scientific Perspectivism[M]. Chicago: University of Chicago Press, 2006.</w:t>
      </w:r>
    </w:p>
    <w:p w14:paraId="7061B95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E3E06"/>
    <w:rsid w:val="065A1D10"/>
    <w:rsid w:val="06C74ECC"/>
    <w:rsid w:val="0701218C"/>
    <w:rsid w:val="07F41CF0"/>
    <w:rsid w:val="08B17BE1"/>
    <w:rsid w:val="092C235D"/>
    <w:rsid w:val="0A2979F9"/>
    <w:rsid w:val="0ADA66CF"/>
    <w:rsid w:val="0C2B79E9"/>
    <w:rsid w:val="0CCE0D62"/>
    <w:rsid w:val="0E297BEF"/>
    <w:rsid w:val="0F916077"/>
    <w:rsid w:val="10260EB5"/>
    <w:rsid w:val="107240FA"/>
    <w:rsid w:val="107B2FAF"/>
    <w:rsid w:val="11BF511D"/>
    <w:rsid w:val="12303CF2"/>
    <w:rsid w:val="123A47A4"/>
    <w:rsid w:val="13AE5449"/>
    <w:rsid w:val="15041E08"/>
    <w:rsid w:val="16223ECC"/>
    <w:rsid w:val="163559AE"/>
    <w:rsid w:val="16486A81"/>
    <w:rsid w:val="16734728"/>
    <w:rsid w:val="16781D3E"/>
    <w:rsid w:val="16E3365C"/>
    <w:rsid w:val="17DB2585"/>
    <w:rsid w:val="181A12FF"/>
    <w:rsid w:val="19D96F98"/>
    <w:rsid w:val="1A98650B"/>
    <w:rsid w:val="1D1E53EE"/>
    <w:rsid w:val="1D8316F5"/>
    <w:rsid w:val="1E25455A"/>
    <w:rsid w:val="1EA87DA4"/>
    <w:rsid w:val="1F0E1492"/>
    <w:rsid w:val="21494A03"/>
    <w:rsid w:val="22A068A5"/>
    <w:rsid w:val="22D327D6"/>
    <w:rsid w:val="23645B24"/>
    <w:rsid w:val="243E45C7"/>
    <w:rsid w:val="266B71CA"/>
    <w:rsid w:val="270B61A9"/>
    <w:rsid w:val="285E6FE6"/>
    <w:rsid w:val="29B42C36"/>
    <w:rsid w:val="2A44220C"/>
    <w:rsid w:val="2CEA709A"/>
    <w:rsid w:val="2F882B9B"/>
    <w:rsid w:val="30C8745B"/>
    <w:rsid w:val="30E052E7"/>
    <w:rsid w:val="31440D43"/>
    <w:rsid w:val="31A517E2"/>
    <w:rsid w:val="332F6F63"/>
    <w:rsid w:val="344E604C"/>
    <w:rsid w:val="34703364"/>
    <w:rsid w:val="35132F06"/>
    <w:rsid w:val="35A46254"/>
    <w:rsid w:val="38216165"/>
    <w:rsid w:val="384B0C09"/>
    <w:rsid w:val="386A5533"/>
    <w:rsid w:val="38A74091"/>
    <w:rsid w:val="38CC3AF8"/>
    <w:rsid w:val="39BD13BD"/>
    <w:rsid w:val="3B781D15"/>
    <w:rsid w:val="3BA945C4"/>
    <w:rsid w:val="3EAB2402"/>
    <w:rsid w:val="3F116709"/>
    <w:rsid w:val="400923E1"/>
    <w:rsid w:val="40730223"/>
    <w:rsid w:val="41362456"/>
    <w:rsid w:val="42AD499A"/>
    <w:rsid w:val="43E93950"/>
    <w:rsid w:val="447137A5"/>
    <w:rsid w:val="44D167CA"/>
    <w:rsid w:val="456F44C9"/>
    <w:rsid w:val="462E5DF2"/>
    <w:rsid w:val="46F72688"/>
    <w:rsid w:val="477C0DDF"/>
    <w:rsid w:val="4A275032"/>
    <w:rsid w:val="4B1F3F5B"/>
    <w:rsid w:val="4B427C4A"/>
    <w:rsid w:val="4BD016F9"/>
    <w:rsid w:val="4CCC1EC1"/>
    <w:rsid w:val="4DF01BDF"/>
    <w:rsid w:val="50065066"/>
    <w:rsid w:val="51053BF3"/>
    <w:rsid w:val="532B5F5D"/>
    <w:rsid w:val="53CE78F8"/>
    <w:rsid w:val="543C792C"/>
    <w:rsid w:val="586E6522"/>
    <w:rsid w:val="5974452F"/>
    <w:rsid w:val="5CF54B1C"/>
    <w:rsid w:val="5DFE52E8"/>
    <w:rsid w:val="5EBF3633"/>
    <w:rsid w:val="5EE4309A"/>
    <w:rsid w:val="5FF80597"/>
    <w:rsid w:val="60423096"/>
    <w:rsid w:val="61495849"/>
    <w:rsid w:val="62126170"/>
    <w:rsid w:val="63CE5D8F"/>
    <w:rsid w:val="63D538F9"/>
    <w:rsid w:val="655F16CC"/>
    <w:rsid w:val="69BF6BDD"/>
    <w:rsid w:val="6A107439"/>
    <w:rsid w:val="6AA13A6B"/>
    <w:rsid w:val="6C151A12"/>
    <w:rsid w:val="6C564DD5"/>
    <w:rsid w:val="6DF10206"/>
    <w:rsid w:val="70B52AE8"/>
    <w:rsid w:val="7121017E"/>
    <w:rsid w:val="731F06ED"/>
    <w:rsid w:val="74624D35"/>
    <w:rsid w:val="758C1AC9"/>
    <w:rsid w:val="77377733"/>
    <w:rsid w:val="77A64F39"/>
    <w:rsid w:val="783469E8"/>
    <w:rsid w:val="78994A9D"/>
    <w:rsid w:val="79815C5D"/>
    <w:rsid w:val="79FA6869"/>
    <w:rsid w:val="7D8F6DB2"/>
    <w:rsid w:val="7DFC1D56"/>
    <w:rsid w:val="7E7F4735"/>
    <w:rsid w:val="7EB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styleId="11">
    <w:name w:val="HTML Code"/>
    <w:basedOn w:val="7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3700</Words>
  <Characters>4296</Characters>
  <Lines>0</Lines>
  <Paragraphs>0</Paragraphs>
  <TotalTime>2</TotalTime>
  <ScaleCrop>false</ScaleCrop>
  <LinksUpToDate>false</LinksUpToDate>
  <CharactersWithSpaces>4489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2025-11-27T13:52:00Z</dcterms:created>
  <dc:creator>Administrator</dc:creator>
  <cp:lastModifiedBy>曾鸿</cp:lastModifiedBy>
  <dcterms:modified xsi:type="dcterms:W3CDTF">2026-03-18T06:37:01Z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eyJoZGlkIjoiNDhjNTgyOTY0YzZlZjg2NjI4NzUyMTkyMWQ2N2E3OWEiLCJ1c2VySWQiOiI2MDE3MTE0NzAifQ==</vt:lpwstr>
  </property>
  <property fmtid="{D5CDD505-2E9C-101B-9397-08002B2CF9AE}" pid="4" name="ICV">
    <vt:lpwstr>E85E15BE663F4E0A8ACB07CBFAC6A6FE_12</vt:lpwstr>
  </property>
</Properties>
</file>