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960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rPr>
      </w:pPr>
      <w:bookmarkStart w:id="0" w:name="_GoBack"/>
      <w:bookmarkEnd w:id="0"/>
      <w:r>
        <w:rPr>
          <w:rFonts w:hint="eastAsia" w:ascii="黑体" w:hAnsi="黑体" w:eastAsia="黑体" w:cs="黑体"/>
          <w:sz w:val="32"/>
          <w:szCs w:val="32"/>
        </w:rPr>
        <w:t>幼儿园区域运动中开展差异化支持的实践研究</w:t>
      </w:r>
    </w:p>
    <w:p w14:paraId="1E593E1A">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——基于马赛克方法的路径建构</w:t>
      </w:r>
      <w:r>
        <w:rPr>
          <w:rFonts w:hint="eastAsia" w:ascii="黑体" w:hAnsi="黑体" w:eastAsia="黑体" w:cs="黑体"/>
          <w:sz w:val="32"/>
          <w:szCs w:val="32"/>
          <w:lang w:val="en-US" w:eastAsia="zh-CN"/>
        </w:rPr>
        <w:t>与策略改进</w:t>
      </w:r>
    </w:p>
    <w:p w14:paraId="38C43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Songti SC Regular" w:hAnsi="Songti SC Regular" w:eastAsia="Songti SC Regular" w:cs="Songti SC Regular"/>
          <w:sz w:val="24"/>
          <w:szCs w:val="24"/>
          <w:lang w:val="en-US" w:eastAsia="zh-CN"/>
        </w:rPr>
      </w:pPr>
      <w:r>
        <w:rPr>
          <w:rFonts w:hint="eastAsia" w:ascii="Songti SC Regular" w:hAnsi="Songti SC Regular" w:eastAsia="Songti SC Regular" w:cs="Songti SC Regular"/>
          <w:sz w:val="24"/>
          <w:szCs w:val="24"/>
          <w:lang w:val="en-US" w:eastAsia="zh-CN"/>
        </w:rPr>
        <w:t>徐汇区上海幼儿园  余倩斐</w:t>
      </w:r>
    </w:p>
    <w:p w14:paraId="30E72B52">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hint="eastAsia" w:ascii="Songti SC Regular" w:hAnsi="Songti SC Regular" w:eastAsia="Songti SC Regular" w:cs="Songti SC Regular"/>
          <w:sz w:val="24"/>
          <w:szCs w:val="24"/>
          <w:lang w:val="en-US" w:eastAsia="zh-CN"/>
        </w:rPr>
      </w:pPr>
    </w:p>
    <w:p w14:paraId="7D8A0AA6">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w:t>
      </w:r>
      <w:r>
        <w:rPr>
          <w:rFonts w:hint="eastAsia" w:ascii="Songti SC Bold" w:hAnsi="Songti SC Bold" w:eastAsia="Songti SC Bold" w:cs="Songti SC Bold"/>
          <w:b/>
          <w:bCs/>
        </w:rPr>
        <w:t>摘要</w:t>
      </w:r>
      <w:r>
        <w:rPr>
          <w:rFonts w:hint="eastAsia" w:ascii="Songti SC Bold" w:hAnsi="Songti SC Bold" w:eastAsia="Songti SC Bold" w:cs="Songti SC Bold"/>
          <w:b/>
          <w:bCs/>
          <w:lang w:val="en-US" w:eastAsia="zh-CN"/>
        </w:rPr>
        <w:t>]</w:t>
      </w:r>
      <w:r>
        <w:rPr>
          <w:rFonts w:hint="eastAsia" w:ascii="Songti SC Regular" w:hAnsi="Songti SC Regular" w:eastAsia="Songti SC Regular" w:cs="Songti SC Regular"/>
        </w:rPr>
        <w:t>本文基于幼儿园区域运动实践，针对传统区域运动中“支持同质化、信息来源单一、儿童表达不足”的三类问题，</w:t>
      </w:r>
      <w:r>
        <w:rPr>
          <w:rFonts w:hint="eastAsia" w:ascii="Songti SC Regular" w:hAnsi="Songti SC Regular" w:eastAsia="Songti SC Regular" w:cs="Songti SC Regular"/>
          <w:lang w:val="en-US" w:eastAsia="zh-CN"/>
        </w:rPr>
        <w:t>创新</w:t>
      </w:r>
      <w:r>
        <w:rPr>
          <w:rFonts w:hint="eastAsia" w:ascii="Songti SC Regular" w:hAnsi="Songti SC Regular" w:eastAsia="Songti SC Regular" w:cs="Songti SC Regular"/>
        </w:rPr>
        <w:t>性地将马赛克方法融入到区域运动的组织、观察、反思及评价的过程中，建构面向幼儿个体差异和群体差异的支持策略。研究综合采用文献研究、问卷调查、行动研究与案例研究等方法，对33位在编教师开展问卷调查与深度访谈，并以区域运动中的典型事件为切口，持续收集幼儿在兴趣、能力、心理和社会性交往等方面的多元信息。研究发现：第一，马赛克方法能够有效拓展教师识别幼儿差异的信息来源，使儿童拍照、绘画表征、儿童会议、地图制作和家长访谈等成为区域运动课程改进的关键证据；第二，以“深度分析识别差异—比对目标实施支持—多元评价持续调整”为主线，可形成具有可操作性的差异化支持闭环；第三，差异化支持的有效推进，既依赖面向认知、品德、技能与行为的个体支持，也需要依据小、中、大班年龄特征建构群体支持体系。实践表明，融入马赛克方法后，幼儿在运动知识、运动技能、规则意识、合作能力、问题解决能力与主体表达等方面均获得明显发展，教师的儿童立场、观察评估能力、课程建构能力与教研反思能力亦得到显著提升。研究认为，马赛克方法不是区域运动中的一种附加技术，而是推动幼儿园从“经验式管理”转向“证据式支持”、从“统一施教”转向“精准回应”的重要课程方法。</w:t>
      </w:r>
    </w:p>
    <w:p w14:paraId="7272F4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p>
    <w:p w14:paraId="4B58665A">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w:t>
      </w:r>
      <w:r>
        <w:rPr>
          <w:rFonts w:hint="eastAsia" w:ascii="Songti SC Bold" w:hAnsi="Songti SC Bold" w:eastAsia="Songti SC Bold" w:cs="Songti SC Bold"/>
          <w:b/>
          <w:bCs/>
        </w:rPr>
        <w:t>关键词</w:t>
      </w:r>
      <w:r>
        <w:rPr>
          <w:rFonts w:hint="eastAsia" w:ascii="Songti SC Bold" w:hAnsi="Songti SC Bold" w:eastAsia="Songti SC Bold" w:cs="Songti SC Bold"/>
          <w:b/>
          <w:bCs/>
          <w:lang w:val="en-US" w:eastAsia="zh-CN"/>
        </w:rPr>
        <w:t>]</w:t>
      </w:r>
      <w:r>
        <w:rPr>
          <w:rFonts w:hint="eastAsia" w:ascii="Songti SC Regular" w:hAnsi="Songti SC Regular" w:eastAsia="Songti SC Regular" w:cs="Songti SC Regular"/>
        </w:rPr>
        <w:t>马赛克方法；幼儿园；区域运动；差异化支持；儿童参与</w:t>
      </w:r>
    </w:p>
    <w:p w14:paraId="62ACDB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p>
    <w:p w14:paraId="6D62DB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在学前教育高质量发展的背景下，幼儿园课程实施越来越强调儿童立场、过程质量与个性化发展。尤其在健康领域，运动不再只是动作练习的集合，也不只是满足每日户外活动时间的制度性安排，而应成为幼儿感知自我、表达经验、建构规则、发展社会性的重要场域。区域运动因其低结构、高自主、可选择、多互动的特点，天然适合观察和支持幼儿之间的差异。但在许多现实场景中，教师仍然倾向于以统一目标、统一材料、统一规则推进活动，对幼儿“看得见的动作”关注较多，对幼儿“看不见的想法、动机与感受”把握不足，因而难以真正实施差异化支持。</w:t>
      </w:r>
    </w:p>
    <w:p w14:paraId="49A7B2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已有</w:t>
      </w:r>
      <w:r>
        <w:rPr>
          <w:rFonts w:hint="eastAsia" w:ascii="Songti SC Regular" w:hAnsi="Songti SC Regular" w:eastAsia="Songti SC Regular" w:cs="Songti SC Regular"/>
          <w:lang w:val="en-US" w:eastAsia="zh-CN"/>
        </w:rPr>
        <w:t>研究</w:t>
      </w:r>
      <w:r>
        <w:rPr>
          <w:rFonts w:hint="eastAsia" w:ascii="Songti SC Regular" w:hAnsi="Songti SC Regular" w:eastAsia="Songti SC Regular" w:cs="Songti SC Regular"/>
        </w:rPr>
        <w:t>表明，区域运动中的差异并非局限于动作能力高低，还同时体现为兴趣差异、经验差异、认知差异、心理差异、家庭支持差异和同伴关系差异。若教师仅凭即时经验进行判断，就容易把“暂时停顿”误读为“走神”，把“拒绝参与”误判为“胆小”，把“规则冲突”简化为“纪律问题”。教育实践的关键，不在于给幼儿贴标签，而在于通过更立体、更真实、更持续的信息收集，理解其行为背后的真实需要，并据此进行适宜支持。</w:t>
      </w:r>
    </w:p>
    <w:p w14:paraId="133632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正是在这一意义上，马赛克方法为幼儿园区域运动中的差异化支持提供了新的研究视角和实践工具。</w:t>
      </w:r>
    </w:p>
    <w:p w14:paraId="6A3F62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所谓马赛克方法，不是单一的访谈技术，也不是简单的拍照记录，而是一种将儿童看作生活专家、意义建构者和权利主体的参与式研究方法。它通过观察、儿童拍照、绘画、地图制作、儿童会议、幼儿园之旅、家长访谈等多种方式，将零散的信息碎片拼接成关于儿童经验的整体图景。将其引入区域运动，不只是为了“多收集一些素材”，更是为了推动教师真正听见儿童，用多元证据修正成人预设，并据此改进活动设计、环境支持和评价方式。</w:t>
      </w:r>
    </w:p>
    <w:p w14:paraId="4B3741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p>
    <w:p w14:paraId="286F1080">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一、研究缘起</w:t>
      </w:r>
    </w:p>
    <w:p w14:paraId="03384A25">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（一）政策背景：</w:t>
      </w:r>
      <w:r>
        <w:rPr>
          <w:rFonts w:hint="eastAsia" w:ascii="Songti SC Bold" w:hAnsi="Songti SC Bold" w:eastAsia="Songti SC Bold" w:cs="Songti SC Bold"/>
          <w:b/>
          <w:bCs/>
          <w:lang w:val="en-US" w:eastAsia="zh-CN"/>
        </w:rPr>
        <w:t>强调尊重幼儿个体差异和参与主体性</w:t>
      </w:r>
    </w:p>
    <w:p w14:paraId="446AFF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从政策维度看，《幼儿园教育指导纲要（试行）》和《3—6岁儿童学习与发展指南》都强调尊重幼儿发展规律与个体差异，倡导在一日生活和游戏中促进幼儿全面发展。近年来，关于儿童参与权、儿童主体性和高质量师幼互动的讨论不断深化，教育者越来越意识到：如果没有儿童的真实参与，再完整的课程设计也可能停留在成人想象中；如果忽视儿童表达方式的多样性，所谓“儿童中心”往往会流于话语上的宣称。</w:t>
      </w:r>
    </w:p>
    <w:p w14:paraId="44089703">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default" w:ascii="Songti SC Regular" w:hAnsi="Songti SC Regular" w:eastAsia="Songti SC Bold" w:cs="Songti SC Regular"/>
          <w:lang w:val="en-US" w:eastAsia="zh-CN"/>
        </w:rPr>
      </w:pPr>
      <w:r>
        <w:rPr>
          <w:rFonts w:hint="eastAsia" w:ascii="Songti SC Bold" w:hAnsi="Songti SC Bold" w:eastAsia="Songti SC Bold" w:cs="Songti SC Bold"/>
          <w:b/>
          <w:bCs/>
          <w:lang w:eastAsia="zh-CN"/>
        </w:rPr>
        <w:t>（</w:t>
      </w:r>
      <w:r>
        <w:rPr>
          <w:rFonts w:hint="eastAsia" w:ascii="Songti SC Bold" w:hAnsi="Songti SC Bold" w:eastAsia="Songti SC Bold" w:cs="Songti SC Bold"/>
          <w:b/>
          <w:bCs/>
          <w:lang w:val="en-US" w:eastAsia="zh-CN"/>
        </w:rPr>
        <w:t>二</w:t>
      </w:r>
      <w:r>
        <w:rPr>
          <w:rFonts w:hint="eastAsia" w:ascii="Songti SC Bold" w:hAnsi="Songti SC Bold" w:eastAsia="Songti SC Bold" w:cs="Songti SC Bold"/>
          <w:b/>
          <w:bCs/>
          <w:lang w:eastAsia="zh-CN"/>
        </w:rPr>
        <w:t>）</w:t>
      </w:r>
      <w:r>
        <w:rPr>
          <w:rFonts w:hint="eastAsia" w:ascii="Songti SC Bold" w:hAnsi="Songti SC Bold" w:eastAsia="Songti SC Bold" w:cs="Songti SC Bold"/>
          <w:b/>
          <w:bCs/>
        </w:rPr>
        <w:t>实践背景：园本运动课程升级</w:t>
      </w:r>
      <w:r>
        <w:rPr>
          <w:rFonts w:hint="eastAsia" w:ascii="Songti SC Bold" w:hAnsi="Songti SC Bold" w:eastAsia="Songti SC Bold" w:cs="Songti SC Bold"/>
          <w:b/>
          <w:bCs/>
          <w:lang w:val="en-US" w:eastAsia="zh-CN"/>
        </w:rPr>
        <w:t>呼唤差异化支持</w:t>
      </w:r>
    </w:p>
    <w:p w14:paraId="08B4E6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对幼儿园而言，如何在课程现场真正落实儿童参与、在教师行动中真正体现差异化支持，已成为课程改革深入推进的关键议题。</w:t>
      </w:r>
    </w:p>
    <w:p w14:paraId="375AB5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从园本实践看，运动教育是研究所在园长期坚持的办园特色。前期在区域运动优化、运动自护渗透、基于观察的教师放手等方面已积累了较丰富的经验，但与此同时，也暴露出较为突出的三类问题：一是活动支持仍偏向统一化，教师常以同一目标要求不同幼儿，难以兼顾差异；二是信息来源仍偏向单一化，主要依靠教师观察，缺乏幼儿、同伴和家长等多主体参与；三是儿童的表达权和</w:t>
      </w:r>
      <w:r>
        <w:rPr>
          <w:rFonts w:hint="eastAsia" w:ascii="Songti SC Regular" w:hAnsi="Songti SC Regular" w:eastAsia="Songti SC Regular" w:cs="Songti SC Regular"/>
          <w:lang w:val="en-US" w:eastAsia="zh-CN"/>
        </w:rPr>
        <w:t>解释</w:t>
      </w:r>
      <w:r>
        <w:rPr>
          <w:rFonts w:hint="eastAsia" w:ascii="Songti SC Regular" w:hAnsi="Songti SC Regular" w:eastAsia="Songti SC Regular" w:cs="Songti SC Regular"/>
        </w:rPr>
        <w:t>权还不够充分，教师容易按照成人逻辑</w:t>
      </w:r>
      <w:r>
        <w:rPr>
          <w:rFonts w:hint="eastAsia" w:ascii="Songti SC Regular" w:hAnsi="Songti SC Regular" w:eastAsia="Songti SC Regular" w:cs="Songti SC Regular"/>
          <w:lang w:val="en-US" w:eastAsia="zh-CN"/>
        </w:rPr>
        <w:t>解读</w:t>
      </w:r>
      <w:r>
        <w:rPr>
          <w:rFonts w:hint="eastAsia" w:ascii="Songti SC Regular" w:hAnsi="Songti SC Regular" w:eastAsia="Songti SC Regular" w:cs="Songti SC Regular"/>
        </w:rPr>
        <w:t>儿童行为，导致支持指向不够精准。</w:t>
      </w:r>
    </w:p>
    <w:p w14:paraId="7DEEA1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正因如此，</w:t>
      </w:r>
      <w:r>
        <w:rPr>
          <w:rFonts w:hint="eastAsia" w:ascii="Songti SC Regular" w:hAnsi="Songti SC Regular" w:eastAsia="Songti SC Regular" w:cs="Songti SC Regular"/>
          <w:lang w:eastAsia="zh-CN"/>
        </w:rPr>
        <w:t>研究团队</w:t>
      </w:r>
      <w:r>
        <w:rPr>
          <w:rFonts w:hint="eastAsia" w:ascii="Songti SC Regular" w:hAnsi="Songti SC Regular" w:eastAsia="Songti SC Regular" w:cs="Songti SC Regular"/>
        </w:rPr>
        <w:t>尝试以马赛克方法为基础，寻找一种既符合学前儿童特点，又能够真正改进区域运动支持质量的实践路径。</w:t>
      </w:r>
    </w:p>
    <w:p w14:paraId="395F970A">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default" w:ascii="Songti SC Bold" w:hAnsi="Songti SC Bold" w:eastAsia="Songti SC Bold" w:cs="Songti SC Bold"/>
          <w:b/>
          <w:bCs/>
          <w:lang w:val="en-US" w:eastAsia="zh-CN"/>
        </w:rPr>
      </w:pPr>
      <w:r>
        <w:rPr>
          <w:rFonts w:hint="eastAsia" w:ascii="Songti SC Bold" w:hAnsi="Songti SC Bold" w:eastAsia="Songti SC Bold" w:cs="Songti SC Bold"/>
          <w:b/>
          <w:bCs/>
        </w:rPr>
        <w:t>（三）文献评述：</w:t>
      </w:r>
      <w:r>
        <w:rPr>
          <w:rFonts w:hint="eastAsia" w:ascii="Songti SC Bold" w:hAnsi="Songti SC Bold" w:eastAsia="Songti SC Bold" w:cs="Songti SC Bold"/>
          <w:b/>
          <w:bCs/>
          <w:lang w:val="en-US" w:eastAsia="zh-CN"/>
        </w:rPr>
        <w:t>知易行难，可借鉴的实践成果缺乏</w:t>
      </w:r>
    </w:p>
    <w:p w14:paraId="68073A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于差异教学，国内外都做了不少研究，并形成了较丰富的理论成果。这些研究成果大多认为要从学生的认识水平、兴趣需要、学习风格出发，在目标、内容、方式、评价等方面做出差异性安排。对学前阶段的差异教学的相关研究，则进一步提出幼儿园教师的理念层面一般都会接受差异教学，然而实践中却往往存在着目的定位宽泛、措施手段单调、缺乏针对性记录分析等情况。也就是说，并不是“</w:t>
      </w:r>
      <w:r>
        <w:rPr>
          <w:rFonts w:hint="eastAsia" w:ascii="Songti SC Regular" w:hAnsi="Songti SC Regular" w:eastAsia="Songti SC Regular" w:cs="Songti SC Regular"/>
          <w:lang w:val="en-US" w:eastAsia="zh-CN"/>
        </w:rPr>
        <w:t>认识到幼儿有个体差异</w:t>
      </w:r>
      <w:r>
        <w:rPr>
          <w:rFonts w:hint="eastAsia" w:ascii="Songti SC Regular" w:hAnsi="Songti SC Regular" w:eastAsia="Songti SC Regular" w:cs="Songti SC Regular"/>
        </w:rPr>
        <w:t>”</w:t>
      </w:r>
      <w:r>
        <w:rPr>
          <w:rFonts w:hint="eastAsia" w:eastAsia="宋体"/>
          <w:lang w:val="en-US" w:eastAsia="zh-CN"/>
        </w:rPr>
        <w:t>这件事</w:t>
      </w:r>
      <w:r>
        <w:rPr>
          <w:rFonts w:hint="eastAsia" w:ascii="Songti SC Regular" w:hAnsi="Songti SC Regular" w:eastAsia="Songti SC Regular" w:cs="Songti SC Regular"/>
        </w:rPr>
        <w:t>难，而是“如何发现差异并做出</w:t>
      </w:r>
      <w:r>
        <w:rPr>
          <w:rFonts w:hint="eastAsia" w:ascii="Songti SC Regular" w:hAnsi="Songti SC Regular" w:eastAsia="Songti SC Regular" w:cs="Songti SC Regular"/>
          <w:lang w:val="en-US" w:eastAsia="zh-CN"/>
        </w:rPr>
        <w:t>适切</w:t>
      </w:r>
      <w:r>
        <w:rPr>
          <w:rFonts w:hint="eastAsia" w:ascii="Songti SC Regular" w:hAnsi="Songti SC Regular" w:eastAsia="Songti SC Regular" w:cs="Songti SC Regular"/>
        </w:rPr>
        <w:t>的反应”的事情最难做。</w:t>
      </w:r>
    </w:p>
    <w:p w14:paraId="6E5F9F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于马赛克方法的应用，相关文献则主要集中在儿童参与式研究、倾听儿童的声音及对低龄儿童的经验收集方面。现有研究成果表明，马赛克方法适用于一些无法以单一语言进行访谈从而获取真实的资料的情况，而儿童</w:t>
      </w:r>
      <w:r>
        <w:rPr>
          <w:rFonts w:hint="eastAsia" w:ascii="Songti SC Regular" w:hAnsi="Songti SC Regular" w:eastAsia="Songti SC Regular" w:cs="Songti SC Regular"/>
          <w:lang w:val="en-US" w:eastAsia="zh-CN"/>
        </w:rPr>
        <w:t>也往往</w:t>
      </w:r>
      <w:r>
        <w:rPr>
          <w:rFonts w:hint="eastAsia" w:ascii="Songti SC Regular" w:hAnsi="Songti SC Regular" w:eastAsia="Songti SC Regular" w:cs="Songti SC Regular"/>
        </w:rPr>
        <w:t>借助于照片、图画、地图、叙事和足迹来进行表达。不过，现有的文献里关于马赛克方法运用于幼儿园区域运动的研究较少，并且还缺乏将该方法与差异化支持相结合进行深入研究的经验；其在各个年龄段特别是托小班阶段的应用方式、在持续性课程观察中的运用路径还有待进一步挖掘。</w:t>
      </w:r>
    </w:p>
    <w:p w14:paraId="1F9999C2">
      <w:pPr>
        <w:keepNext w:val="0"/>
        <w:keepLines w:val="0"/>
        <w:pageBreakBefore w:val="0"/>
        <w:widowControl/>
        <w:numPr>
          <w:ilvl w:val="0"/>
          <w:numId w:val="1"/>
        </w:numPr>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研究价值：从“识别差异”走向“回应差异”</w:t>
      </w:r>
    </w:p>
    <w:p w14:paraId="6F0C4A7B">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基于上述文献现状，本文的研究价值主要体现在三个方面：第一，在研究视角上，把儿童参与权、区域运动课程建设与差异化支持整合起来，尝试将马赛克方法从“研究工具”转化为“课程支持工具”；第二，在实践层面上，围绕认知、品德、技能、行为四大维度和小、中、大班三类年龄群体，建构具有操作性的支持体系；第三，在方法层面上，提出“识别—比对—支持—评价—调整”的闭环路径，推动教师从经验判断走向证据判断，从静态分类走向动态支持。</w:t>
      </w:r>
    </w:p>
    <w:p w14:paraId="35FD4AC8">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rPr>
        <w:t>（</w:t>
      </w:r>
      <w:r>
        <w:rPr>
          <w:rFonts w:hint="eastAsia" w:ascii="Songti SC Bold" w:hAnsi="Songti SC Bold" w:eastAsia="Songti SC Bold" w:cs="Songti SC Bold"/>
          <w:b/>
          <w:bCs/>
          <w:lang w:val="en-US" w:eastAsia="zh-CN"/>
        </w:rPr>
        <w:t>五</w:t>
      </w:r>
      <w:r>
        <w:rPr>
          <w:rFonts w:hint="eastAsia" w:ascii="Songti SC Bold" w:hAnsi="Songti SC Bold" w:eastAsia="Songti SC Bold" w:cs="Songti SC Bold"/>
          <w:b/>
          <w:bCs/>
        </w:rPr>
        <w:t>）核心概念界定</w:t>
      </w:r>
    </w:p>
    <w:p w14:paraId="5A2CE093">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区域运动</w:t>
      </w:r>
      <w:r>
        <w:rPr>
          <w:rFonts w:hint="eastAsia" w:ascii="Songti SC Regular" w:hAnsi="Songti SC Regular" w:eastAsia="Songti SC Regular" w:cs="Songti SC Regular"/>
          <w:b/>
          <w:bCs/>
          <w:lang w:eastAsia="zh-CN"/>
        </w:rPr>
        <w:t>：</w:t>
      </w:r>
      <w:r>
        <w:rPr>
          <w:rFonts w:hint="eastAsia" w:ascii="Songti SC Regular" w:hAnsi="Songti SC Regular" w:eastAsia="Songti SC Regular" w:cs="Songti SC Regular"/>
        </w:rPr>
        <w:t>是指幼儿园依据场地条件、材料特点和幼儿发展需要，将运动环境划分为若干可供幼儿自主选择的活动区域，并鼓励其自由选择活动内容、方式、同伴和挑战层级的一种组织形式。它强调自主性、开放性与探索性，因而最能呈现幼儿之间的自然差异，也最适合教师实施基于观察和证据的支持。</w:t>
      </w:r>
    </w:p>
    <w:p w14:paraId="7BA2F963">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差异化支持</w:t>
      </w:r>
      <w:r>
        <w:rPr>
          <w:rFonts w:hint="eastAsia" w:ascii="Songti SC Regular" w:hAnsi="Songti SC Regular" w:eastAsia="Songti SC Regular" w:cs="Songti SC Regular"/>
          <w:b/>
          <w:bCs/>
          <w:lang w:eastAsia="zh-CN"/>
        </w:rPr>
        <w:t>：</w:t>
      </w:r>
      <w:r>
        <w:rPr>
          <w:rFonts w:hint="eastAsia" w:ascii="Songti SC Regular" w:hAnsi="Songti SC Regular" w:eastAsia="Songti SC Regular" w:cs="Songti SC Regular"/>
        </w:rPr>
        <w:t>是在差异教学理念基础上，结合学前教育特点进行的本土化转化。与面向学科课堂的差异教学相比，差异化支持更强调教师在游戏和运动情境中，依据幼儿的实际发展状态、兴趣需要和学习方式，提供有针对性的环境调整、材料投放、语言互动、规则协商、情绪支持和家园协同，帮助每一位幼儿在原有水平上获得适宜发展。其核心不是把幼儿固定分类，而是动态识别、即时回应、持续调整。</w:t>
      </w:r>
    </w:p>
    <w:p w14:paraId="4672F552">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马赛克方法</w:t>
      </w:r>
      <w:r>
        <w:rPr>
          <w:rFonts w:hint="eastAsia" w:ascii="Songti SC Regular" w:hAnsi="Songti SC Regular" w:eastAsia="Songti SC Regular" w:cs="Songti SC Regular"/>
          <w:b/>
          <w:bCs/>
          <w:lang w:eastAsia="zh-CN"/>
        </w:rPr>
        <w:t>：</w:t>
      </w:r>
      <w:r>
        <w:rPr>
          <w:rFonts w:hint="eastAsia" w:ascii="Songti SC Regular" w:hAnsi="Songti SC Regular" w:eastAsia="Songti SC Regular" w:cs="Songti SC Regular"/>
        </w:rPr>
        <w:t>是指一种集合诸多工具、众多声音以及共享</w:t>
      </w:r>
      <w:r>
        <w:rPr>
          <w:rFonts w:hint="eastAsia" w:ascii="Songti SC Regular" w:hAnsi="Songti SC Regular" w:eastAsia="Songti SC Regular" w:cs="Songti SC Regular"/>
          <w:lang w:eastAsia="zh-CN"/>
        </w:rPr>
        <w:t>识别</w:t>
      </w:r>
      <w:r>
        <w:rPr>
          <w:rFonts w:hint="eastAsia" w:ascii="Songti SC Regular" w:hAnsi="Songti SC Regular" w:eastAsia="Songti SC Regular" w:cs="Songti SC Regular"/>
        </w:rPr>
        <w:t>过程的参与式研究方法。其强调采用不同信息收集策略来听取“儿童一百种语言”的表达，并将儿童、教师、同伴、父母看作意义建构的参与者。把马赛克方法应用到区域运动中</w:t>
      </w:r>
      <w:r>
        <w:rPr>
          <w:rFonts w:hint="eastAsia" w:ascii="Songti SC Regular" w:hAnsi="Songti SC Regular" w:eastAsia="Songti SC Regular" w:cs="Songti SC Regular"/>
          <w:lang w:val="en-US" w:eastAsia="zh-CN"/>
        </w:rPr>
        <w:t>就是</w:t>
      </w:r>
      <w:r>
        <w:rPr>
          <w:rFonts w:hint="eastAsia" w:ascii="Songti SC Regular" w:hAnsi="Songti SC Regular" w:eastAsia="Songti SC Regular" w:cs="Songti SC Regular"/>
        </w:rPr>
        <w:t>不</w:t>
      </w:r>
      <w:r>
        <w:rPr>
          <w:rFonts w:hint="eastAsia" w:ascii="Songti SC Regular" w:hAnsi="Songti SC Regular" w:eastAsia="Songti SC Regular" w:cs="Songti SC Regular"/>
          <w:lang w:val="en-US" w:eastAsia="zh-CN"/>
        </w:rPr>
        <w:t>再</w:t>
      </w:r>
      <w:r>
        <w:rPr>
          <w:rFonts w:hint="eastAsia" w:ascii="Songti SC Regular" w:hAnsi="Songti SC Regular" w:eastAsia="Songti SC Regular" w:cs="Songti SC Regular"/>
        </w:rPr>
        <w:t>拘泥于教师看到了什么，而将目光投向了儿童如何表述、为何表述、别人怎样解读以及这些信息如何被转化成后续的支持性行为上。于是区域活动、马赛克方法和差异支持就构成了一个“场域-诊断技术-干预策略”的逻辑闭环。</w:t>
      </w:r>
    </w:p>
    <w:p w14:paraId="74E7FB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p>
    <w:p w14:paraId="7C9BD7C1">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二、研究设计与实施</w:t>
      </w:r>
    </w:p>
    <w:p w14:paraId="4D1FABE0">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（一）研究目标：在区域运动中建构可操作的差异化支持体系</w:t>
      </w:r>
    </w:p>
    <w:p w14:paraId="0372BD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本研究的总体目标</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rPr>
        <w:t>借助马赛克方法</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rPr>
        <w:t>更全面地收集幼儿在区域运动中的活动期望、发展需求和支持成效信息，进而在真实课程场景中实施差异化支持，并总结出具有推广价值的教育经验。</w:t>
      </w:r>
    </w:p>
    <w:p w14:paraId="5293D1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基于上述总目标，本研究设定了以下四项</w:t>
      </w:r>
      <w:r>
        <w:rPr>
          <w:rFonts w:hint="eastAsia" w:ascii="Songti SC Regular" w:hAnsi="Songti SC Regular" w:eastAsia="Songti SC Regular" w:cs="Songti SC Regular"/>
          <w:lang w:val="en-US" w:eastAsia="zh-CN"/>
        </w:rPr>
        <w:t>任务</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lang w:val="en-US" w:eastAsia="zh-CN"/>
        </w:rPr>
        <w:t>1）</w:t>
      </w:r>
      <w:r>
        <w:rPr>
          <w:rFonts w:hint="eastAsia" w:ascii="Songti SC Regular" w:hAnsi="Songti SC Regular" w:eastAsia="Songti SC Regular" w:cs="Songti SC Regular"/>
        </w:rPr>
        <w:t>梳理出区域运动中的差异化支持的理念与价值支撑；</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lang w:val="en-US" w:eastAsia="zh-CN"/>
        </w:rPr>
        <w:t>2）</w:t>
      </w:r>
      <w:r>
        <w:rPr>
          <w:rFonts w:hint="eastAsia" w:ascii="Songti SC Regular" w:hAnsi="Songti SC Regular" w:eastAsia="Songti SC Regular" w:cs="Songti SC Regular"/>
        </w:rPr>
        <w:t>了解教师对于马赛克方法以及差异化支持的理解、使用情况及其遇到的障碍；</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lang w:val="en-US" w:eastAsia="zh-CN"/>
        </w:rPr>
        <w:t>3）</w:t>
      </w:r>
      <w:r>
        <w:rPr>
          <w:rFonts w:hint="eastAsia" w:ascii="Songti SC Regular" w:hAnsi="Songti SC Regular" w:eastAsia="Songti SC Regular" w:cs="Songti SC Regular"/>
        </w:rPr>
        <w:t>探求如何将儿童访谈、拍照、绘画、儿童会议、地图、家长访谈这些方法运用于区域运动之中；</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lang w:val="en-US" w:eastAsia="zh-CN"/>
        </w:rPr>
        <w:t>4）</w:t>
      </w:r>
      <w:r>
        <w:rPr>
          <w:rFonts w:hint="eastAsia" w:ascii="Songti SC Regular" w:hAnsi="Songti SC Regular" w:eastAsia="Songti SC Regular" w:cs="Songti SC Regular"/>
        </w:rPr>
        <w:t>针对个体差异与群体差异形成可迁移、可复用的支持策略。</w:t>
      </w:r>
    </w:p>
    <w:p w14:paraId="45BCA9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从课程建设角度看，这一目标并不止于“形成几种方法”，而是试图通过研究推动园本运动课程发生结构性变化。即让区域运动从相对粗放的组织形态，转向以儿童经验为证据、以差异化支持为导向、以教师持续反思为保障的高质量课程形态。研究关注的不只是幼儿是否“玩起来”，更关心幼儿是否在活动中被真正理解、被适宜支持，并在原有基础上实现持续发展。</w:t>
      </w:r>
    </w:p>
    <w:p w14:paraId="5CFFDD55">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（二）研究方法：多方法整合中的证据建构</w:t>
      </w:r>
    </w:p>
    <w:p w14:paraId="5F7EC5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本研究以幼儿园区域运动实践为主要场域，以33位在编教师的问卷与访谈资料、多个班级区域运动案例、儿童多元表征作品及家长反馈为主要材料来源。研究综合使用了四类方法：</w:t>
      </w:r>
    </w:p>
    <w:p w14:paraId="13198C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第一，文献研究法。</w:t>
      </w:r>
      <w:r>
        <w:rPr>
          <w:rFonts w:hint="eastAsia" w:ascii="Songti SC Regular" w:hAnsi="Songti SC Regular" w:eastAsia="Songti SC Regular" w:cs="Songti SC Regular"/>
          <w:lang w:eastAsia="zh-CN"/>
        </w:rPr>
        <w:t>研究团队</w:t>
      </w:r>
      <w:r>
        <w:rPr>
          <w:rFonts w:hint="eastAsia" w:ascii="Songti SC Regular" w:hAnsi="Songti SC Regular" w:eastAsia="Songti SC Regular" w:cs="Songti SC Regular"/>
        </w:rPr>
        <w:t>围绕“马赛克方法”“差异教学”“区域运动”“儿童参与”等关键词，对相关政策文本、理论著作和学术论文进行了系统梳理，用以澄清概念、建构分析框架和寻找实践启示。第二，问卷调查法。围绕教师对马赛克方法内涵的理解、差异化支持理念的认同、实践中的使用情况以及主要困难与需求，开发正式调查问卷并回收数据。第三，行动研究法。教师在真实区域运动中循环经历“发现问题—收集信息—调整支持—反思优化”的过程，使研究与课程改进同步推进。第四，案例研究法。围绕具有代表性的活动事件展开深描，提炼能够说明支持逻辑和教育机制的典型案例。</w:t>
      </w:r>
    </w:p>
    <w:p w14:paraId="316D9062">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（三）研究过程：从前期诊断到课程重构的渐进推进</w:t>
      </w:r>
    </w:p>
    <w:p w14:paraId="7D7FC7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研究大致分为四个阶段。</w:t>
      </w:r>
    </w:p>
    <w:p w14:paraId="0A6CB60C">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第一阶段</w:t>
      </w:r>
      <w:r>
        <w:rPr>
          <w:rFonts w:hint="eastAsia" w:ascii="Songti SC Regular" w:hAnsi="Songti SC Regular" w:eastAsia="Songti SC Regular" w:cs="Songti SC Regular"/>
        </w:rPr>
        <w:t>是问题诊断和理论准备。通过对园本运动课程实践进行回溯，整理出区域运动在差异化支持方面的典型问题，并借助文献学习初步确定了马赛克方法作为切入点。</w:t>
      </w:r>
    </w:p>
    <w:p w14:paraId="6D59D252">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第二阶段</w:t>
      </w:r>
      <w:r>
        <w:rPr>
          <w:rFonts w:hint="eastAsia" w:ascii="Songti SC Regular" w:hAnsi="Songti SC Regular" w:eastAsia="Songti SC Regular" w:cs="Songti SC Regular"/>
        </w:rPr>
        <w:t>是现状调研和工具开发。</w:t>
      </w:r>
      <w:r>
        <w:rPr>
          <w:rFonts w:hint="eastAsia" w:ascii="Songti SC Regular" w:hAnsi="Songti SC Regular" w:eastAsia="Songti SC Regular" w:cs="Songti SC Regular"/>
          <w:lang w:val="en-US" w:eastAsia="zh-CN"/>
        </w:rPr>
        <w:t>研究团队</w:t>
      </w:r>
      <w:r>
        <w:rPr>
          <w:rFonts w:hint="eastAsia" w:ascii="Songti SC Regular" w:hAnsi="Songti SC Regular" w:eastAsia="Songti SC Regular" w:cs="Songti SC Regular"/>
        </w:rPr>
        <w:t>从教师的理念、应用情况、支持困难以及发展需求等方面进行了问卷和访谈，形成正式量表并初步设计观察记录、儿童会议组织、拍照指导、家长访谈等实施步骤。</w:t>
      </w:r>
    </w:p>
    <w:p w14:paraId="029F2CA6">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w:t>
      </w:r>
      <w:r>
        <w:rPr>
          <w:rFonts w:hint="eastAsia" w:ascii="Songti SC Regular" w:hAnsi="Songti SC Regular" w:eastAsia="Songti SC Regular" w:cs="Songti SC Regular"/>
          <w:b/>
          <w:bCs/>
          <w:lang w:val="en-US" w:eastAsia="zh-CN"/>
        </w:rPr>
        <w:t>三</w:t>
      </w:r>
      <w:r>
        <w:rPr>
          <w:rFonts w:hint="eastAsia" w:ascii="Songti SC Regular" w:hAnsi="Songti SC Regular" w:eastAsia="Songti SC Regular" w:cs="Songti SC Regular"/>
          <w:b/>
          <w:bCs/>
        </w:rPr>
        <w:t>阶段</w:t>
      </w:r>
      <w:r>
        <w:rPr>
          <w:rFonts w:hint="eastAsia" w:ascii="Songti SC Regular" w:hAnsi="Songti SC Regular" w:eastAsia="Songti SC Regular" w:cs="Songti SC Regular"/>
        </w:rPr>
        <w:t>是行动研究和案例收集。各年段在区域运动中围绕实际问题开展持续实践：有的班级聚焦空间风险点识别，有的班级聚焦合作规则建构，有的班级聚焦特定幼儿动作需求的发现与支持。教师在活动中持续收集幼儿拍照、绘画、小海报、对话记录、家长反馈等材料，并在教研活动中对材料进行共同</w:t>
      </w:r>
      <w:r>
        <w:rPr>
          <w:rFonts w:hint="eastAsia" w:ascii="Songti SC Regular" w:hAnsi="Songti SC Regular" w:eastAsia="Songti SC Regular" w:cs="Songti SC Regular"/>
          <w:lang w:eastAsia="zh-CN"/>
        </w:rPr>
        <w:t>识别</w:t>
      </w:r>
      <w:r>
        <w:rPr>
          <w:rFonts w:hint="eastAsia" w:ascii="Songti SC Regular" w:hAnsi="Songti SC Regular" w:eastAsia="Songti SC Regular" w:cs="Songti SC Regular"/>
        </w:rPr>
        <w:t>与再设计。</w:t>
      </w:r>
    </w:p>
    <w:p w14:paraId="74C497B1">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第四阶段</w:t>
      </w:r>
      <w:r>
        <w:rPr>
          <w:rFonts w:hint="eastAsia" w:ascii="Songti SC Regular" w:hAnsi="Songti SC Regular" w:eastAsia="Songti SC Regular" w:cs="Songti SC Regular"/>
        </w:rPr>
        <w:t>为经验提炼与成果固化。</w:t>
      </w:r>
      <w:r>
        <w:rPr>
          <w:rFonts w:hint="eastAsia" w:ascii="Songti SC Regular" w:hAnsi="Songti SC Regular" w:eastAsia="Songti SC Regular" w:cs="Songti SC Regular"/>
          <w:lang w:eastAsia="zh-CN"/>
        </w:rPr>
        <w:t>研究团队</w:t>
      </w:r>
      <w:r>
        <w:rPr>
          <w:rFonts w:hint="eastAsia" w:ascii="Songti SC Regular" w:hAnsi="Songti SC Regular" w:eastAsia="Songti SC Regular" w:cs="Songti SC Regular"/>
        </w:rPr>
        <w:t>在前期案例和数据基础上，对个体差异支持、群体差异支持、幼儿发展成效与教师专业成长进行系统梳理，最终形成结题报告、案例文本与论文成果。</w:t>
      </w:r>
    </w:p>
    <w:p w14:paraId="1413F0F6">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（四）评价</w:t>
      </w:r>
      <w:r>
        <w:rPr>
          <w:rFonts w:hint="eastAsia" w:ascii="Songti SC Bold" w:hAnsi="Songti SC Bold" w:eastAsia="Songti SC Bold" w:cs="Songti SC Bold"/>
          <w:b/>
          <w:bCs/>
          <w:lang w:val="en-US" w:eastAsia="zh-CN"/>
        </w:rPr>
        <w:t>框架构建</w:t>
      </w:r>
      <w:r>
        <w:rPr>
          <w:rFonts w:hint="eastAsia" w:ascii="Songti SC Bold" w:hAnsi="Songti SC Bold" w:eastAsia="Songti SC Bold" w:cs="Songti SC Bold"/>
          <w:b/>
          <w:bCs/>
        </w:rPr>
        <w:t>：把“看见发展”转化为“可追踪证据”</w:t>
      </w:r>
    </w:p>
    <w:p w14:paraId="479609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为了避免差异化支持停留在感性经验层面，</w:t>
      </w:r>
      <w:r>
        <w:rPr>
          <w:rFonts w:hint="eastAsia" w:ascii="Songti SC Regular" w:hAnsi="Songti SC Regular" w:eastAsia="Songti SC Regular" w:cs="Songti SC Regular"/>
          <w:lang w:eastAsia="zh-CN"/>
        </w:rPr>
        <w:t>研究团队</w:t>
      </w:r>
      <w:r>
        <w:rPr>
          <w:rFonts w:hint="eastAsia" w:ascii="Songti SC Regular" w:hAnsi="Songti SC Regular" w:eastAsia="Songti SC Regular" w:cs="Songti SC Regular"/>
        </w:rPr>
        <w:t>依据政策文本和运动课程特点，构建了幼儿运动素养评价指标</w:t>
      </w:r>
      <w:r>
        <w:rPr>
          <w:rFonts w:hint="eastAsia" w:ascii="Songti SC Regular" w:hAnsi="Songti SC Regular" w:eastAsia="Songti SC Regular" w:cs="Songti SC Regular"/>
          <w:lang w:val="en-US" w:eastAsia="zh-CN"/>
        </w:rPr>
        <w:t>框架</w:t>
      </w:r>
      <w:r>
        <w:rPr>
          <w:rFonts w:hint="eastAsia" w:ascii="Songti SC Regular" w:hAnsi="Songti SC Regular" w:eastAsia="Songti SC Regular" w:cs="Songti SC Regular"/>
        </w:rPr>
        <w:t>。该指标体系包含运动知识、运动品德、运动行为与运动技能四个一级指标，并进一步细化为规则知识、技能知识、团队合作、安全习惯、情绪调控、投掷、攀爬、平衡等若干观测点。其价值不在于形成僵化评分，而在于帮助教师在观察时有明确参照，在支持时有清晰目标，在反思时有可回看的证据。</w:t>
      </w:r>
    </w:p>
    <w:p w14:paraId="36817F0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Songti SC Regular" w:hAnsi="Songti SC Regular" w:eastAsia="Songti SC Regular" w:cs="Songti SC Regular"/>
          <w:b/>
          <w:bCs/>
        </w:rPr>
      </w:pPr>
      <w:r>
        <w:rPr>
          <w:rFonts w:hint="eastAsia" w:ascii="楷体" w:hAnsi="楷体" w:eastAsia="楷体" w:cs="楷体"/>
          <w:b/>
          <w:bCs/>
        </w:rPr>
        <w:t>表1</w:t>
      </w:r>
      <w:r>
        <w:rPr>
          <w:rFonts w:hint="eastAsia" w:ascii="楷体" w:hAnsi="楷体" w:eastAsia="楷体" w:cs="楷体"/>
          <w:b/>
          <w:bCs/>
          <w:lang w:val="en-US" w:eastAsia="zh-CN"/>
        </w:rPr>
        <w:t xml:space="preserve">  </w:t>
      </w:r>
      <w:r>
        <w:rPr>
          <w:rFonts w:hint="eastAsia" w:ascii="楷体" w:hAnsi="楷体" w:eastAsia="楷体" w:cs="楷体"/>
          <w:b/>
          <w:bCs/>
        </w:rPr>
        <w:t>幼儿园区域运动差异化支持评价指标框架</w:t>
      </w:r>
    </w:p>
    <w:tbl>
      <w:tblPr>
        <w:tblStyle w:val="5"/>
        <w:tblW w:w="0" w:type="auto"/>
        <w:jc w:val="center"/>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Layout w:type="fixed"/>
        <w:tblCellMar>
          <w:top w:w="0" w:type="dxa"/>
          <w:left w:w="108" w:type="dxa"/>
          <w:bottom w:w="0" w:type="dxa"/>
          <w:right w:w="108" w:type="dxa"/>
        </w:tblCellMar>
      </w:tblPr>
      <w:tblGrid>
        <w:gridCol w:w="1121"/>
        <w:gridCol w:w="2160"/>
        <w:gridCol w:w="2520"/>
        <w:gridCol w:w="3043"/>
      </w:tblGrid>
      <w:tr w14:paraId="26D4238F">
        <w:tblPrEx>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CellMar>
            <w:top w:w="0" w:type="dxa"/>
            <w:left w:w="108" w:type="dxa"/>
            <w:bottom w:w="0" w:type="dxa"/>
            <w:right w:w="108" w:type="dxa"/>
          </w:tblCellMar>
        </w:tblPrEx>
        <w:trPr>
          <w:jc w:val="center"/>
        </w:trPr>
        <w:tc>
          <w:tcPr>
            <w:tcW w:w="1121" w:type="dxa"/>
            <w:shd w:val="clear" w:color="auto" w:fill="DCE6F1"/>
            <w:vAlign w:val="center"/>
          </w:tcPr>
          <w:p w14:paraId="55B484D9">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color w:val="auto"/>
                <w:sz w:val="21"/>
                <w:szCs w:val="21"/>
              </w:rPr>
              <w:t>一级指标</w:t>
            </w:r>
          </w:p>
        </w:tc>
        <w:tc>
          <w:tcPr>
            <w:tcW w:w="2160" w:type="dxa"/>
            <w:shd w:val="clear" w:color="auto" w:fill="DCE6F1"/>
            <w:vAlign w:val="center"/>
          </w:tcPr>
          <w:p w14:paraId="26706151">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color w:val="auto"/>
                <w:sz w:val="21"/>
                <w:szCs w:val="21"/>
              </w:rPr>
              <w:t>关注重点</w:t>
            </w:r>
          </w:p>
        </w:tc>
        <w:tc>
          <w:tcPr>
            <w:tcW w:w="2520" w:type="dxa"/>
            <w:shd w:val="clear" w:color="auto" w:fill="DCE6F1"/>
            <w:vAlign w:val="center"/>
          </w:tcPr>
          <w:p w14:paraId="2DD54A48">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color w:val="auto"/>
                <w:sz w:val="21"/>
                <w:szCs w:val="21"/>
              </w:rPr>
              <w:t>典型观测点</w:t>
            </w:r>
          </w:p>
        </w:tc>
        <w:tc>
          <w:tcPr>
            <w:tcW w:w="3043" w:type="dxa"/>
            <w:shd w:val="clear" w:color="auto" w:fill="DCE6F1"/>
            <w:vAlign w:val="center"/>
          </w:tcPr>
          <w:p w14:paraId="6A13853B">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color w:val="auto"/>
                <w:sz w:val="21"/>
                <w:szCs w:val="21"/>
              </w:rPr>
              <w:t>支持价值</w:t>
            </w:r>
          </w:p>
        </w:tc>
      </w:tr>
      <w:tr w14:paraId="3250F63E">
        <w:tblPrEx>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CellMar>
            <w:top w:w="0" w:type="dxa"/>
            <w:left w:w="108" w:type="dxa"/>
            <w:bottom w:w="0" w:type="dxa"/>
            <w:right w:w="108" w:type="dxa"/>
          </w:tblCellMar>
        </w:tblPrEx>
        <w:trPr>
          <w:jc w:val="center"/>
        </w:trPr>
        <w:tc>
          <w:tcPr>
            <w:tcW w:w="1121" w:type="dxa"/>
            <w:shd w:val="clear" w:color="auto" w:fill="F7FAFC"/>
            <w:vAlign w:val="center"/>
          </w:tcPr>
          <w:p w14:paraId="0CA99C7C">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val="0"/>
                <w:color w:val="auto"/>
                <w:sz w:val="21"/>
                <w:szCs w:val="21"/>
              </w:rPr>
              <w:t>运动知识</w:t>
            </w:r>
          </w:p>
        </w:tc>
        <w:tc>
          <w:tcPr>
            <w:tcW w:w="2160" w:type="dxa"/>
            <w:shd w:val="clear" w:color="auto" w:fill="F7FAFC"/>
            <w:vAlign w:val="center"/>
          </w:tcPr>
          <w:p w14:paraId="2B52DE3F">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val="0"/>
                <w:color w:val="auto"/>
                <w:sz w:val="21"/>
                <w:szCs w:val="21"/>
              </w:rPr>
              <w:t>规则理解、动作名称、项目认知</w:t>
            </w:r>
          </w:p>
        </w:tc>
        <w:tc>
          <w:tcPr>
            <w:tcW w:w="2520" w:type="dxa"/>
            <w:shd w:val="clear" w:color="auto" w:fill="F7FAFC"/>
            <w:vAlign w:val="center"/>
          </w:tcPr>
          <w:p w14:paraId="41B1EC82">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val="0"/>
                <w:color w:val="auto"/>
                <w:sz w:val="21"/>
                <w:szCs w:val="21"/>
              </w:rPr>
              <w:t>轮流规则、路线理解、器材用途、动作组合</w:t>
            </w:r>
          </w:p>
        </w:tc>
        <w:tc>
          <w:tcPr>
            <w:tcW w:w="3043" w:type="dxa"/>
            <w:shd w:val="clear" w:color="auto" w:fill="F7FAFC"/>
            <w:vAlign w:val="center"/>
          </w:tcPr>
          <w:p w14:paraId="71C2F2A7">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val="0"/>
                <w:color w:val="auto"/>
                <w:sz w:val="21"/>
                <w:szCs w:val="21"/>
              </w:rPr>
              <w:t>帮助教师判断幼儿“会不会想、知不知道为什么这样做”</w:t>
            </w:r>
          </w:p>
        </w:tc>
      </w:tr>
      <w:tr w14:paraId="0499CDCF">
        <w:tblPrEx>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CellMar>
            <w:top w:w="0" w:type="dxa"/>
            <w:left w:w="108" w:type="dxa"/>
            <w:bottom w:w="0" w:type="dxa"/>
            <w:right w:w="108" w:type="dxa"/>
          </w:tblCellMar>
        </w:tblPrEx>
        <w:trPr>
          <w:jc w:val="center"/>
        </w:trPr>
        <w:tc>
          <w:tcPr>
            <w:tcW w:w="1121" w:type="dxa"/>
            <w:vAlign w:val="center"/>
          </w:tcPr>
          <w:p w14:paraId="7BB70203">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val="0"/>
                <w:color w:val="auto"/>
                <w:sz w:val="21"/>
                <w:szCs w:val="21"/>
              </w:rPr>
              <w:t>运动品德</w:t>
            </w:r>
          </w:p>
        </w:tc>
        <w:tc>
          <w:tcPr>
            <w:tcW w:w="2160" w:type="dxa"/>
            <w:vAlign w:val="center"/>
          </w:tcPr>
          <w:p w14:paraId="3AA01A4E">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val="0"/>
                <w:color w:val="auto"/>
                <w:sz w:val="21"/>
                <w:szCs w:val="21"/>
              </w:rPr>
              <w:t>自尊自信、勇敢坚持、公平合作</w:t>
            </w:r>
          </w:p>
        </w:tc>
        <w:tc>
          <w:tcPr>
            <w:tcW w:w="2520" w:type="dxa"/>
            <w:vAlign w:val="center"/>
          </w:tcPr>
          <w:p w14:paraId="32824116">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val="0"/>
                <w:color w:val="auto"/>
                <w:sz w:val="21"/>
                <w:szCs w:val="21"/>
              </w:rPr>
              <w:t>分享器材、接纳输赢、遵守规则、团队合作</w:t>
            </w:r>
          </w:p>
        </w:tc>
        <w:tc>
          <w:tcPr>
            <w:tcW w:w="3043" w:type="dxa"/>
            <w:vAlign w:val="center"/>
          </w:tcPr>
          <w:p w14:paraId="19803E72">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val="0"/>
                <w:color w:val="auto"/>
                <w:sz w:val="21"/>
                <w:szCs w:val="21"/>
              </w:rPr>
              <w:t>揭示幼儿在关系与价值层面的发展状态</w:t>
            </w:r>
          </w:p>
        </w:tc>
      </w:tr>
      <w:tr w14:paraId="761E5C6E">
        <w:tblPrEx>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CellMar>
            <w:top w:w="0" w:type="dxa"/>
            <w:left w:w="108" w:type="dxa"/>
            <w:bottom w:w="0" w:type="dxa"/>
            <w:right w:w="108" w:type="dxa"/>
          </w:tblCellMar>
        </w:tblPrEx>
        <w:trPr>
          <w:jc w:val="center"/>
        </w:trPr>
        <w:tc>
          <w:tcPr>
            <w:tcW w:w="1121" w:type="dxa"/>
            <w:shd w:val="clear" w:color="auto" w:fill="F7FAFC"/>
            <w:vAlign w:val="center"/>
          </w:tcPr>
          <w:p w14:paraId="6B8240DB">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val="0"/>
                <w:color w:val="auto"/>
                <w:sz w:val="21"/>
                <w:szCs w:val="21"/>
              </w:rPr>
              <w:t>运动行为</w:t>
            </w:r>
          </w:p>
        </w:tc>
        <w:tc>
          <w:tcPr>
            <w:tcW w:w="2160" w:type="dxa"/>
            <w:shd w:val="clear" w:color="auto" w:fill="F7FAFC"/>
            <w:vAlign w:val="center"/>
          </w:tcPr>
          <w:p w14:paraId="323115F4">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val="0"/>
                <w:color w:val="auto"/>
                <w:sz w:val="21"/>
                <w:szCs w:val="21"/>
              </w:rPr>
              <w:t>安全习惯、情绪调节、参与方式</w:t>
            </w:r>
          </w:p>
        </w:tc>
        <w:tc>
          <w:tcPr>
            <w:tcW w:w="2520" w:type="dxa"/>
            <w:shd w:val="clear" w:color="auto" w:fill="F7FAFC"/>
            <w:vAlign w:val="center"/>
          </w:tcPr>
          <w:p w14:paraId="4FFAF87B">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val="0"/>
                <w:color w:val="auto"/>
                <w:sz w:val="21"/>
                <w:szCs w:val="21"/>
              </w:rPr>
              <w:t>等待轮换、合理热身、情绪表达、冲突处理</w:t>
            </w:r>
          </w:p>
        </w:tc>
        <w:tc>
          <w:tcPr>
            <w:tcW w:w="3043" w:type="dxa"/>
            <w:shd w:val="clear" w:color="auto" w:fill="F7FAFC"/>
            <w:vAlign w:val="center"/>
          </w:tcPr>
          <w:p w14:paraId="1F498DF9">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val="0"/>
                <w:color w:val="auto"/>
                <w:sz w:val="21"/>
                <w:szCs w:val="21"/>
              </w:rPr>
              <w:t>帮助教师把行为问题转化为支持议题</w:t>
            </w:r>
          </w:p>
        </w:tc>
      </w:tr>
      <w:tr w14:paraId="4E17ED91">
        <w:tblPrEx>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CellMar>
            <w:top w:w="0" w:type="dxa"/>
            <w:left w:w="108" w:type="dxa"/>
            <w:bottom w:w="0" w:type="dxa"/>
            <w:right w:w="108" w:type="dxa"/>
          </w:tblCellMar>
        </w:tblPrEx>
        <w:trPr>
          <w:jc w:val="center"/>
        </w:trPr>
        <w:tc>
          <w:tcPr>
            <w:tcW w:w="1121" w:type="dxa"/>
            <w:vAlign w:val="center"/>
          </w:tcPr>
          <w:p w14:paraId="0F1AC5B8">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val="0"/>
                <w:color w:val="auto"/>
                <w:sz w:val="21"/>
                <w:szCs w:val="21"/>
              </w:rPr>
              <w:t>运动技能</w:t>
            </w:r>
          </w:p>
        </w:tc>
        <w:tc>
          <w:tcPr>
            <w:tcW w:w="2160" w:type="dxa"/>
            <w:vAlign w:val="center"/>
          </w:tcPr>
          <w:p w14:paraId="227A5130">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val="0"/>
                <w:color w:val="auto"/>
                <w:sz w:val="21"/>
                <w:szCs w:val="21"/>
              </w:rPr>
              <w:t>投掷、攀爬、平衡、跳跃、跑步等</w:t>
            </w:r>
          </w:p>
        </w:tc>
        <w:tc>
          <w:tcPr>
            <w:tcW w:w="2520" w:type="dxa"/>
            <w:vAlign w:val="center"/>
          </w:tcPr>
          <w:p w14:paraId="52244985">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val="0"/>
                <w:color w:val="auto"/>
                <w:sz w:val="21"/>
                <w:szCs w:val="21"/>
              </w:rPr>
              <w:t>动作协调性、完成质量、稳定性、挑战水平</w:t>
            </w:r>
          </w:p>
        </w:tc>
        <w:tc>
          <w:tcPr>
            <w:tcW w:w="3043" w:type="dxa"/>
            <w:vAlign w:val="center"/>
          </w:tcPr>
          <w:p w14:paraId="1C7CC4C8">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1"/>
                <w:szCs w:val="21"/>
              </w:rPr>
            </w:pPr>
            <w:r>
              <w:rPr>
                <w:rFonts w:hint="eastAsia" w:ascii="Songti SC Regular" w:hAnsi="Songti SC Regular" w:eastAsia="Songti SC Regular" w:cs="Songti SC Regular"/>
                <w:b w:val="0"/>
                <w:color w:val="auto"/>
                <w:sz w:val="21"/>
                <w:szCs w:val="21"/>
              </w:rPr>
              <w:t>为分层任务设计和连续进阶提供依据</w:t>
            </w:r>
          </w:p>
        </w:tc>
      </w:tr>
    </w:tbl>
    <w:p w14:paraId="45765BED">
      <w:pPr>
        <w:keepNext w:val="0"/>
        <w:keepLines w:val="0"/>
        <w:pageBreakBefore w:val="0"/>
        <w:widowControl/>
        <w:kinsoku/>
        <w:wordWrap/>
        <w:overflowPunct/>
        <w:topLinePunct w:val="0"/>
        <w:autoSpaceDE/>
        <w:autoSpaceDN/>
        <w:bidi w:val="0"/>
        <w:adjustRightInd/>
        <w:snapToGrid/>
        <w:spacing w:line="360" w:lineRule="auto"/>
        <w:ind w:firstLine="480" w:firstLineChars="200"/>
        <w:jc w:val="center"/>
        <w:textAlignment w:val="auto"/>
        <w:rPr>
          <w:rFonts w:hint="eastAsia" w:ascii="楷体" w:hAnsi="楷体" w:eastAsia="楷体" w:cs="楷体"/>
        </w:rPr>
      </w:pPr>
    </w:p>
    <w:p w14:paraId="6D0300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评价指标不是脱离儿童的经验单独存在，在实践中它与马赛克方法相互配合：一是教师根据指标观察幼儿的动作、规则、情绪及合作情况；二是幼儿借助语言、拍照、绘画和会议陈述自己对活动的理解和体验，从而使评价既聚焦于“外显表现”，同时关注“内在经验”。这样的双证据结构，就使得差异性支持有了更强的基础。</w:t>
      </w:r>
    </w:p>
    <w:p w14:paraId="74CE67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p>
    <w:p w14:paraId="29A01341">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三、现实基础：区域运动差异化支持的问题诊断</w:t>
      </w:r>
    </w:p>
    <w:p w14:paraId="79713900">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（一）教师认知与应用现状：理念认同较高，实践深度不一</w:t>
      </w:r>
    </w:p>
    <w:p w14:paraId="25DB8E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调查结果显示，教师整体上高度认同马赛克方法在倾听儿童、汇聚多元信息和促进支持转化方面的价值。100%的受访教师认同马赛克方法在多元声音收集、多元主体参与及实践转化方面的有效性；在33位在编教师中，6—15年教龄的中青年教师占比较高，是实践推进的主力群体。这说明，研究并非在“理念空白”的起点上展开，而是在已有较强价值认同的基础上，进一步追问如何把理念转化为日常可操作的支持行为。</w:t>
      </w:r>
    </w:p>
    <w:p w14:paraId="700DFC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但教师实操的深度不一。不同职称、不同年段、不同教龄的教师对多元声音的倾听、对多元主体的整合以及对差异化支持的实施存在显著性差异。例如，“运用马赛克方法倾听幼儿多元声音”，小学高级教师选“非常符合”的人数比未评级教师多出很多；托小班教师由于幼儿的语言表达及注意保持能力有限导致其实施的方法较难开展；而中班教师则更多地从多个主体出发进行对幼儿的信息解读。</w:t>
      </w:r>
    </w:p>
    <w:p w14:paraId="55BDE7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这些结果提示我们：教师是否愿意倾听是一回事，是否具备恰当的方法与经验则是另一回事。</w:t>
      </w:r>
    </w:p>
    <w:p w14:paraId="664F05F4">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（二）区域运动支持的现实困难：从“看不见”到“来不及”的多重阻碍</w:t>
      </w:r>
    </w:p>
    <w:p w14:paraId="400B1B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访谈与调研均发现教师的现实困境</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b/>
          <w:bCs/>
        </w:rPr>
        <w:t>一是</w:t>
      </w:r>
      <w:r>
        <w:rPr>
          <w:rFonts w:hint="eastAsia" w:ascii="Songti SC Regular" w:hAnsi="Songti SC Regular" w:eastAsia="Songti SC Regular" w:cs="Songti SC Regular"/>
        </w:rPr>
        <w:t>时间与资源匮乏。教师表示，观察记录、视频回放、信息梳理、方案调整都需要耗费较多的时间精力，在日常的班务工作、保育教育工作和研究任务都存在的前提下，很难做到对每一位</w:t>
      </w:r>
      <w:r>
        <w:rPr>
          <w:rFonts w:hint="eastAsia" w:ascii="Songti SC Regular" w:hAnsi="Songti SC Regular" w:eastAsia="Songti SC Regular" w:cs="Songti SC Regular"/>
          <w:lang w:eastAsia="zh-CN"/>
        </w:rPr>
        <w:t>幼儿</w:t>
      </w:r>
      <w:r>
        <w:rPr>
          <w:rFonts w:hint="eastAsia" w:ascii="Songti SC Regular" w:hAnsi="Songti SC Regular" w:eastAsia="Songti SC Regular" w:cs="Songti SC Regular"/>
        </w:rPr>
        <w:t>长期跟踪。</w:t>
      </w:r>
      <w:r>
        <w:rPr>
          <w:rFonts w:hint="eastAsia" w:ascii="Songti SC Regular" w:hAnsi="Songti SC Regular" w:eastAsia="Songti SC Regular" w:cs="Songti SC Regular"/>
          <w:b/>
          <w:bCs/>
        </w:rPr>
        <w:t>二是</w:t>
      </w:r>
      <w:r>
        <w:rPr>
          <w:rFonts w:hint="eastAsia" w:ascii="Songti SC Regular" w:hAnsi="Songti SC Regular" w:eastAsia="Songti SC Regular" w:cs="Songti SC Regular"/>
        </w:rPr>
        <w:t>方法适切性不够。针对托小班幼儿来说，一些马赛克方法容易出现回答不够真实、表达不完整或者活动无法进行下去的现象，教师对低龄幼儿非语言表征理解缺乏经验基础；</w:t>
      </w:r>
      <w:r>
        <w:rPr>
          <w:rFonts w:hint="eastAsia" w:ascii="Songti SC Regular" w:hAnsi="Songti SC Regular" w:eastAsia="Songti SC Regular" w:cs="Songti SC Regular"/>
          <w:b/>
          <w:bCs/>
          <w:lang w:val="en-US" w:eastAsia="zh-CN"/>
        </w:rPr>
        <w:t>三是</w:t>
      </w:r>
      <w:r>
        <w:rPr>
          <w:rFonts w:hint="eastAsia" w:ascii="Songti SC Regular" w:hAnsi="Songti SC Regular" w:eastAsia="Songti SC Regular" w:cs="Songti SC Regular"/>
        </w:rPr>
        <w:t>信息处理低效。即便收集到了照片、语言、视频和绘画等材料，教师也常常不知道如何从碎片化信息中提炼关键结论，难以由“材料丰富”走向“判断精准”。</w:t>
      </w:r>
    </w:p>
    <w:p w14:paraId="1BB3E8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另外，在策略方面，教师自身也会有顾虑。访谈发现</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rPr>
        <w:t>很多老师表示自己有时会走向两极：</w:t>
      </w:r>
      <w:r>
        <w:rPr>
          <w:rFonts w:hint="eastAsia" w:ascii="Songti SC Regular" w:hAnsi="Songti SC Regular" w:eastAsia="Songti SC Regular" w:cs="Songti SC Regular"/>
          <w:lang w:val="en-US" w:eastAsia="zh-CN"/>
        </w:rPr>
        <w:t>要么</w:t>
      </w:r>
      <w:r>
        <w:rPr>
          <w:rFonts w:hint="eastAsia" w:ascii="Songti SC Regular" w:hAnsi="Songti SC Regular" w:eastAsia="Songti SC Regular" w:cs="Songti SC Regular"/>
        </w:rPr>
        <w:t>为了照顾大局</w:t>
      </w:r>
      <w:r>
        <w:rPr>
          <w:rFonts w:hint="eastAsia" w:ascii="Songti SC Regular" w:hAnsi="Songti SC Regular" w:eastAsia="Songti SC Regular" w:cs="Songti SC Regular"/>
          <w:lang w:val="en-US" w:eastAsia="zh-CN"/>
        </w:rPr>
        <w:t>而</w:t>
      </w:r>
      <w:r>
        <w:rPr>
          <w:rFonts w:hint="eastAsia" w:ascii="Songti SC Regular" w:hAnsi="Songti SC Regular" w:eastAsia="Songti SC Regular" w:cs="Songti SC Regular"/>
        </w:rPr>
        <w:t>弱化</w:t>
      </w:r>
      <w:r>
        <w:rPr>
          <w:rFonts w:hint="eastAsia" w:ascii="Songti SC Regular" w:hAnsi="Songti SC Regular" w:eastAsia="Songti SC Regular" w:cs="Songti SC Regular"/>
          <w:lang w:val="en-US" w:eastAsia="zh-CN"/>
        </w:rPr>
        <w:t>差异</w:t>
      </w:r>
      <w:r>
        <w:rPr>
          <w:rFonts w:hint="eastAsia" w:ascii="Songti SC Regular" w:hAnsi="Songti SC Regular" w:eastAsia="Songti SC Regular" w:cs="Songti SC Regular"/>
        </w:rPr>
        <w:t>化的</w:t>
      </w:r>
      <w:r>
        <w:rPr>
          <w:rFonts w:hint="eastAsia" w:ascii="Songti SC Regular" w:hAnsi="Songti SC Regular" w:eastAsia="Songti SC Regular" w:cs="Songti SC Regular"/>
          <w:lang w:val="en-US" w:eastAsia="zh-CN"/>
        </w:rPr>
        <w:t>程</w:t>
      </w:r>
      <w:r>
        <w:rPr>
          <w:rFonts w:hint="eastAsia" w:ascii="Songti SC Regular" w:hAnsi="Songti SC Regular" w:eastAsia="Songti SC Regular" w:cs="Songti SC Regular"/>
        </w:rPr>
        <w:t>度；</w:t>
      </w:r>
      <w:r>
        <w:rPr>
          <w:rFonts w:hint="eastAsia" w:ascii="Songti SC Regular" w:hAnsi="Songti SC Regular" w:eastAsia="Songti SC Regular" w:cs="Songti SC Regular"/>
          <w:lang w:val="en-US" w:eastAsia="zh-CN"/>
        </w:rPr>
        <w:t>要么</w:t>
      </w:r>
      <w:r>
        <w:rPr>
          <w:rFonts w:hint="eastAsia" w:ascii="Songti SC Regular" w:hAnsi="Songti SC Regular" w:eastAsia="Songti SC Regular" w:cs="Songti SC Regular"/>
        </w:rPr>
        <w:t>会因为关注个</w:t>
      </w:r>
      <w:r>
        <w:rPr>
          <w:rFonts w:hint="eastAsia" w:ascii="Songti SC Regular" w:hAnsi="Songti SC Regular" w:eastAsia="Songti SC Regular" w:cs="Songti SC Regular"/>
          <w:lang w:val="en-US" w:eastAsia="zh-CN"/>
        </w:rPr>
        <w:t>别幼儿</w:t>
      </w:r>
      <w:r>
        <w:rPr>
          <w:rFonts w:hint="eastAsia" w:ascii="Songti SC Regular" w:hAnsi="Songti SC Regular" w:eastAsia="Songti SC Regular" w:cs="Songti SC Regular"/>
        </w:rPr>
        <w:t>而导致整个活动无法向前推进。尤其是在幼儿存在认知表达障碍、运动胆怯以及反复出现不良行为等问题的情况下，教师难以找到稳定的、有效的干预路径。这表明，差异化的支持并不是仅仅依靠“再多一些耐心”，而是需要教师有观察、分析、推理、设计和评价的能力。</w:t>
      </w:r>
    </w:p>
    <w:p w14:paraId="12B2ECB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Songti SC Regular" w:hAnsi="Songti SC Regular" w:eastAsia="Songti SC Regular" w:cs="Songti SC Regular"/>
          <w:b/>
          <w:bCs/>
        </w:rPr>
      </w:pPr>
      <w:r>
        <w:rPr>
          <w:rFonts w:hint="eastAsia" w:ascii="楷体" w:hAnsi="楷体" w:eastAsia="楷体" w:cs="楷体"/>
          <w:b/>
          <w:bCs/>
        </w:rPr>
        <w:t>表2</w:t>
      </w:r>
      <w:r>
        <w:rPr>
          <w:rFonts w:hint="eastAsia" w:ascii="楷体" w:hAnsi="楷体" w:eastAsia="楷体" w:cs="楷体"/>
          <w:b/>
          <w:bCs/>
          <w:lang w:val="en-US" w:eastAsia="zh-CN"/>
        </w:rPr>
        <w:t xml:space="preserve">  </w:t>
      </w:r>
      <w:r>
        <w:rPr>
          <w:rFonts w:hint="eastAsia" w:ascii="楷体" w:hAnsi="楷体" w:eastAsia="楷体" w:cs="楷体"/>
          <w:b/>
          <w:bCs/>
        </w:rPr>
        <w:t>教师调查关键发现摘要</w:t>
      </w:r>
    </w:p>
    <w:tbl>
      <w:tblPr>
        <w:tblStyle w:val="5"/>
        <w:tblW w:w="0" w:type="auto"/>
        <w:jc w:val="center"/>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Layout w:type="fixed"/>
        <w:tblCellMar>
          <w:top w:w="0" w:type="dxa"/>
          <w:left w:w="108" w:type="dxa"/>
          <w:bottom w:w="0" w:type="dxa"/>
          <w:right w:w="108" w:type="dxa"/>
        </w:tblCellMar>
      </w:tblPr>
      <w:tblGrid>
        <w:gridCol w:w="1421"/>
        <w:gridCol w:w="4026"/>
        <w:gridCol w:w="3812"/>
      </w:tblGrid>
      <w:tr w14:paraId="0D5BD06A">
        <w:tblPrEx>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CellMar>
            <w:top w:w="0" w:type="dxa"/>
            <w:left w:w="108" w:type="dxa"/>
            <w:bottom w:w="0" w:type="dxa"/>
            <w:right w:w="108" w:type="dxa"/>
          </w:tblCellMar>
        </w:tblPrEx>
        <w:trPr>
          <w:jc w:val="center"/>
        </w:trPr>
        <w:tc>
          <w:tcPr>
            <w:tcW w:w="1421" w:type="dxa"/>
            <w:shd w:val="clear" w:color="auto" w:fill="DCE6F1"/>
            <w:vAlign w:val="center"/>
          </w:tcPr>
          <w:p w14:paraId="7F72266A">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color w:val="auto"/>
                <w:sz w:val="22"/>
                <w:szCs w:val="22"/>
              </w:rPr>
              <w:t>主题</w:t>
            </w:r>
          </w:p>
        </w:tc>
        <w:tc>
          <w:tcPr>
            <w:tcW w:w="4026" w:type="dxa"/>
            <w:shd w:val="clear" w:color="auto" w:fill="DCE6F1"/>
            <w:vAlign w:val="center"/>
          </w:tcPr>
          <w:p w14:paraId="739C8A0B">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color w:val="auto"/>
                <w:sz w:val="22"/>
                <w:szCs w:val="22"/>
              </w:rPr>
              <w:t>关键数据或现象</w:t>
            </w:r>
          </w:p>
        </w:tc>
        <w:tc>
          <w:tcPr>
            <w:tcW w:w="3812" w:type="dxa"/>
            <w:shd w:val="clear" w:color="auto" w:fill="DCE6F1"/>
            <w:vAlign w:val="center"/>
          </w:tcPr>
          <w:p w14:paraId="4FBB25CF">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color w:val="auto"/>
                <w:sz w:val="22"/>
                <w:szCs w:val="22"/>
              </w:rPr>
              <w:t>说明</w:t>
            </w:r>
          </w:p>
        </w:tc>
      </w:tr>
      <w:tr w14:paraId="6C00BC65">
        <w:tblPrEx>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CellMar>
            <w:top w:w="0" w:type="dxa"/>
            <w:left w:w="108" w:type="dxa"/>
            <w:bottom w:w="0" w:type="dxa"/>
            <w:right w:w="108" w:type="dxa"/>
          </w:tblCellMar>
        </w:tblPrEx>
        <w:trPr>
          <w:jc w:val="center"/>
        </w:trPr>
        <w:tc>
          <w:tcPr>
            <w:tcW w:w="1421" w:type="dxa"/>
            <w:shd w:val="clear" w:color="auto" w:fill="F7FAFC"/>
            <w:vAlign w:val="center"/>
          </w:tcPr>
          <w:p w14:paraId="4FF284AB">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总体认同度</w:t>
            </w:r>
          </w:p>
        </w:tc>
        <w:tc>
          <w:tcPr>
            <w:tcW w:w="4026" w:type="dxa"/>
            <w:shd w:val="clear" w:color="auto" w:fill="F7FAFC"/>
            <w:vAlign w:val="center"/>
          </w:tcPr>
          <w:p w14:paraId="1819389E">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100%教师认同马赛克方法具有系统价值</w:t>
            </w:r>
          </w:p>
        </w:tc>
        <w:tc>
          <w:tcPr>
            <w:tcW w:w="3812" w:type="dxa"/>
            <w:shd w:val="clear" w:color="auto" w:fill="F7FAFC"/>
            <w:vAlign w:val="center"/>
          </w:tcPr>
          <w:p w14:paraId="293F8C45">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说明研究具备较强的实践共识基础</w:t>
            </w:r>
          </w:p>
        </w:tc>
      </w:tr>
      <w:tr w14:paraId="3FB07714">
        <w:tblPrEx>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CellMar>
            <w:top w:w="0" w:type="dxa"/>
            <w:left w:w="108" w:type="dxa"/>
            <w:bottom w:w="0" w:type="dxa"/>
            <w:right w:w="108" w:type="dxa"/>
          </w:tblCellMar>
        </w:tblPrEx>
        <w:trPr>
          <w:jc w:val="center"/>
        </w:trPr>
        <w:tc>
          <w:tcPr>
            <w:tcW w:w="1421" w:type="dxa"/>
            <w:vAlign w:val="center"/>
          </w:tcPr>
          <w:p w14:paraId="4719F48A">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职称差异</w:t>
            </w:r>
          </w:p>
        </w:tc>
        <w:tc>
          <w:tcPr>
            <w:tcW w:w="4026" w:type="dxa"/>
            <w:vAlign w:val="center"/>
          </w:tcPr>
          <w:p w14:paraId="7B877936">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小学高级教师在“倾听幼儿多元声音”上“非常符合”比例为62.5%，高于未评级教师的33.33%</w:t>
            </w:r>
          </w:p>
        </w:tc>
        <w:tc>
          <w:tcPr>
            <w:tcW w:w="3812" w:type="dxa"/>
            <w:vAlign w:val="center"/>
          </w:tcPr>
          <w:p w14:paraId="31258608">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经验与专业积累会影响方法实施深度</w:t>
            </w:r>
          </w:p>
        </w:tc>
      </w:tr>
      <w:tr w14:paraId="3DB53339">
        <w:tblPrEx>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CellMar>
            <w:top w:w="0" w:type="dxa"/>
            <w:left w:w="108" w:type="dxa"/>
            <w:bottom w:w="0" w:type="dxa"/>
            <w:right w:w="108" w:type="dxa"/>
          </w:tblCellMar>
        </w:tblPrEx>
        <w:trPr>
          <w:jc w:val="center"/>
        </w:trPr>
        <w:tc>
          <w:tcPr>
            <w:tcW w:w="1421" w:type="dxa"/>
            <w:shd w:val="clear" w:color="auto" w:fill="F7FAFC"/>
            <w:vAlign w:val="center"/>
          </w:tcPr>
          <w:p w14:paraId="51B0F044">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年段差异</w:t>
            </w:r>
          </w:p>
        </w:tc>
        <w:tc>
          <w:tcPr>
            <w:tcW w:w="4026" w:type="dxa"/>
            <w:shd w:val="clear" w:color="auto" w:fill="F7FAFC"/>
            <w:vAlign w:val="center"/>
          </w:tcPr>
          <w:p w14:paraId="289ED712">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中班教师在多主体协同解读上表现更突出，托小班实施难度更大</w:t>
            </w:r>
          </w:p>
        </w:tc>
        <w:tc>
          <w:tcPr>
            <w:tcW w:w="3812" w:type="dxa"/>
            <w:shd w:val="clear" w:color="auto" w:fill="F7FAFC"/>
            <w:vAlign w:val="center"/>
          </w:tcPr>
          <w:p w14:paraId="0C1044F7">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不同年龄阶段需要不同的实施策略与表征工具</w:t>
            </w:r>
          </w:p>
        </w:tc>
      </w:tr>
      <w:tr w14:paraId="26975932">
        <w:tblPrEx>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CellMar>
            <w:top w:w="0" w:type="dxa"/>
            <w:left w:w="108" w:type="dxa"/>
            <w:bottom w:w="0" w:type="dxa"/>
            <w:right w:w="108" w:type="dxa"/>
          </w:tblCellMar>
        </w:tblPrEx>
        <w:trPr>
          <w:jc w:val="center"/>
        </w:trPr>
        <w:tc>
          <w:tcPr>
            <w:tcW w:w="1421" w:type="dxa"/>
            <w:vAlign w:val="center"/>
          </w:tcPr>
          <w:p w14:paraId="61274C4C">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实施瓶颈</w:t>
            </w:r>
          </w:p>
        </w:tc>
        <w:tc>
          <w:tcPr>
            <w:tcW w:w="4026" w:type="dxa"/>
            <w:vAlign w:val="center"/>
          </w:tcPr>
          <w:p w14:paraId="408EE12F">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时间资源紧张、方法适用性不足、信息处理低效、专业能力短板</w:t>
            </w:r>
          </w:p>
        </w:tc>
        <w:tc>
          <w:tcPr>
            <w:tcW w:w="3812" w:type="dxa"/>
            <w:vAlign w:val="center"/>
          </w:tcPr>
          <w:p w14:paraId="586A0D55">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差异化支持需要制度、工具与培训多方协同</w:t>
            </w:r>
          </w:p>
        </w:tc>
      </w:tr>
      <w:tr w14:paraId="3ADDA21B">
        <w:tblPrEx>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CellMar>
            <w:top w:w="0" w:type="dxa"/>
            <w:left w:w="108" w:type="dxa"/>
            <w:bottom w:w="0" w:type="dxa"/>
            <w:right w:w="108" w:type="dxa"/>
          </w:tblCellMar>
        </w:tblPrEx>
        <w:trPr>
          <w:jc w:val="center"/>
        </w:trPr>
        <w:tc>
          <w:tcPr>
            <w:tcW w:w="1421" w:type="dxa"/>
            <w:shd w:val="clear" w:color="auto" w:fill="F7FAFC"/>
            <w:vAlign w:val="center"/>
          </w:tcPr>
          <w:p w14:paraId="06263C1A">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发展需求</w:t>
            </w:r>
          </w:p>
        </w:tc>
        <w:tc>
          <w:tcPr>
            <w:tcW w:w="4026" w:type="dxa"/>
            <w:shd w:val="clear" w:color="auto" w:fill="F7FAFC"/>
            <w:vAlign w:val="center"/>
          </w:tcPr>
          <w:p w14:paraId="70E448DD">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教师希望获得案例库、分析框架、简化工具和家园合作策略</w:t>
            </w:r>
          </w:p>
        </w:tc>
        <w:tc>
          <w:tcPr>
            <w:tcW w:w="3812" w:type="dxa"/>
            <w:shd w:val="clear" w:color="auto" w:fill="F7FAFC"/>
            <w:vAlign w:val="center"/>
          </w:tcPr>
          <w:p w14:paraId="27C2AC57">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后续推广需重视资源建设与培训支持</w:t>
            </w:r>
          </w:p>
        </w:tc>
      </w:tr>
    </w:tbl>
    <w:p w14:paraId="270F05D0">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（三）问题成因分析：支持难点背后的课程逻辑断层</w:t>
      </w:r>
    </w:p>
    <w:p w14:paraId="25F725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上述困难进行进一步分析，可以发现至少存在三层逻辑断层。首先，是“识别断层”。教师虽然承认差异客观存在，但在具体情境中仍多依赖即时印象进行判断，缺乏稳定的、多主体参与的信息来源，因而容易把复杂问题简单化。其次，是“转化断层”。教师收集到儿童拍照、绘画或会议表达后，未必能够把这些材料转化为课程调整策略，常常停留在“素材展示”层面，而没有真正进入“支持设计”层面。再次，是“连续断层”。差异</w:t>
      </w:r>
      <w:r>
        <w:rPr>
          <w:rFonts w:hint="eastAsia" w:ascii="Songti SC Regular" w:hAnsi="Songti SC Regular" w:eastAsia="Songti SC Regular" w:cs="Songti SC Regular"/>
          <w:lang w:val="en-US" w:eastAsia="zh-CN"/>
        </w:rPr>
        <w:t>化</w:t>
      </w:r>
      <w:r>
        <w:rPr>
          <w:rFonts w:hint="eastAsia" w:ascii="Songti SC Regular" w:hAnsi="Songti SC Regular" w:eastAsia="Songti SC Regular" w:cs="Songti SC Regular"/>
        </w:rPr>
        <w:t>支持</w:t>
      </w:r>
      <w:r>
        <w:rPr>
          <w:rFonts w:hint="eastAsia" w:ascii="Songti SC Regular" w:hAnsi="Songti SC Regular" w:eastAsia="Songti SC Regular" w:cs="Songti SC Regular"/>
          <w:lang w:val="en-US" w:eastAsia="zh-CN"/>
        </w:rPr>
        <w:t>需要</w:t>
      </w:r>
      <w:r>
        <w:rPr>
          <w:rFonts w:hint="eastAsia" w:ascii="Songti SC Regular" w:hAnsi="Songti SC Regular" w:eastAsia="Songti SC Regular" w:cs="Songti SC Regular"/>
        </w:rPr>
        <w:t>活动前设计、活动中</w:t>
      </w:r>
      <w:r>
        <w:rPr>
          <w:rFonts w:hint="eastAsia" w:ascii="Songti SC Regular" w:hAnsi="Songti SC Regular" w:eastAsia="Songti SC Regular" w:cs="Songti SC Regular"/>
          <w:lang w:val="en-US" w:eastAsia="zh-CN"/>
        </w:rPr>
        <w:t>回应</w:t>
      </w:r>
      <w:r>
        <w:rPr>
          <w:rFonts w:hint="eastAsia" w:ascii="Songti SC Regular" w:hAnsi="Songti SC Regular" w:eastAsia="Songti SC Regular" w:cs="Songti SC Regular"/>
        </w:rPr>
        <w:t>和支持、活动后反思的循环，但在实践中不少的支持只是一次性的提示，并没有后续的跟进和完善。</w:t>
      </w:r>
    </w:p>
    <w:p w14:paraId="56006F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由此可见，区域运动中差异化支持的关键，不仅是增加一些新方法，更在于重构教师的课程行动逻辑：从孤立观察走向多元证据整合，从单点干预走向连续支持，从经验判断走向循证判断。这正是本文进一步讨论马赛克方法嵌入机制的原因所在。</w:t>
      </w:r>
    </w:p>
    <w:p w14:paraId="42A573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p>
    <w:p w14:paraId="2BF784B5">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sz w:val="24"/>
          <w:szCs w:val="24"/>
          <w:lang w:val="en-US" w:eastAsia="zh-CN"/>
        </w:rPr>
      </w:pPr>
      <w:r>
        <w:rPr>
          <w:rFonts w:hint="eastAsia" w:ascii="Songti SC Bold" w:hAnsi="Songti SC Bold" w:eastAsia="Songti SC Bold" w:cs="Songti SC Bold"/>
          <w:b/>
          <w:bCs/>
          <w:lang w:val="en-US" w:eastAsia="zh-CN"/>
        </w:rPr>
        <w:t>行动改进：</w:t>
      </w:r>
      <w:r>
        <w:rPr>
          <w:rFonts w:hint="eastAsia" w:ascii="Songti SC Bold" w:hAnsi="Songti SC Bold" w:eastAsia="Songti SC Bold" w:cs="Songti SC Bold"/>
          <w:b/>
          <w:bCs/>
          <w:sz w:val="24"/>
          <w:szCs w:val="24"/>
        </w:rPr>
        <w:t>幼儿园区域运动中开展差异化支持的</w:t>
      </w:r>
      <w:r>
        <w:rPr>
          <w:rFonts w:hint="eastAsia" w:ascii="Songti SC Bold" w:hAnsi="Songti SC Bold" w:eastAsia="Songti SC Bold" w:cs="Songti SC Bold"/>
          <w:b/>
          <w:bCs/>
          <w:sz w:val="24"/>
          <w:szCs w:val="24"/>
          <w:lang w:val="en-US" w:eastAsia="zh-CN"/>
        </w:rPr>
        <w:t>路径与策略</w:t>
      </w:r>
    </w:p>
    <w:p w14:paraId="48408A6C">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lang w:eastAsia="zh-CN"/>
        </w:rPr>
      </w:pPr>
      <w:r>
        <w:rPr>
          <w:rFonts w:hint="eastAsia" w:ascii="Songti SC Bold" w:hAnsi="Songti SC Bold" w:eastAsia="Songti SC Bold" w:cs="Songti SC Bold"/>
          <w:b/>
          <w:bCs/>
          <w:sz w:val="24"/>
          <w:szCs w:val="24"/>
          <w:lang w:val="en-US" w:eastAsia="zh-CN"/>
        </w:rPr>
        <w:t>（一）</w:t>
      </w:r>
      <w:r>
        <w:rPr>
          <w:rFonts w:hint="eastAsia" w:ascii="Songti SC Bold" w:hAnsi="Songti SC Bold" w:eastAsia="Songti SC Bold" w:cs="Songti SC Bold"/>
          <w:b/>
          <w:bCs/>
        </w:rPr>
        <w:t>马赛克方法嵌入区域运动的实践</w:t>
      </w:r>
      <w:r>
        <w:rPr>
          <w:rFonts w:hint="eastAsia" w:ascii="Songti SC Bold" w:hAnsi="Songti SC Bold" w:eastAsia="Songti SC Bold" w:cs="Songti SC Bold"/>
          <w:b/>
          <w:bCs/>
          <w:lang w:val="en-US" w:eastAsia="zh-CN"/>
        </w:rPr>
        <w:t>路径</w:t>
      </w:r>
    </w:p>
    <w:p w14:paraId="2439CAB0">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1.</w:t>
      </w:r>
      <w:r>
        <w:rPr>
          <w:rFonts w:hint="eastAsia" w:ascii="Songti SC Bold" w:hAnsi="Songti SC Bold" w:eastAsia="Songti SC Bold" w:cs="Songti SC Bold"/>
          <w:b/>
          <w:bCs/>
        </w:rPr>
        <w:t>多元主体参与：让儿童、同伴、家长和教师共同发声</w:t>
      </w:r>
    </w:p>
    <w:p w14:paraId="12DDB5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赛克方法进入区域运动后，最重要的变化之一，是信息来源不再局限于教师单向观察。儿童通过直接表达、拍照、绘画、地图、小海报和儿童会议等方式，提供关于“我看见了什么”“我喜欢什么”“我担心什么”“我想怎么改”的一手信息；同伴在共同讨论与互评中补充了彼此的观察视角；家长则通过访谈反馈幼儿在家庭中的运动经验、兴趣偏好和行为习惯；教师作为观察者和引导者，将这些来自不同主体的声音进行汇聚与</w:t>
      </w:r>
      <w:r>
        <w:rPr>
          <w:rFonts w:hint="eastAsia" w:ascii="Songti SC Regular" w:hAnsi="Songti SC Regular" w:eastAsia="Songti SC Regular" w:cs="Songti SC Regular"/>
          <w:lang w:eastAsia="zh-CN"/>
        </w:rPr>
        <w:t>识别</w:t>
      </w:r>
      <w:r>
        <w:rPr>
          <w:rFonts w:hint="eastAsia" w:ascii="Songti SC Regular" w:hAnsi="Songti SC Regular" w:eastAsia="Songti SC Regular" w:cs="Songti SC Regular"/>
        </w:rPr>
        <w:t>。</w:t>
      </w:r>
    </w:p>
    <w:p w14:paraId="2F641F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多元主体的参与，使区域运动从单纯的活动组织，转变为多方共同建构意义的课程过程。</w:t>
      </w:r>
    </w:p>
    <w:p w14:paraId="0F4462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Bold" w:hAnsi="Songti SC Bold" w:eastAsia="Songti SC Bold" w:cs="Songti SC Bold"/>
          <w:b/>
          <w:bCs/>
        </w:rPr>
      </w:pPr>
      <w:r>
        <w:rPr>
          <w:rFonts w:hint="eastAsia" w:ascii="Songti SC Regular" w:hAnsi="Songti SC Regular" w:eastAsia="Songti SC Regular" w:cs="Songti SC Regular"/>
        </w:rPr>
        <w:t>这样的变化具有重要意义</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rPr>
        <w:t>在传统的</w:t>
      </w:r>
      <w:r>
        <w:rPr>
          <w:rFonts w:hint="eastAsia" w:ascii="Songti SC Regular" w:hAnsi="Songti SC Regular" w:eastAsia="Songti SC Regular" w:cs="Songti SC Regular"/>
          <w:lang w:val="en-US" w:eastAsia="zh-CN"/>
        </w:rPr>
        <w:t>运动</w:t>
      </w:r>
      <w:r>
        <w:rPr>
          <w:rFonts w:hint="eastAsia" w:ascii="Songti SC Regular" w:hAnsi="Songti SC Regular" w:eastAsia="Songti SC Regular" w:cs="Songti SC Regular"/>
        </w:rPr>
        <w:t>活动过程中，</w:t>
      </w:r>
      <w:r>
        <w:rPr>
          <w:rFonts w:hint="eastAsia" w:ascii="Songti SC Regular" w:hAnsi="Songti SC Regular" w:eastAsia="Songti SC Regular" w:cs="Songti SC Regular"/>
          <w:lang w:val="en-US" w:eastAsia="zh-CN"/>
        </w:rPr>
        <w:t>幼儿</w:t>
      </w:r>
      <w:r>
        <w:rPr>
          <w:rFonts w:hint="eastAsia" w:ascii="Songti SC Regular" w:hAnsi="Songti SC Regular" w:eastAsia="Songti SC Regular" w:cs="Songti SC Regular"/>
        </w:rPr>
        <w:t>更多的时候是“被管理者”，而在马赛克方法的支持下，他们是意见表达者、问题提出者、游戏规则制定参与者；老师不再是“发号施令”的人，而是聆听者、追问者以及支持者。多元主体间的对话重构了课程权力关系，让“支持”不再只是成人的单项行为，而是可以在对话中生成的课程行动。</w:t>
      </w:r>
    </w:p>
    <w:p w14:paraId="3C193765">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2.</w:t>
      </w:r>
      <w:r>
        <w:rPr>
          <w:rFonts w:hint="eastAsia" w:ascii="Songti SC Bold" w:hAnsi="Songti SC Bold" w:eastAsia="Songti SC Bold" w:cs="Songti SC Bold"/>
          <w:b/>
          <w:bCs/>
        </w:rPr>
        <w:t>多元表征收集：从单一观察走向立体画像建构</w:t>
      </w:r>
    </w:p>
    <w:p w14:paraId="516984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赛克方法的另一个关键是通过多元表征突破语言表达的局限。区域活动中，教师往往会发现，幼儿并不总是可以把自己的想法表述得很清楚，但可以通过照片拍向某个角、通过照片突显某种关系、通过摆弄材料来呈现自己的认识。例如，儿童拍照可以帮助教师捕捉成人视角下的环境盲区；地图绘制能够展现幼儿的空间认知与规则意识；儿童会议能够呈现幼儿的风险意识、合作意识、困难与乐趣体验；小海报可以将隐性的合作意识转化为显性的团队规则。</w:t>
      </w:r>
    </w:p>
    <w:p w14:paraId="01A79C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些表征方式并非彼此替代，而是相互补充。照片可以告诉教师“问题在哪儿”，会议可以说明“为什么这是问题”，绘画和小海报则能呈现“我们希望怎么改”。教师通过整合多种表征，才能真正把幼儿的经验拼接成更完整的画像。对差异化支持而言，这意味着支持的依据不再只是幼儿完成了什么动作，而是同时包括幼儿如何理解动作、如何感受活动、如何看待同伴和环境，以及他希望获得何种帮助。</w:t>
      </w:r>
    </w:p>
    <w:p w14:paraId="56D7D909">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3.</w:t>
      </w:r>
      <w:r>
        <w:rPr>
          <w:rFonts w:hint="eastAsia" w:ascii="Songti SC Bold" w:hAnsi="Songti SC Bold" w:eastAsia="Songti SC Bold" w:cs="Songti SC Bold"/>
          <w:b/>
          <w:bCs/>
        </w:rPr>
        <w:t>共同</w:t>
      </w:r>
      <w:r>
        <w:rPr>
          <w:rFonts w:hint="eastAsia" w:ascii="Songti SC Bold" w:hAnsi="Songti SC Bold" w:eastAsia="Songti SC Bold" w:cs="Songti SC Bold"/>
          <w:b/>
          <w:bCs/>
          <w:lang w:eastAsia="zh-CN"/>
        </w:rPr>
        <w:t>识别</w:t>
      </w:r>
      <w:r>
        <w:rPr>
          <w:rFonts w:hint="eastAsia" w:ascii="Songti SC Bold" w:hAnsi="Songti SC Bold" w:eastAsia="Songti SC Bold" w:cs="Songti SC Bold"/>
          <w:b/>
          <w:bCs/>
        </w:rPr>
        <w:t>与课程转化：把信息碎片变成支持决策</w:t>
      </w:r>
    </w:p>
    <w:p w14:paraId="4737B8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在研究中，最值得强调的并不是“收集到了很多材料”，而是这些材料如何进入共同</w:t>
      </w:r>
      <w:r>
        <w:rPr>
          <w:rFonts w:hint="eastAsia" w:ascii="Songti SC Regular" w:hAnsi="Songti SC Regular" w:eastAsia="Songti SC Regular" w:cs="Songti SC Regular"/>
          <w:lang w:eastAsia="zh-CN"/>
        </w:rPr>
        <w:t>识别</w:t>
      </w:r>
      <w:r>
        <w:rPr>
          <w:rFonts w:hint="eastAsia" w:ascii="Songti SC Regular" w:hAnsi="Songti SC Regular" w:eastAsia="Songti SC Regular" w:cs="Songti SC Regular"/>
        </w:rPr>
        <w:t>环节。教师需要带着问题去看材料，例如：这个幼儿为何在活动中停顿？他的拍照重点说明了什么？同伴讨论暴露了怎样的规则盲点？家长反馈与在园表现之间是否存在一致性或差异性？只有在</w:t>
      </w:r>
      <w:r>
        <w:rPr>
          <w:rFonts w:hint="eastAsia" w:ascii="Songti SC Regular" w:hAnsi="Songti SC Regular" w:eastAsia="Songti SC Regular" w:cs="Songti SC Regular"/>
          <w:lang w:eastAsia="zh-CN"/>
        </w:rPr>
        <w:t>识别</w:t>
      </w:r>
      <w:r>
        <w:rPr>
          <w:rFonts w:hint="eastAsia" w:ascii="Songti SC Regular" w:hAnsi="Songti SC Regular" w:eastAsia="Songti SC Regular" w:cs="Songti SC Regular"/>
        </w:rPr>
        <w:t>层面下足功夫，材料才可能转化为真正的课程证据。</w:t>
      </w:r>
    </w:p>
    <w:p w14:paraId="4DFC89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共同</w:t>
      </w:r>
      <w:r>
        <w:rPr>
          <w:rFonts w:hint="eastAsia" w:ascii="Songti SC Regular" w:hAnsi="Songti SC Regular" w:eastAsia="Songti SC Regular" w:cs="Songti SC Regular"/>
          <w:lang w:eastAsia="zh-CN"/>
        </w:rPr>
        <w:t>识别</w:t>
      </w:r>
      <w:r>
        <w:rPr>
          <w:rFonts w:hint="eastAsia" w:ascii="Songti SC Regular" w:hAnsi="Songti SC Regular" w:eastAsia="Songti SC Regular" w:cs="Songti SC Regular"/>
        </w:rPr>
        <w:t>强调多元主体对同一材料的再讨论。儿童可以</w:t>
      </w:r>
      <w:r>
        <w:rPr>
          <w:rFonts w:hint="eastAsia" w:ascii="Songti SC Regular" w:hAnsi="Songti SC Regular" w:eastAsia="Songti SC Regular" w:cs="Songti SC Regular"/>
          <w:lang w:val="en-US" w:eastAsia="zh-CN"/>
        </w:rPr>
        <w:t>解释</w:t>
      </w:r>
      <w:r>
        <w:rPr>
          <w:rFonts w:hint="eastAsia" w:ascii="Songti SC Regular" w:hAnsi="Songti SC Regular" w:eastAsia="Songti SC Regular" w:cs="Songti SC Regular"/>
        </w:rPr>
        <w:t>自己的照片和图画，教师可以补充现场观察，同伴可以提供不同看法，家长可以联系家庭经验。多方</w:t>
      </w:r>
      <w:r>
        <w:rPr>
          <w:rFonts w:hint="eastAsia" w:ascii="Songti SC Regular" w:hAnsi="Songti SC Regular" w:eastAsia="Songti SC Regular" w:cs="Songti SC Regular"/>
          <w:lang w:eastAsia="zh-CN"/>
        </w:rPr>
        <w:t>识别</w:t>
      </w:r>
      <w:r>
        <w:rPr>
          <w:rFonts w:hint="eastAsia" w:ascii="Songti SC Regular" w:hAnsi="Songti SC Regular" w:eastAsia="Songti SC Regular" w:cs="Songti SC Regular"/>
        </w:rPr>
        <w:t>的交织，有助于修正单一立场可能造成的误读。更重要的是，</w:t>
      </w:r>
      <w:r>
        <w:rPr>
          <w:rFonts w:hint="eastAsia" w:ascii="Songti SC Regular" w:hAnsi="Songti SC Regular" w:eastAsia="Songti SC Regular" w:cs="Songti SC Regular"/>
          <w:lang w:eastAsia="zh-CN"/>
        </w:rPr>
        <w:t>识别</w:t>
      </w:r>
      <w:r>
        <w:rPr>
          <w:rFonts w:hint="eastAsia" w:ascii="Songti SC Regular" w:hAnsi="Songti SC Regular" w:eastAsia="Songti SC Regular" w:cs="Songti SC Regular"/>
        </w:rPr>
        <w:t>的结果必须进入课程调整：改变路线、重设材料、协商规则、分层目标、增设支持、调整评价。也就是说，马赛克方法的价值不是让活动“看起来更丰富”，而是推动教师基于证据做出更精准的课程决策。</w:t>
      </w:r>
    </w:p>
    <w:p w14:paraId="1FE764F4">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4.</w:t>
      </w:r>
      <w:r>
        <w:rPr>
          <w:rFonts w:hint="eastAsia" w:ascii="Songti SC Bold" w:hAnsi="Songti SC Bold" w:eastAsia="Songti SC Bold" w:cs="Songti SC Bold"/>
          <w:b/>
          <w:bCs/>
        </w:rPr>
        <w:t>闭环运行机制：识别—比对—支持—评价—调整</w:t>
      </w:r>
    </w:p>
    <w:p w14:paraId="48F654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研究</w:t>
      </w:r>
      <w:r>
        <w:rPr>
          <w:rFonts w:hint="eastAsia" w:ascii="Songti SC Regular" w:hAnsi="Songti SC Regular" w:eastAsia="Songti SC Regular" w:cs="Songti SC Regular"/>
        </w:rPr>
        <w:t>最后形成了比较清晰的支持差异化路线图：一是多维工具介入分析，发现幼儿认知、心理、生理、社会四维的差异点；二是实然与应然对照，确定是“扬长型”，还是“补短型”，抑或是动态中间态；三是根据目标和动因提供差异化支持；</w:t>
      </w:r>
      <w:r>
        <w:rPr>
          <w:rFonts w:hint="eastAsia" w:ascii="Songti SC Regular" w:hAnsi="Songti SC Regular" w:eastAsia="Songti SC Regular" w:cs="Songti SC Regular"/>
          <w:lang w:val="en-US" w:eastAsia="zh-CN"/>
        </w:rPr>
        <w:t>四是</w:t>
      </w:r>
      <w:r>
        <w:rPr>
          <w:rFonts w:hint="eastAsia" w:ascii="Songti SC Regular" w:hAnsi="Songti SC Regular" w:eastAsia="Songti SC Regular" w:cs="Songti SC Regular"/>
        </w:rPr>
        <w:t>用教师看、幼儿自己说、伙伴们互相讲、家长来评价等方式对给予的支持进行评估，并据此调整下一步的做法。这个过程不是一次性完成，而是在活动前、中、后循环推进。</w:t>
      </w:r>
    </w:p>
    <w:p w14:paraId="699D5BBF">
      <w:pPr>
        <w:keepNext w:val="0"/>
        <w:keepLines w:val="0"/>
        <w:pageBreakBefore w:val="0"/>
        <w:widowControl/>
        <w:kinsoku/>
        <w:wordWrap/>
        <w:overflowPunct/>
        <w:topLinePunct w:val="0"/>
        <w:autoSpaceDE/>
        <w:autoSpaceDN/>
        <w:bidi w:val="0"/>
        <w:adjustRightInd/>
        <w:snapToGrid/>
        <w:spacing w:line="360" w:lineRule="auto"/>
        <w:ind w:firstLine="482" w:firstLineChars="200"/>
        <w:jc w:val="center"/>
        <w:textAlignment w:val="auto"/>
        <w:rPr>
          <w:rFonts w:hint="eastAsia" w:ascii="Songti SC Regular" w:hAnsi="Songti SC Regular" w:eastAsia="Songti SC Regular" w:cs="Songti SC Regular"/>
        </w:rPr>
      </w:pPr>
      <w:r>
        <w:rPr>
          <w:rFonts w:hint="eastAsia" w:ascii="楷体" w:hAnsi="楷体" w:eastAsia="楷体" w:cs="楷体"/>
          <w:b/>
          <w:bCs/>
        </w:rPr>
        <w:t>表3</w:t>
      </w:r>
      <w:r>
        <w:rPr>
          <w:rFonts w:hint="eastAsia" w:ascii="楷体" w:hAnsi="楷体" w:eastAsia="楷体" w:cs="楷体"/>
          <w:b/>
          <w:bCs/>
          <w:lang w:val="en-US" w:eastAsia="zh-CN"/>
        </w:rPr>
        <w:t xml:space="preserve">  </w:t>
      </w:r>
      <w:r>
        <w:rPr>
          <w:rFonts w:hint="eastAsia" w:ascii="楷体" w:hAnsi="楷体" w:eastAsia="楷体" w:cs="楷体"/>
          <w:b/>
          <w:bCs/>
        </w:rPr>
        <w:t>差异化支持闭环运行框架</w:t>
      </w:r>
    </w:p>
    <w:tbl>
      <w:tblPr>
        <w:tblStyle w:val="5"/>
        <w:tblW w:w="0" w:type="auto"/>
        <w:jc w:val="center"/>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Layout w:type="fixed"/>
        <w:tblCellMar>
          <w:top w:w="0" w:type="dxa"/>
          <w:left w:w="108" w:type="dxa"/>
          <w:bottom w:w="0" w:type="dxa"/>
          <w:right w:w="108" w:type="dxa"/>
        </w:tblCellMar>
      </w:tblPr>
      <w:tblGrid>
        <w:gridCol w:w="1222"/>
        <w:gridCol w:w="2520"/>
        <w:gridCol w:w="2891"/>
        <w:gridCol w:w="2211"/>
      </w:tblGrid>
      <w:tr w14:paraId="22907077">
        <w:tblPrEx>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CellMar>
            <w:top w:w="0" w:type="dxa"/>
            <w:left w:w="108" w:type="dxa"/>
            <w:bottom w:w="0" w:type="dxa"/>
            <w:right w:w="108" w:type="dxa"/>
          </w:tblCellMar>
        </w:tblPrEx>
        <w:trPr>
          <w:jc w:val="center"/>
        </w:trPr>
        <w:tc>
          <w:tcPr>
            <w:tcW w:w="1222" w:type="dxa"/>
            <w:shd w:val="clear" w:color="auto" w:fill="DCE6F1"/>
            <w:vAlign w:val="center"/>
          </w:tcPr>
          <w:p w14:paraId="3C879E99">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color w:val="auto"/>
                <w:sz w:val="22"/>
                <w:szCs w:val="22"/>
              </w:rPr>
              <w:t>环节</w:t>
            </w:r>
          </w:p>
        </w:tc>
        <w:tc>
          <w:tcPr>
            <w:tcW w:w="2520" w:type="dxa"/>
            <w:shd w:val="clear" w:color="auto" w:fill="DCE6F1"/>
            <w:vAlign w:val="center"/>
          </w:tcPr>
          <w:p w14:paraId="788FE54D">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color w:val="auto"/>
                <w:sz w:val="22"/>
                <w:szCs w:val="22"/>
              </w:rPr>
              <w:t>核心任务</w:t>
            </w:r>
          </w:p>
        </w:tc>
        <w:tc>
          <w:tcPr>
            <w:tcW w:w="2891" w:type="dxa"/>
            <w:shd w:val="clear" w:color="auto" w:fill="DCE6F1"/>
            <w:vAlign w:val="center"/>
          </w:tcPr>
          <w:p w14:paraId="0C656C24">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color w:val="auto"/>
                <w:sz w:val="22"/>
                <w:szCs w:val="22"/>
              </w:rPr>
              <w:t>常用工具</w:t>
            </w:r>
          </w:p>
        </w:tc>
        <w:tc>
          <w:tcPr>
            <w:tcW w:w="2211" w:type="dxa"/>
            <w:shd w:val="clear" w:color="auto" w:fill="DCE6F1"/>
            <w:vAlign w:val="center"/>
          </w:tcPr>
          <w:p w14:paraId="7FAFBA46">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color w:val="auto"/>
                <w:sz w:val="22"/>
                <w:szCs w:val="22"/>
              </w:rPr>
              <w:t>教师关键行动</w:t>
            </w:r>
          </w:p>
        </w:tc>
      </w:tr>
      <w:tr w14:paraId="46AAFA56">
        <w:tblPrEx>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CellMar>
            <w:top w:w="0" w:type="dxa"/>
            <w:left w:w="108" w:type="dxa"/>
            <w:bottom w:w="0" w:type="dxa"/>
            <w:right w:w="108" w:type="dxa"/>
          </w:tblCellMar>
        </w:tblPrEx>
        <w:trPr>
          <w:jc w:val="center"/>
        </w:trPr>
        <w:tc>
          <w:tcPr>
            <w:tcW w:w="1222" w:type="dxa"/>
            <w:shd w:val="clear" w:color="auto" w:fill="F7FAFC"/>
            <w:vAlign w:val="center"/>
          </w:tcPr>
          <w:p w14:paraId="1AAF7BE9">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识别差异</w:t>
            </w:r>
          </w:p>
        </w:tc>
        <w:tc>
          <w:tcPr>
            <w:tcW w:w="2520" w:type="dxa"/>
            <w:shd w:val="clear" w:color="auto" w:fill="F7FAFC"/>
            <w:vAlign w:val="center"/>
          </w:tcPr>
          <w:p w14:paraId="23DB2F64">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发现幼儿在认知、心理、生理、社会维度上的实际状态</w:t>
            </w:r>
          </w:p>
        </w:tc>
        <w:tc>
          <w:tcPr>
            <w:tcW w:w="2891" w:type="dxa"/>
            <w:shd w:val="clear" w:color="auto" w:fill="F7FAFC"/>
            <w:vAlign w:val="center"/>
          </w:tcPr>
          <w:p w14:paraId="15DD5B46">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观察记录、视频回看、儿童拍照、绘画表征、家长访谈</w:t>
            </w:r>
          </w:p>
        </w:tc>
        <w:tc>
          <w:tcPr>
            <w:tcW w:w="2211" w:type="dxa"/>
            <w:shd w:val="clear" w:color="auto" w:fill="F7FAFC"/>
            <w:vAlign w:val="center"/>
          </w:tcPr>
          <w:p w14:paraId="098D8525">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捕捉关键事件，不急于下结论</w:t>
            </w:r>
          </w:p>
        </w:tc>
      </w:tr>
      <w:tr w14:paraId="7C3E85C3">
        <w:tblPrEx>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CellMar>
            <w:top w:w="0" w:type="dxa"/>
            <w:left w:w="108" w:type="dxa"/>
            <w:bottom w:w="0" w:type="dxa"/>
            <w:right w:w="108" w:type="dxa"/>
          </w:tblCellMar>
        </w:tblPrEx>
        <w:trPr>
          <w:jc w:val="center"/>
        </w:trPr>
        <w:tc>
          <w:tcPr>
            <w:tcW w:w="1222" w:type="dxa"/>
            <w:vAlign w:val="center"/>
          </w:tcPr>
          <w:p w14:paraId="2C277A1E">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比对目标</w:t>
            </w:r>
          </w:p>
        </w:tc>
        <w:tc>
          <w:tcPr>
            <w:tcW w:w="2520" w:type="dxa"/>
            <w:vAlign w:val="center"/>
          </w:tcPr>
          <w:p w14:paraId="07340EB7">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把实然状态与应然目标进行对照</w:t>
            </w:r>
          </w:p>
        </w:tc>
        <w:tc>
          <w:tcPr>
            <w:tcW w:w="2891" w:type="dxa"/>
            <w:vAlign w:val="center"/>
          </w:tcPr>
          <w:p w14:paraId="55B39E8D">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评价指标、个案档案、同伴讨论</w:t>
            </w:r>
          </w:p>
        </w:tc>
        <w:tc>
          <w:tcPr>
            <w:tcW w:w="2211" w:type="dxa"/>
            <w:vAlign w:val="center"/>
          </w:tcPr>
          <w:p w14:paraId="79A9D333">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判断属于扬长、补短或动态调整需求</w:t>
            </w:r>
          </w:p>
        </w:tc>
      </w:tr>
      <w:tr w14:paraId="3ECC18F6">
        <w:tblPrEx>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CellMar>
            <w:top w:w="0" w:type="dxa"/>
            <w:left w:w="108" w:type="dxa"/>
            <w:bottom w:w="0" w:type="dxa"/>
            <w:right w:w="108" w:type="dxa"/>
          </w:tblCellMar>
        </w:tblPrEx>
        <w:trPr>
          <w:jc w:val="center"/>
        </w:trPr>
        <w:tc>
          <w:tcPr>
            <w:tcW w:w="1222" w:type="dxa"/>
            <w:shd w:val="clear" w:color="auto" w:fill="F7FAFC"/>
            <w:vAlign w:val="center"/>
          </w:tcPr>
          <w:p w14:paraId="0C8E1B19">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实施支持</w:t>
            </w:r>
          </w:p>
        </w:tc>
        <w:tc>
          <w:tcPr>
            <w:tcW w:w="2520" w:type="dxa"/>
            <w:shd w:val="clear" w:color="auto" w:fill="F7FAFC"/>
            <w:vAlign w:val="center"/>
          </w:tcPr>
          <w:p w14:paraId="67525F9E">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围绕环境、材料、规则、语言和关系进行精准回应</w:t>
            </w:r>
          </w:p>
        </w:tc>
        <w:tc>
          <w:tcPr>
            <w:tcW w:w="2891" w:type="dxa"/>
            <w:shd w:val="clear" w:color="auto" w:fill="F7FAFC"/>
            <w:vAlign w:val="center"/>
          </w:tcPr>
          <w:p w14:paraId="4BCD4783">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分层任务、弹性规则、同伴互助、家园协同</w:t>
            </w:r>
          </w:p>
        </w:tc>
        <w:tc>
          <w:tcPr>
            <w:tcW w:w="2211" w:type="dxa"/>
            <w:shd w:val="clear" w:color="auto" w:fill="F7FAFC"/>
            <w:vAlign w:val="center"/>
          </w:tcPr>
          <w:p w14:paraId="01D79082">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把儿童意见转化为课程调整动作</w:t>
            </w:r>
          </w:p>
        </w:tc>
      </w:tr>
      <w:tr w14:paraId="4F603D58">
        <w:tblPrEx>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CellMar>
            <w:top w:w="0" w:type="dxa"/>
            <w:left w:w="108" w:type="dxa"/>
            <w:bottom w:w="0" w:type="dxa"/>
            <w:right w:w="108" w:type="dxa"/>
          </w:tblCellMar>
        </w:tblPrEx>
        <w:trPr>
          <w:jc w:val="center"/>
        </w:trPr>
        <w:tc>
          <w:tcPr>
            <w:tcW w:w="1222" w:type="dxa"/>
            <w:vAlign w:val="center"/>
          </w:tcPr>
          <w:p w14:paraId="74243375">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多元评价</w:t>
            </w:r>
          </w:p>
        </w:tc>
        <w:tc>
          <w:tcPr>
            <w:tcW w:w="2520" w:type="dxa"/>
            <w:vAlign w:val="center"/>
          </w:tcPr>
          <w:p w14:paraId="3AD3D589">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验证支持是否产生真实效果</w:t>
            </w:r>
          </w:p>
        </w:tc>
        <w:tc>
          <w:tcPr>
            <w:tcW w:w="2891" w:type="dxa"/>
            <w:vAlign w:val="center"/>
          </w:tcPr>
          <w:p w14:paraId="520FD2E1">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教师观察、幼儿自评、同伴互评、家长反馈</w:t>
            </w:r>
          </w:p>
        </w:tc>
        <w:tc>
          <w:tcPr>
            <w:tcW w:w="2211" w:type="dxa"/>
            <w:vAlign w:val="center"/>
          </w:tcPr>
          <w:p w14:paraId="63537B4C">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比较支持前后差异，形成证据</w:t>
            </w:r>
          </w:p>
        </w:tc>
      </w:tr>
      <w:tr w14:paraId="314C98D2">
        <w:tblPrEx>
          <w:tblBorders>
            <w:top w:val="single" w:color="B8C6D1" w:sz="6" w:space="0"/>
            <w:left w:val="single" w:color="B8C6D1" w:sz="6" w:space="0"/>
            <w:bottom w:val="single" w:color="B8C6D1" w:sz="6" w:space="0"/>
            <w:right w:val="single" w:color="B8C6D1" w:sz="6" w:space="0"/>
            <w:insideH w:val="single" w:color="B8C6D1" w:sz="6" w:space="0"/>
            <w:insideV w:val="single" w:color="B8C6D1" w:sz="6" w:space="0"/>
          </w:tblBorders>
          <w:tblCellMar>
            <w:top w:w="0" w:type="dxa"/>
            <w:left w:w="108" w:type="dxa"/>
            <w:bottom w:w="0" w:type="dxa"/>
            <w:right w:w="108" w:type="dxa"/>
          </w:tblCellMar>
        </w:tblPrEx>
        <w:trPr>
          <w:jc w:val="center"/>
        </w:trPr>
        <w:tc>
          <w:tcPr>
            <w:tcW w:w="1222" w:type="dxa"/>
            <w:shd w:val="clear" w:color="auto" w:fill="F7FAFC"/>
            <w:vAlign w:val="center"/>
          </w:tcPr>
          <w:p w14:paraId="106C6A2D">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持续调整</w:t>
            </w:r>
          </w:p>
        </w:tc>
        <w:tc>
          <w:tcPr>
            <w:tcW w:w="2520" w:type="dxa"/>
            <w:shd w:val="clear" w:color="auto" w:fill="F7FAFC"/>
            <w:vAlign w:val="center"/>
          </w:tcPr>
          <w:p w14:paraId="29DCD9B3">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依据新需求进行再设计</w:t>
            </w:r>
          </w:p>
        </w:tc>
        <w:tc>
          <w:tcPr>
            <w:tcW w:w="2891" w:type="dxa"/>
            <w:shd w:val="clear" w:color="auto" w:fill="F7FAFC"/>
            <w:vAlign w:val="center"/>
          </w:tcPr>
          <w:p w14:paraId="5CECD144">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教研反思、案例复盘、成长档案</w:t>
            </w:r>
          </w:p>
        </w:tc>
        <w:tc>
          <w:tcPr>
            <w:tcW w:w="2211" w:type="dxa"/>
            <w:shd w:val="clear" w:color="auto" w:fill="F7FAFC"/>
            <w:vAlign w:val="center"/>
          </w:tcPr>
          <w:p w14:paraId="3CD6370C">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both"/>
              <w:textAlignment w:val="auto"/>
              <w:rPr>
                <w:rFonts w:hint="eastAsia" w:ascii="Songti SC Regular" w:hAnsi="Songti SC Regular" w:eastAsia="Songti SC Regular" w:cs="Songti SC Regular"/>
                <w:color w:val="auto"/>
                <w:sz w:val="22"/>
                <w:szCs w:val="22"/>
              </w:rPr>
            </w:pPr>
            <w:r>
              <w:rPr>
                <w:rFonts w:hint="eastAsia" w:ascii="Songti SC Regular" w:hAnsi="Songti SC Regular" w:eastAsia="Songti SC Regular" w:cs="Songti SC Regular"/>
                <w:b w:val="0"/>
                <w:color w:val="auto"/>
                <w:sz w:val="22"/>
                <w:szCs w:val="22"/>
              </w:rPr>
              <w:t>保证支持的连续性与动态性</w:t>
            </w:r>
          </w:p>
        </w:tc>
      </w:tr>
    </w:tbl>
    <w:p w14:paraId="705F6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楷体" w:hAnsi="楷体" w:eastAsia="楷体" w:cs="楷体"/>
        </w:rPr>
      </w:pPr>
    </w:p>
    <w:p w14:paraId="195E7C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这形成了一个闭环来解决差异化支持中两难的问题：其一，避免教师在看见差异之后马上下结论，将“识别”和“比对”拆开进行，让教师理解当下再判断走向；其二，避免教师的支持行为停留在</w:t>
      </w:r>
      <w:r>
        <w:rPr>
          <w:rFonts w:hint="eastAsia" w:ascii="Songti SC Regular" w:hAnsi="Songti SC Regular" w:eastAsia="Songti SC Regular" w:cs="Songti SC Regular"/>
          <w:lang w:val="en-US" w:eastAsia="zh-CN"/>
        </w:rPr>
        <w:t>即</w:t>
      </w:r>
      <w:r>
        <w:rPr>
          <w:rFonts w:hint="eastAsia" w:ascii="Songti SC Regular" w:hAnsi="Songti SC Regular" w:eastAsia="Songti SC Regular" w:cs="Songti SC Regular"/>
        </w:rPr>
        <w:t>时提醒上，用评价和调整保证策略的连贯性。可以说，马赛克方法让差异化支持有了更为可靠的</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rPr>
        <w:t>眼睛</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rPr>
        <w:t>，闭环机制让课程改善有了更为明晰的路径。</w:t>
      </w:r>
    </w:p>
    <w:p w14:paraId="1CD0B599">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p>
    <w:p w14:paraId="7DAB99D9">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eastAsia="zh-CN"/>
        </w:rPr>
        <w:t>（</w:t>
      </w:r>
      <w:r>
        <w:rPr>
          <w:rFonts w:hint="eastAsia" w:ascii="Songti SC Bold" w:hAnsi="Songti SC Bold" w:eastAsia="Songti SC Bold" w:cs="Songti SC Bold"/>
          <w:b/>
          <w:bCs/>
          <w:lang w:val="en-US" w:eastAsia="zh-CN"/>
        </w:rPr>
        <w:t>二</w:t>
      </w:r>
      <w:r>
        <w:rPr>
          <w:rFonts w:hint="eastAsia" w:ascii="Songti SC Bold" w:hAnsi="Songti SC Bold" w:eastAsia="Songti SC Bold" w:cs="Songti SC Bold"/>
          <w:b/>
          <w:bCs/>
          <w:lang w:eastAsia="zh-CN"/>
        </w:rPr>
        <w:t>）</w:t>
      </w:r>
      <w:r>
        <w:rPr>
          <w:rFonts w:hint="eastAsia" w:ascii="Songti SC Bold" w:hAnsi="Songti SC Bold" w:eastAsia="Songti SC Bold" w:cs="Songti SC Bold"/>
          <w:b/>
          <w:bCs/>
        </w:rPr>
        <w:t>个体差异视角下的精准支持策略</w:t>
      </w:r>
    </w:p>
    <w:p w14:paraId="6250D4F3">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1.</w:t>
      </w:r>
      <w:r>
        <w:rPr>
          <w:rFonts w:hint="eastAsia" w:ascii="Songti SC Bold" w:hAnsi="Songti SC Bold" w:eastAsia="Songti SC Bold" w:cs="Songti SC Bold"/>
          <w:b/>
          <w:bCs/>
        </w:rPr>
        <w:t>指向运动认知的个体支持：在理解与表达中提升参与质量</w:t>
      </w:r>
    </w:p>
    <w:p w14:paraId="279E80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运动认知差异首先体现在幼儿对规则、动作名称、路线安排和器材用途的理解程度上。</w:t>
      </w:r>
    </w:p>
    <w:p w14:paraId="09D4EC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rPr>
        <w:t>对具备一定运动能力的</w:t>
      </w:r>
      <w:r>
        <w:rPr>
          <w:rFonts w:hint="eastAsia" w:ascii="Songti SC Regular" w:hAnsi="Songti SC Regular" w:eastAsia="Songti SC Regular" w:cs="Songti SC Regular"/>
          <w:lang w:eastAsia="zh-CN"/>
        </w:rPr>
        <w:t>幼儿</w:t>
      </w:r>
      <w:r>
        <w:rPr>
          <w:rFonts w:hint="eastAsia" w:ascii="Songti SC Regular" w:hAnsi="Songti SC Regular" w:eastAsia="Songti SC Regular" w:cs="Songti SC Regular"/>
        </w:rPr>
        <w:t>来说，单调乏味的重复练习会消耗</w:t>
      </w:r>
      <w:r>
        <w:rPr>
          <w:rFonts w:hint="eastAsia" w:ascii="Songti SC Regular" w:hAnsi="Songti SC Regular" w:eastAsia="Songti SC Regular" w:cs="Songti SC Regular"/>
          <w:lang w:eastAsia="zh-CN"/>
        </w:rPr>
        <w:t>幼儿</w:t>
      </w:r>
      <w:r>
        <w:rPr>
          <w:rFonts w:hint="eastAsia" w:ascii="Songti SC Regular" w:hAnsi="Songti SC Regular" w:eastAsia="Songti SC Regular" w:cs="Songti SC Regular"/>
        </w:rPr>
        <w:t>的积极性，这时就需要创设一些难度较大的活动或者综合性的游戏来激发</w:t>
      </w:r>
      <w:r>
        <w:rPr>
          <w:rFonts w:hint="eastAsia" w:ascii="Songti SC Regular" w:hAnsi="Songti SC Regular" w:eastAsia="Songti SC Regular" w:cs="Songti SC Regular"/>
          <w:lang w:eastAsia="zh-CN"/>
        </w:rPr>
        <w:t>幼儿</w:t>
      </w:r>
      <w:r>
        <w:rPr>
          <w:rFonts w:hint="eastAsia" w:ascii="Songti SC Regular" w:hAnsi="Songti SC Regular" w:eastAsia="Songti SC Regular" w:cs="Songti SC Regular"/>
        </w:rPr>
        <w:t>进一步探索的兴趣。如让</w:t>
      </w:r>
      <w:r>
        <w:rPr>
          <w:rFonts w:hint="eastAsia" w:ascii="Songti SC Regular" w:hAnsi="Songti SC Regular" w:eastAsia="Songti SC Regular" w:cs="Songti SC Regular"/>
          <w:lang w:eastAsia="zh-CN"/>
        </w:rPr>
        <w:t>幼儿</w:t>
      </w:r>
      <w:r>
        <w:rPr>
          <w:rFonts w:hint="eastAsia" w:ascii="Songti SC Regular" w:hAnsi="Songti SC Regular" w:eastAsia="Songti SC Regular" w:cs="Songti SC Regular"/>
        </w:rPr>
        <w:t>自己设计并寻找多种不同的路，观察哪条路最快最安全，并考虑是否需要同伴的帮助等问题；让</w:t>
      </w:r>
      <w:r>
        <w:rPr>
          <w:rFonts w:hint="eastAsia" w:ascii="Songti SC Regular" w:hAnsi="Songti SC Regular" w:eastAsia="Songti SC Regular" w:cs="Songti SC Regular"/>
          <w:lang w:eastAsia="zh-CN"/>
        </w:rPr>
        <w:t>幼儿</w:t>
      </w:r>
      <w:r>
        <w:rPr>
          <w:rFonts w:hint="eastAsia" w:ascii="Songti SC Regular" w:hAnsi="Songti SC Regular" w:eastAsia="Songti SC Regular" w:cs="Songti SC Regular"/>
        </w:rPr>
        <w:t>观察讨论怎样才能让球飞得更远，为什么箱子放在那边容易倒等等简单的</w:t>
      </w:r>
      <w:r>
        <w:rPr>
          <w:rFonts w:hint="eastAsia" w:ascii="Songti SC Regular" w:hAnsi="Songti SC Regular" w:eastAsia="Songti SC Regular" w:cs="Songti SC Regular"/>
          <w:lang w:val="en-US" w:eastAsia="zh-CN"/>
        </w:rPr>
        <w:t>原理</w:t>
      </w:r>
      <w:r>
        <w:rPr>
          <w:rFonts w:hint="eastAsia" w:ascii="Songti SC Regular" w:hAnsi="Songti SC Regular" w:eastAsia="Songti SC Regular" w:cs="Songti SC Regular"/>
        </w:rPr>
        <w:t>。还可以授予其“规则讲解员”“小教练”等身份，在帮助他人的过程中</w:t>
      </w:r>
      <w:r>
        <w:rPr>
          <w:rFonts w:hint="eastAsia" w:ascii="Songti SC Regular" w:hAnsi="Songti SC Regular" w:eastAsia="Songti SC Regular" w:cs="Songti SC Regular"/>
          <w:lang w:val="en-US" w:eastAsia="zh-CN"/>
        </w:rPr>
        <w:t>巩固经验</w:t>
      </w:r>
      <w:r>
        <w:rPr>
          <w:rFonts w:hint="eastAsia" w:ascii="Songti SC Regular" w:hAnsi="Songti SC Regular" w:eastAsia="Songti SC Regular" w:cs="Songti SC Regular"/>
        </w:rPr>
        <w:t>、</w:t>
      </w:r>
      <w:r>
        <w:rPr>
          <w:rFonts w:hint="eastAsia" w:ascii="Songti SC Regular" w:hAnsi="Songti SC Regular" w:eastAsia="Songti SC Regular" w:cs="Songti SC Regular"/>
          <w:lang w:val="en-US" w:eastAsia="zh-CN"/>
        </w:rPr>
        <w:t>提升表达能力。</w:t>
      </w:r>
    </w:p>
    <w:p w14:paraId="694005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而针对运动认知较薄弱的幼儿，则</w:t>
      </w:r>
      <w:r>
        <w:rPr>
          <w:rFonts w:hint="eastAsia" w:ascii="Songti SC Regular" w:hAnsi="Songti SC Regular" w:eastAsia="Songti SC Regular" w:cs="Songti SC Regular"/>
          <w:lang w:val="en-US" w:eastAsia="zh-CN"/>
        </w:rPr>
        <w:t>应</w:t>
      </w:r>
      <w:r>
        <w:rPr>
          <w:rFonts w:hint="eastAsia" w:ascii="Songti SC Regular" w:hAnsi="Songti SC Regular" w:eastAsia="Songti SC Regular" w:cs="Songti SC Regular"/>
        </w:rPr>
        <w:t>将侧重点放在</w:t>
      </w:r>
      <w:r>
        <w:rPr>
          <w:rFonts w:hint="eastAsia" w:ascii="Songti SC Regular" w:hAnsi="Songti SC Regular" w:eastAsia="Songti SC Regular" w:cs="Songti SC Regular"/>
          <w:lang w:val="en-US" w:eastAsia="zh-CN"/>
        </w:rPr>
        <w:t>趣味化导入</w:t>
      </w:r>
      <w:r>
        <w:rPr>
          <w:rFonts w:hint="eastAsia" w:ascii="Songti SC Regular" w:hAnsi="Songti SC Regular" w:eastAsia="Songti SC Regular" w:cs="Songti SC Regular"/>
        </w:rPr>
        <w:t>及多感官理解上，如教师可以将抽象规则转化为一个个的情境任务，“小动物运动会”“送水果回家”“轮流过桥”，让幼儿在直观、具体、可体验中了解规则以及动作要求；对具体认知短板采取一对一示范、情景模拟、重复提醒等方式。借助于看、听、摸、做相结合的方法来建立幼儿稳定的认知表征。值得注意的是，认知的支持不能停留于“告诉幼儿怎么做”的层面，而是要通过“你为什么这样想”“有没有其他办法”等问题引导幼儿逐渐说出自己的想法。</w:t>
      </w:r>
    </w:p>
    <w:p w14:paraId="2F02E53A">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2.</w:t>
      </w:r>
      <w:r>
        <w:rPr>
          <w:rFonts w:hint="eastAsia" w:ascii="Songti SC Bold" w:hAnsi="Songti SC Bold" w:eastAsia="Songti SC Bold" w:cs="Songti SC Bold"/>
          <w:b/>
          <w:bCs/>
        </w:rPr>
        <w:t>指向运动品德的个体支持：从规则遵守走向价值内化</w:t>
      </w:r>
    </w:p>
    <w:p w14:paraId="3427B4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区域运动中的品德差异，往往体现在幼儿是否愿意遵守规则、能否接纳输赢、是否懂得分享合作、面对挫折是否能够坚持等方面。</w:t>
      </w:r>
    </w:p>
    <w:p w14:paraId="444287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对良好道德品质行为进行强化：除了肯定与鼓励外，还可以通过讲述榜样故事的方式给予榜样幼儿一定的荣誉称号及任务，如照片</w:t>
      </w:r>
      <w:r>
        <w:rPr>
          <w:rFonts w:hint="eastAsia" w:ascii="Songti SC Regular" w:hAnsi="Songti SC Regular" w:eastAsia="Songti SC Regular" w:cs="Songti SC Regular"/>
          <w:lang w:val="en-US" w:eastAsia="zh-CN"/>
        </w:rPr>
        <w:t>展示</w:t>
      </w:r>
      <w:r>
        <w:rPr>
          <w:rFonts w:hint="eastAsia" w:ascii="Songti SC Regular" w:hAnsi="Songti SC Regular" w:eastAsia="Songti SC Regular" w:cs="Songti SC Regular"/>
        </w:rPr>
        <w:t>；授予榜样幼儿一些称号，如小班长、文明小卫士、调解小能手等，并给其相应的责任担当，让幼儿在关心他人、解决矛盾中巩固原有的良好习惯。</w:t>
      </w:r>
    </w:p>
    <w:p w14:paraId="43BCCE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w:t>
      </w:r>
      <w:r>
        <w:rPr>
          <w:rFonts w:hint="eastAsia" w:ascii="Songti SC Regular" w:hAnsi="Songti SC Regular" w:eastAsia="Songti SC Regular" w:cs="Songti SC Regular"/>
          <w:lang w:val="en-US" w:eastAsia="zh-CN"/>
        </w:rPr>
        <w:t>出现行为状况</w:t>
      </w:r>
      <w:r>
        <w:rPr>
          <w:rFonts w:hint="eastAsia" w:ascii="Songti SC Regular" w:hAnsi="Songti SC Regular" w:eastAsia="Songti SC Regular" w:cs="Songti SC Regular"/>
        </w:rPr>
        <w:t>的</w:t>
      </w:r>
      <w:r>
        <w:rPr>
          <w:rFonts w:hint="eastAsia" w:ascii="Songti SC Regular" w:hAnsi="Songti SC Regular" w:eastAsia="Songti SC Regular" w:cs="Songti SC Regular"/>
          <w:lang w:eastAsia="zh-CN"/>
        </w:rPr>
        <w:t>幼儿</w:t>
      </w:r>
      <w:r>
        <w:rPr>
          <w:rFonts w:hint="eastAsia" w:ascii="Songti SC Regular" w:hAnsi="Songti SC Regular" w:eastAsia="Songti SC Regular" w:cs="Songti SC Regular"/>
        </w:rPr>
        <w:t>，教师首先要给予信任感和安全感。很多不</w:t>
      </w:r>
      <w:r>
        <w:rPr>
          <w:rFonts w:hint="eastAsia" w:ascii="Songti SC Regular" w:hAnsi="Songti SC Regular" w:eastAsia="Songti SC Regular" w:cs="Songti SC Regular"/>
          <w:lang w:val="en-US" w:eastAsia="zh-CN"/>
        </w:rPr>
        <w:t>合适</w:t>
      </w:r>
      <w:r>
        <w:rPr>
          <w:rFonts w:hint="eastAsia" w:ascii="Songti SC Regular" w:hAnsi="Songti SC Regular" w:eastAsia="Songti SC Regular" w:cs="Songti SC Regular"/>
        </w:rPr>
        <w:t>的品行不是“故意捣乱”，可能是不自信、不懂得表达、着急想要器材、害怕做不好。教师可以通过委婉提示、主动邀请、适时肯定、场景讨论等方式，在</w:t>
      </w:r>
      <w:r>
        <w:rPr>
          <w:rFonts w:hint="eastAsia" w:ascii="Songti SC Regular" w:hAnsi="Songti SC Regular" w:eastAsia="Songti SC Regular" w:cs="Songti SC Regular"/>
          <w:lang w:eastAsia="zh-CN"/>
        </w:rPr>
        <w:t>幼儿</w:t>
      </w:r>
      <w:r>
        <w:rPr>
          <w:rFonts w:hint="eastAsia" w:ascii="Songti SC Regular" w:hAnsi="Songti SC Regular" w:eastAsia="Songti SC Regular" w:cs="Songti SC Regular"/>
        </w:rPr>
        <w:t>感受到被接纳的前提下学会等待、分享、合作、坚持。比如，幼儿总是会争抢器材，这个时候可以先不去给幼儿打上“自私”的标签，而是创设“器材不够怎么办”的讨论情境，在商议的过程中学会等待、轮换以及共用。</w:t>
      </w:r>
    </w:p>
    <w:p w14:paraId="0E9B32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必要时，还需与家长共同制定品德培育目标，使家庭和幼儿园的支持方向保持一致。</w:t>
      </w:r>
    </w:p>
    <w:p w14:paraId="7B7730A8">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3.</w:t>
      </w:r>
      <w:r>
        <w:rPr>
          <w:rFonts w:hint="eastAsia" w:ascii="Songti SC Bold" w:hAnsi="Songti SC Bold" w:eastAsia="Songti SC Bold" w:cs="Songti SC Bold"/>
          <w:b/>
          <w:bCs/>
        </w:rPr>
        <w:t>指向运动技能的个体支持：在分层挑战中实现“最近发展”</w:t>
      </w:r>
    </w:p>
    <w:p w14:paraId="6411D5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运动技能差异是区域运动中最容易被看见的一类差异，但也最容易被粗暴分类。</w:t>
      </w:r>
    </w:p>
    <w:p w14:paraId="31CCE6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于能力较强的幼儿来说，则可以通过提升难度等级、增加器械组合数量、变换运动顺序以及提升规则难度等方式，促使他们向更高的发展层次迈进。比如在跨越、平衡、攀爬及投掷等环节中，可以设置不同难度的障碍，引导幼儿尝试助跑跨越、连续跨越、左右手交替、设计路线等多种技巧，并支持其尝试创新玩法。</w:t>
      </w:r>
    </w:p>
    <w:p w14:paraId="5ECB1D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技能水平较弱的幼儿，支持重点在于“降低难度但不降低价值”。教师可采用分解动作、增设辅助器材、缩短距离、降低高度、放慢节奏和提供示范等方式，帮助幼儿在可实现的任务中获得成功体验。比如，对于平衡能力较弱的幼儿，可先从宽而低的路线开始，再逐步过渡到窄而高的平衡材料；对投掷力量不足的幼儿，可先使用更轻的材料，再逐渐提高挑战。真正有效的支持，不是让幼儿停留在简单任务中，而是在其每一次成功后及时提升一点难度，使其在连续的小步进阶中建立信心。</w:t>
      </w:r>
    </w:p>
    <w:p w14:paraId="6FCB0045">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4.</w:t>
      </w:r>
      <w:r>
        <w:rPr>
          <w:rFonts w:hint="eastAsia" w:ascii="Songti SC Bold" w:hAnsi="Songti SC Bold" w:eastAsia="Songti SC Bold" w:cs="Songti SC Bold"/>
          <w:b/>
          <w:bCs/>
        </w:rPr>
        <w:t>指向运动行为与情绪的个体支持：把行为问题还原为支持议题</w:t>
      </w:r>
    </w:p>
    <w:p w14:paraId="16A8D8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在区域</w:t>
      </w:r>
      <w:r>
        <w:rPr>
          <w:rFonts w:hint="eastAsia" w:ascii="Songti SC Regular" w:hAnsi="Songti SC Regular" w:eastAsia="Songti SC Regular" w:cs="Songti SC Regular"/>
          <w:lang w:val="en-US" w:eastAsia="zh-CN"/>
        </w:rPr>
        <w:t>运动</w:t>
      </w:r>
      <w:r>
        <w:rPr>
          <w:rFonts w:hint="eastAsia" w:ascii="Songti SC Regular" w:hAnsi="Songti SC Regular" w:eastAsia="Songti SC Regular" w:cs="Songti SC Regular"/>
        </w:rPr>
        <w:t>中，有些幼儿会出现追跑拥挤、无视规则、动作不规范、拒绝参与游戏活动、情绪容易激动等问题，在这些问题的背后，教师很容易将其视为一种不</w:t>
      </w:r>
      <w:r>
        <w:rPr>
          <w:rFonts w:hint="eastAsia" w:ascii="Songti SC Regular" w:hAnsi="Songti SC Regular" w:eastAsia="Songti SC Regular" w:cs="Songti SC Regular"/>
          <w:lang w:val="en-US" w:eastAsia="zh-CN"/>
        </w:rPr>
        <w:t>合适</w:t>
      </w:r>
      <w:r>
        <w:rPr>
          <w:rFonts w:hint="eastAsia" w:ascii="Songti SC Regular" w:hAnsi="Songti SC Regular" w:eastAsia="Songti SC Regular" w:cs="Songti SC Regular"/>
        </w:rPr>
        <w:t>的行为而加以矫正，但从差异发展的眼光来看，它应该是值得被解读和回应的问题。教师应该将行为与情绪置于具体的情境之中：幼儿是因为不明白规则才出现违反规则的行为，还是因为太激动了才失去控制？是因为受挫就躲开，还是因为没有成功经验而逃避？是因关系冲突而发泄，还是因为不会说所以用身体代替说话？</w:t>
      </w:r>
    </w:p>
    <w:p w14:paraId="44E10B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因此，教师要将行为矫正转变为支持设计。对追逐打闹、</w:t>
      </w:r>
      <w:r>
        <w:rPr>
          <w:rFonts w:hint="eastAsia" w:ascii="Songti SC Regular" w:hAnsi="Songti SC Regular" w:eastAsia="Songti SC Regular" w:cs="Songti SC Regular"/>
          <w:lang w:val="en-US" w:eastAsia="zh-CN"/>
        </w:rPr>
        <w:t>合作矛盾</w:t>
      </w:r>
      <w:r>
        <w:rPr>
          <w:rFonts w:hint="eastAsia" w:ascii="Songti SC Regular" w:hAnsi="Songti SC Regular" w:eastAsia="Songti SC Regular" w:cs="Songti SC Regular"/>
        </w:rPr>
        <w:t>等问题可采取单独谈话、情境模仿、一起看录像、示范等方式加以引导；对于情绪激动的</w:t>
      </w:r>
      <w:r>
        <w:rPr>
          <w:rFonts w:hint="eastAsia" w:ascii="Songti SC Regular" w:hAnsi="Songti SC Regular" w:eastAsia="Songti SC Regular" w:cs="Songti SC Regular"/>
          <w:lang w:eastAsia="zh-CN"/>
        </w:rPr>
        <w:t>幼儿</w:t>
      </w:r>
      <w:r>
        <w:rPr>
          <w:rFonts w:hint="eastAsia" w:ascii="Songti SC Regular" w:hAnsi="Songti SC Regular" w:eastAsia="Songti SC Regular" w:cs="Songti SC Regular"/>
        </w:rPr>
        <w:t>，要</w:t>
      </w:r>
      <w:r>
        <w:rPr>
          <w:rFonts w:hint="eastAsia" w:ascii="Songti SC Regular" w:hAnsi="Songti SC Regular" w:eastAsia="Songti SC Regular" w:cs="Songti SC Regular"/>
          <w:lang w:val="en-US" w:eastAsia="zh-CN"/>
        </w:rPr>
        <w:t>引导</w:t>
      </w:r>
      <w:r>
        <w:rPr>
          <w:rFonts w:hint="eastAsia" w:ascii="Songti SC Regular" w:hAnsi="Songti SC Regular" w:eastAsia="Songti SC Regular" w:cs="Songti SC Regular"/>
        </w:rPr>
        <w:t>他们简单的控制情绪的方法，例如深呼吸、暂停、求助、离开争执区域等等；对参与度较低的幼儿，则应着重考虑降低任务难度、增加成功机会以及增强情境吸引力，激发其逐渐产生参与的兴趣；行为支持的重点在于，教师不能只关注于阻止不</w:t>
      </w:r>
      <w:r>
        <w:rPr>
          <w:rFonts w:hint="eastAsia" w:ascii="Songti SC Regular" w:hAnsi="Songti SC Regular" w:eastAsia="Songti SC Regular" w:cs="Songti SC Regular"/>
          <w:lang w:val="en-US" w:eastAsia="zh-CN"/>
        </w:rPr>
        <w:t>合适</w:t>
      </w:r>
      <w:r>
        <w:rPr>
          <w:rFonts w:hint="eastAsia" w:ascii="Songti SC Regular" w:hAnsi="Songti SC Regular" w:eastAsia="Songti SC Regular" w:cs="Songti SC Regular"/>
        </w:rPr>
        <w:t>的行为，更重要的是让幼儿能够找到其他的表达方式和行动方式来替代。</w:t>
      </w:r>
    </w:p>
    <w:p w14:paraId="783A612C">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5.</w:t>
      </w:r>
      <w:r>
        <w:rPr>
          <w:rFonts w:hint="eastAsia" w:ascii="Songti SC Bold" w:hAnsi="Songti SC Bold" w:eastAsia="Songti SC Bold" w:cs="Songti SC Bold"/>
          <w:b/>
          <w:bCs/>
        </w:rPr>
        <w:t>家园协同：延伸支持时间与空间的必要条件</w:t>
      </w:r>
    </w:p>
    <w:p w14:paraId="2630BA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因为个体差异是长期形成的，并非仅在幼儿园产生和发展起来的，在园的支持很难达到最理想的效果。研究表明，对长时间胆怯、很少主动参加体育活动、不遵守游戏规则、动作姿势明显不合规范、情绪调控能力差的</w:t>
      </w:r>
      <w:r>
        <w:rPr>
          <w:rFonts w:hint="eastAsia" w:ascii="Songti SC Regular" w:hAnsi="Songti SC Regular" w:eastAsia="Songti SC Regular" w:cs="Songti SC Regular"/>
          <w:lang w:eastAsia="zh-CN"/>
        </w:rPr>
        <w:t>幼儿</w:t>
      </w:r>
      <w:r>
        <w:rPr>
          <w:rFonts w:hint="eastAsia" w:ascii="Songti SC Regular" w:hAnsi="Songti SC Regular" w:eastAsia="Songti SC Regular" w:cs="Songti SC Regular"/>
        </w:rPr>
        <w:t>来说，家庭和幼儿园的合作显得尤为重要。教师可通过访谈、家访、家长开放日以及照片、影像资料等形式，让家长了解</w:t>
      </w:r>
      <w:r>
        <w:rPr>
          <w:rFonts w:hint="eastAsia" w:ascii="Songti SC Regular" w:hAnsi="Songti SC Regular" w:eastAsia="Songti SC Regular" w:cs="Songti SC Regular"/>
          <w:lang w:eastAsia="zh-CN"/>
        </w:rPr>
        <w:t>幼儿</w:t>
      </w:r>
      <w:r>
        <w:rPr>
          <w:rFonts w:hint="eastAsia" w:ascii="Songti SC Regular" w:hAnsi="Songti SC Regular" w:eastAsia="Songti SC Regular" w:cs="Songti SC Regular"/>
        </w:rPr>
        <w:t>真实情况，在幼儿园的表现不能片面以是否“听话”“不闹”为标准；让老师也能从家长那里了解到更多关于家庭中的运动氛围、亲子互动的方式以及家中</w:t>
      </w:r>
      <w:r>
        <w:rPr>
          <w:rFonts w:hint="eastAsia" w:ascii="Songti SC Regular" w:hAnsi="Songti SC Regular" w:eastAsia="Songti SC Regular" w:cs="Songti SC Regular"/>
          <w:lang w:eastAsia="zh-CN"/>
        </w:rPr>
        <w:t>幼儿</w:t>
      </w:r>
      <w:r>
        <w:rPr>
          <w:rFonts w:hint="eastAsia" w:ascii="Songti SC Regular" w:hAnsi="Songti SC Regular" w:eastAsia="Songti SC Regular" w:cs="Songti SC Regular"/>
        </w:rPr>
        <w:t>的表现。</w:t>
      </w:r>
    </w:p>
    <w:p w14:paraId="503850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同时，家园双方可以针对具体的目标达成较为一致的支持策略，如对于运动兴趣较高但是体能相对较弱的儿童，可以在幼儿园进行一些基本的力量及平衡训练，在家中增加爬楼梯、跳绳、散步以及抛接球等活动；对于情绪调节能力较弱的儿童，老师与家长均采用比较一致的语言提示以及调节的方法等等。对于缺乏规则感的</w:t>
      </w:r>
      <w:r>
        <w:rPr>
          <w:rFonts w:hint="eastAsia" w:ascii="Songti SC Regular" w:hAnsi="Songti SC Regular" w:eastAsia="Songti SC Regular" w:cs="Songti SC Regular"/>
          <w:lang w:eastAsia="zh-CN"/>
        </w:rPr>
        <w:t>幼儿</w:t>
      </w:r>
      <w:r>
        <w:rPr>
          <w:rFonts w:hint="eastAsia" w:ascii="Songti SC Regular" w:hAnsi="Songti SC Regular" w:eastAsia="Songti SC Regular" w:cs="Songti SC Regular"/>
        </w:rPr>
        <w:t>则在家园游戏中潜移默化地传递等待、轮流以及信守承诺的概念。家园共育并不是将教育的责任转移给</w:t>
      </w:r>
      <w:r>
        <w:rPr>
          <w:rFonts w:hint="eastAsia" w:ascii="Songti SC Regular" w:hAnsi="Songti SC Regular" w:eastAsia="Songti SC Regular" w:cs="Songti SC Regular"/>
          <w:lang w:eastAsia="zh-CN"/>
        </w:rPr>
        <w:t>幼儿</w:t>
      </w:r>
      <w:r>
        <w:rPr>
          <w:rFonts w:hint="eastAsia" w:ascii="Songti SC Regular" w:hAnsi="Songti SC Regular" w:eastAsia="Songti SC Regular" w:cs="Songti SC Regular"/>
        </w:rPr>
        <w:t>父母，而是实现互相了解并形成共识，从而扩大了实施个性化教育的时间空间。</w:t>
      </w:r>
    </w:p>
    <w:p w14:paraId="6D3860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p>
    <w:p w14:paraId="567A67A6">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lang w:eastAsia="zh-CN"/>
        </w:rPr>
      </w:pPr>
      <w:r>
        <w:rPr>
          <w:rFonts w:hint="eastAsia" w:ascii="Songti SC Bold" w:hAnsi="Songti SC Bold" w:eastAsia="Songti SC Bold" w:cs="Songti SC Bold"/>
          <w:b/>
          <w:bCs/>
          <w:lang w:eastAsia="zh-CN"/>
        </w:rPr>
        <w:t>（</w:t>
      </w:r>
      <w:r>
        <w:rPr>
          <w:rFonts w:hint="eastAsia" w:ascii="Songti SC Bold" w:hAnsi="Songti SC Bold" w:eastAsia="Songti SC Bold" w:cs="Songti SC Bold"/>
          <w:b/>
          <w:bCs/>
          <w:lang w:val="en-US" w:eastAsia="zh-CN"/>
        </w:rPr>
        <w:t>三</w:t>
      </w:r>
      <w:r>
        <w:rPr>
          <w:rFonts w:hint="eastAsia" w:ascii="Songti SC Bold" w:hAnsi="Songti SC Bold" w:eastAsia="Songti SC Bold" w:cs="Songti SC Bold"/>
          <w:b/>
          <w:bCs/>
          <w:lang w:eastAsia="zh-CN"/>
        </w:rPr>
        <w:t>）</w:t>
      </w:r>
      <w:r>
        <w:rPr>
          <w:rFonts w:hint="eastAsia" w:ascii="Songti SC Bold" w:hAnsi="Songti SC Bold" w:eastAsia="Songti SC Bold" w:cs="Songti SC Bold"/>
          <w:b/>
          <w:bCs/>
        </w:rPr>
        <w:t>群体差异视角下的年龄适配支持</w:t>
      </w:r>
      <w:r>
        <w:rPr>
          <w:rFonts w:hint="eastAsia" w:ascii="Songti SC Bold" w:hAnsi="Songti SC Bold" w:eastAsia="Songti SC Bold" w:cs="Songti SC Bold"/>
          <w:b/>
          <w:bCs/>
          <w:lang w:val="en-US" w:eastAsia="zh-CN"/>
        </w:rPr>
        <w:t>策略</w:t>
      </w:r>
    </w:p>
    <w:p w14:paraId="6514FD62">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1.</w:t>
      </w:r>
      <w:r>
        <w:rPr>
          <w:rFonts w:hint="eastAsia" w:ascii="Songti SC Bold" w:hAnsi="Songti SC Bold" w:eastAsia="Songti SC Bold" w:cs="Songti SC Bold"/>
          <w:b/>
          <w:bCs/>
        </w:rPr>
        <w:t>小班：以安全感、兴趣激发和基础动作启蒙为核心</w:t>
      </w:r>
    </w:p>
    <w:p w14:paraId="5A16AD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小班幼儿处于身心发展的初始阶段，身体协调性较弱，注意保持时间短，情绪依赖性强，对熟悉场景和具象化体验具有天然亲近感。在区域运动中，小班幼儿更需要生活化的情境、安全可感的环境和清晰简短的规则。因而，差异化支持的重点不是追求动作难度，而是帮助幼儿愿意进入、敢于尝试、乐于重复，在安全和愉快中完成基础动作启蒙。</w:t>
      </w:r>
    </w:p>
    <w:p w14:paraId="292F5D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具体来说，在情境创设方面，</w:t>
      </w:r>
      <w:r>
        <w:rPr>
          <w:rFonts w:hint="eastAsia" w:ascii="Songti SC Regular" w:hAnsi="Songti SC Regular" w:eastAsia="Songti SC Regular" w:cs="Songti SC Regular"/>
          <w:lang w:val="en-US" w:eastAsia="zh-CN"/>
        </w:rPr>
        <w:t>教师可以通过</w:t>
      </w:r>
      <w:r>
        <w:rPr>
          <w:rFonts w:hint="eastAsia" w:ascii="Songti SC Regular" w:hAnsi="Songti SC Regular" w:eastAsia="Songti SC Regular" w:cs="Songti SC Regular"/>
        </w:rPr>
        <w:t>“小动物散步”“整理玩具乐园”“厨房小帮手”等生活化的场景让走、跑、跳、搬、推等动作成为有意义的事情；在场地设置方面，用毛绒玩具、颜色标志、海绵垫、防撞条等创造熟悉的、安全的空间；在规则提醒方面，用短促口令、动作展示、随机提醒，</w:t>
      </w:r>
      <w:r>
        <w:rPr>
          <w:rFonts w:hint="eastAsia" w:ascii="Songti SC Regular" w:hAnsi="Songti SC Regular" w:eastAsia="Songti SC Regular" w:cs="Songti SC Regular"/>
          <w:lang w:val="en-US" w:eastAsia="zh-CN"/>
        </w:rPr>
        <w:t>避免过于</w:t>
      </w:r>
      <w:r>
        <w:rPr>
          <w:rFonts w:hint="eastAsia" w:ascii="Songti SC Regular" w:hAnsi="Songti SC Regular" w:eastAsia="Songti SC Regular" w:cs="Songti SC Regular"/>
        </w:rPr>
        <w:t>抽象的大道理讲述。此外，小班支持还需注意及时的情绪响应，面对幼儿因怕、生、挫败等因素造成的回避行为，教师应及时给予陪伴、模仿及低水平替代练习，在安全氛围里慢慢培养运动动机。</w:t>
      </w:r>
    </w:p>
    <w:p w14:paraId="462F76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Bold" w:hAnsi="Songti SC Bold" w:eastAsia="Songti SC Bold" w:cs="Songti SC Bold"/>
          <w:b/>
          <w:bCs/>
        </w:rPr>
      </w:pPr>
      <w:r>
        <w:rPr>
          <w:rFonts w:hint="eastAsia" w:ascii="Songti SC Regular" w:hAnsi="Songti SC Regular" w:eastAsia="Songti SC Regular" w:cs="Songti SC Regular"/>
          <w:lang w:val="en-US" w:eastAsia="zh-CN"/>
        </w:rPr>
        <w:t>2.</w:t>
      </w:r>
      <w:r>
        <w:rPr>
          <w:rFonts w:hint="eastAsia" w:ascii="Songti SC Bold" w:hAnsi="Songti SC Bold" w:eastAsia="Songti SC Bold" w:cs="Songti SC Bold"/>
          <w:b/>
          <w:bCs/>
        </w:rPr>
        <w:t>中班：以经验表达、技能深化和弹性规则为重点</w:t>
      </w:r>
    </w:p>
    <w:p w14:paraId="26D454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中班幼儿的语言表达能力和逻辑思维及规则意识明显增强，已能围绕活动经验进行初步分析和解释，也更愿意参与同伴互动，所以中班差异</w:t>
      </w:r>
      <w:r>
        <w:rPr>
          <w:rFonts w:hint="eastAsia" w:ascii="Songti SC Regular" w:hAnsi="Songti SC Regular" w:eastAsia="Songti SC Regular" w:cs="Songti SC Regular"/>
          <w:lang w:val="en-US" w:eastAsia="zh-CN"/>
        </w:rPr>
        <w:t>化</w:t>
      </w:r>
      <w:r>
        <w:rPr>
          <w:rFonts w:hint="eastAsia" w:ascii="Songti SC Regular" w:hAnsi="Songti SC Regular" w:eastAsia="Songti SC Regular" w:cs="Songti SC Regular"/>
        </w:rPr>
        <w:t>支持的关键</w:t>
      </w:r>
      <w:r>
        <w:rPr>
          <w:rFonts w:hint="eastAsia" w:ascii="Songti SC Regular" w:hAnsi="Songti SC Regular" w:eastAsia="Songti SC Regular" w:cs="Songti SC Regular"/>
          <w:lang w:val="en-US" w:eastAsia="zh-CN"/>
        </w:rPr>
        <w:t>就</w:t>
      </w:r>
      <w:r>
        <w:rPr>
          <w:rFonts w:hint="eastAsia" w:ascii="Songti SC Regular" w:hAnsi="Songti SC Regular" w:eastAsia="Songti SC Regular" w:cs="Songti SC Regular"/>
        </w:rPr>
        <w:t>在于引导幼儿将内在的运动经验外显为语言和动作行为，让不同层次的互动进一步促进幼儿的运动经验和思维的发展。在</w:t>
      </w:r>
      <w:r>
        <w:rPr>
          <w:rFonts w:hint="eastAsia" w:ascii="Songti SC Regular" w:hAnsi="Songti SC Regular" w:eastAsia="Songti SC Regular" w:cs="Songti SC Regular"/>
          <w:lang w:val="en-US" w:eastAsia="zh-CN"/>
        </w:rPr>
        <w:t>运动</w:t>
      </w:r>
      <w:r>
        <w:rPr>
          <w:rFonts w:hint="eastAsia" w:ascii="Songti SC Regular" w:hAnsi="Songti SC Regular" w:eastAsia="Songti SC Regular" w:cs="Songti SC Regular"/>
        </w:rPr>
        <w:t>过程中，教师可以针对“是什么、为什么、怎么办”进行逐层提问，让幼儿回忆自身的运动情况；对于能力弱的幼儿用“示范+分解动作”，能力强的幼儿用拓展性的任务，或者利用“运动小老师”这样的同伴带动的形式，帮助不同层次的幼儿提升。</w:t>
      </w:r>
    </w:p>
    <w:p w14:paraId="0E9644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中班幼儿已经能够在一定程度上理解规则，但其规则意识仍处于发展之中，因此教师应建立“弹性而非僵硬”的规则环境。规则的形成要尽可能让幼儿参与讨论、制定，以提高认同度；对无意违反规则的行为要以提醒、示范为主，对故意违反规则的幼儿则采取“中断游戏—告知缘由—</w:t>
      </w:r>
      <w:r>
        <w:rPr>
          <w:rFonts w:hint="eastAsia" w:ascii="Songti SC Regular" w:hAnsi="Songti SC Regular" w:eastAsia="Songti SC Regular" w:cs="Songti SC Regular"/>
          <w:lang w:val="en-US" w:eastAsia="zh-CN"/>
        </w:rPr>
        <w:t>重新</w:t>
      </w:r>
      <w:r>
        <w:rPr>
          <w:rFonts w:hint="eastAsia" w:ascii="Songti SC Regular" w:hAnsi="Songti SC Regular" w:eastAsia="Songti SC Regular" w:cs="Songti SC Regular"/>
        </w:rPr>
        <w:t>参与”的方法，让幼儿感受到规则的必要而非将规则等于惩罚，在弹性的规则下，中班幼儿可以在公平竞争、等待轮流、合作协商以及控制情绪上得到更深层面发展。</w:t>
      </w:r>
    </w:p>
    <w:p w14:paraId="74F60397">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3.</w:t>
      </w:r>
      <w:r>
        <w:rPr>
          <w:rFonts w:hint="eastAsia" w:ascii="Songti SC Bold" w:hAnsi="Songti SC Bold" w:eastAsia="Songti SC Bold" w:cs="Songti SC Bold"/>
          <w:b/>
          <w:bCs/>
        </w:rPr>
        <w:t>大班：以问题解决、经验迁移和创新合作为导向</w:t>
      </w:r>
    </w:p>
    <w:p w14:paraId="0DF4E4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大班幼儿的自主性、逻辑性和合作能力显著增强，可对活动进行有目的的计划、反思和再设计。</w:t>
      </w:r>
      <w:r>
        <w:rPr>
          <w:rFonts w:hint="eastAsia" w:ascii="Songti SC Regular" w:hAnsi="Songti SC Regular" w:eastAsia="Songti SC Regular" w:cs="Songti SC Regular"/>
          <w:lang w:val="en-US" w:eastAsia="zh-CN"/>
        </w:rPr>
        <w:t>因此，</w:t>
      </w:r>
      <w:r>
        <w:rPr>
          <w:rFonts w:hint="eastAsia" w:ascii="Songti SC Regular" w:hAnsi="Songti SC Regular" w:eastAsia="Songti SC Regular" w:cs="Songti SC Regular"/>
        </w:rPr>
        <w:t>大班差异化</w:t>
      </w:r>
      <w:r>
        <w:rPr>
          <w:rFonts w:hint="eastAsia" w:ascii="Songti SC Regular" w:hAnsi="Songti SC Regular" w:eastAsia="Songti SC Regular" w:cs="Songti SC Regular"/>
          <w:lang w:val="en-US" w:eastAsia="zh-CN"/>
        </w:rPr>
        <w:t>支持</w:t>
      </w:r>
      <w:r>
        <w:rPr>
          <w:rFonts w:hint="eastAsia" w:ascii="Songti SC Regular" w:hAnsi="Songti SC Regular" w:eastAsia="Songti SC Regular" w:cs="Songti SC Regular"/>
        </w:rPr>
        <w:t>的重点，应该由基本动作训练向问题情境设置、复杂技能挑战以及创新合作支持转移。教师可以通过提出“怎样让我们的雪橇车安全地动起来？”“骑行区怎样不撞人？”“怎么设计一个更有挑战性的通关路线?”等真实问题，让幼儿在讨论、试错、调整中实现经验迁移与策略生成。</w:t>
      </w:r>
    </w:p>
    <w:p w14:paraId="7FAF95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同时</w:t>
      </w:r>
      <w:r>
        <w:rPr>
          <w:rFonts w:hint="eastAsia" w:ascii="Songti SC Regular" w:hAnsi="Songti SC Regular" w:eastAsia="Songti SC Regular" w:cs="Songti SC Regular"/>
        </w:rPr>
        <w:t>，</w:t>
      </w:r>
      <w:r>
        <w:rPr>
          <w:rFonts w:hint="eastAsia" w:ascii="Songti SC Regular" w:hAnsi="Songti SC Regular" w:eastAsia="Songti SC Regular" w:cs="Songti SC Regular"/>
          <w:lang w:val="en-US" w:eastAsia="zh-CN"/>
        </w:rPr>
        <w:t>大</w:t>
      </w:r>
      <w:r>
        <w:rPr>
          <w:rFonts w:hint="eastAsia" w:ascii="Songti SC Regular" w:hAnsi="Songti SC Regular" w:eastAsia="Songti SC Regular" w:cs="Songti SC Regular"/>
        </w:rPr>
        <w:t>班幼儿具备较强的合作与表达能力，教师还应该为他们提供更多的团队协商、角色分工、方案陈述机会，如通过儿童会议讨论危险点和改造方案，通过地图制作呈现路线优化，通过小海报明确分工，通过复盘交流总结有效经验；对大班而言，差异化支持的深层价值，不仅仅是为了获得更好的动作技能的发展效果，而是为了在以问题、项目为载体的</w:t>
      </w:r>
      <w:r>
        <w:rPr>
          <w:rFonts w:hint="eastAsia" w:ascii="Songti SC Regular" w:hAnsi="Songti SC Regular" w:eastAsia="Songti SC Regular" w:cs="Songti SC Regular"/>
          <w:lang w:val="en-US" w:eastAsia="zh-CN"/>
        </w:rPr>
        <w:t>活动</w:t>
      </w:r>
      <w:r>
        <w:rPr>
          <w:rFonts w:hint="eastAsia" w:ascii="Songti SC Regular" w:hAnsi="Songti SC Regular" w:eastAsia="Songti SC Regular" w:cs="Songti SC Regular"/>
        </w:rPr>
        <w:t>中，培养幼儿的合作意识、责任感、创新力和反思能力。</w:t>
      </w:r>
    </w:p>
    <w:p w14:paraId="57235BFE">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lang w:val="en-US" w:eastAsia="zh-CN"/>
        </w:rPr>
        <w:t>4.</w:t>
      </w:r>
      <w:r>
        <w:rPr>
          <w:rFonts w:hint="eastAsia" w:ascii="Songti SC Bold" w:hAnsi="Songti SC Bold" w:eastAsia="Songti SC Bold" w:cs="Songti SC Bold"/>
          <w:b/>
          <w:bCs/>
        </w:rPr>
        <w:t>班本适宜与同质小组：在整体推进中兼顾群体内部差异</w:t>
      </w:r>
    </w:p>
    <w:p w14:paraId="45720F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群组间的差异不仅存在于小、中、大班之间，还存在于同一个班内，因此，年龄适配不是简单地按年龄一刀切，在班本层面上则需要更为细致的调适。教师要把对本班幼儿整体的兴趣、动作基础、合作习惯以及风险点认识转化成区域运动设置的依据</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lang w:val="en-US" w:eastAsia="zh-CN"/>
        </w:rPr>
        <w:t>包括</w:t>
      </w:r>
      <w:r>
        <w:rPr>
          <w:rFonts w:hint="eastAsia" w:ascii="Songti SC Regular" w:hAnsi="Songti SC Regular" w:eastAsia="Songti SC Regular" w:cs="Songti SC Regular"/>
        </w:rPr>
        <w:t>材料投放、路线安排、任务层次、支持方式。对动作基础比较</w:t>
      </w:r>
      <w:r>
        <w:rPr>
          <w:rFonts w:hint="eastAsia" w:ascii="Songti SC Regular" w:hAnsi="Songti SC Regular" w:eastAsia="Songti SC Regular" w:cs="Songti SC Regular"/>
          <w:lang w:val="en-US" w:eastAsia="zh-CN"/>
        </w:rPr>
        <w:t>薄弱</w:t>
      </w:r>
      <w:r>
        <w:rPr>
          <w:rFonts w:hint="eastAsia" w:ascii="Songti SC Regular" w:hAnsi="Songti SC Regular" w:eastAsia="Songti SC Regular" w:cs="Songti SC Regular"/>
        </w:rPr>
        <w:t>的</w:t>
      </w:r>
      <w:r>
        <w:rPr>
          <w:rFonts w:hint="eastAsia" w:ascii="Songti SC Regular" w:hAnsi="Songti SC Regular" w:eastAsia="Songti SC Regular" w:cs="Songti SC Regular"/>
          <w:lang w:val="en-US" w:eastAsia="zh-CN"/>
        </w:rPr>
        <w:t>班级</w:t>
      </w:r>
      <w:r>
        <w:rPr>
          <w:rFonts w:hint="eastAsia" w:ascii="Songti SC Regular" w:hAnsi="Songti SC Regular" w:eastAsia="Songti SC Regular" w:cs="Songti SC Regular"/>
        </w:rPr>
        <w:t>可以多一些低起点、高频率的成功体验；对于求知欲望强、愿意相互配合的班级可以加大难度和自由商议的比例。</w:t>
      </w:r>
    </w:p>
    <w:p w14:paraId="48296C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同时，在班级中也可以根据幼儿的兴趣、能力或者关系状况给予同质化的支持，但是应该是一种临时性、功能性的小群体而不是给幼儿贴上固定的标签。如对于喜欢合作的</w:t>
      </w:r>
      <w:r>
        <w:rPr>
          <w:rFonts w:hint="eastAsia" w:ascii="Songti SC Regular" w:hAnsi="Songti SC Regular" w:eastAsia="Songti SC Regular" w:cs="Songti SC Regular"/>
          <w:lang w:eastAsia="zh-CN"/>
        </w:rPr>
        <w:t>幼儿</w:t>
      </w:r>
      <w:r>
        <w:rPr>
          <w:rFonts w:hint="eastAsia" w:ascii="Songti SC Regular" w:hAnsi="Songti SC Regular" w:eastAsia="Songti SC Regular" w:cs="Songti SC Regular"/>
        </w:rPr>
        <w:t>可以布置一些需要他们相互配合完成的任务；对于能力强的</w:t>
      </w:r>
      <w:r>
        <w:rPr>
          <w:rFonts w:hint="eastAsia" w:ascii="Songti SC Regular" w:hAnsi="Songti SC Regular" w:eastAsia="Songti SC Regular" w:cs="Songti SC Regular"/>
          <w:lang w:eastAsia="zh-CN"/>
        </w:rPr>
        <w:t>幼儿</w:t>
      </w:r>
      <w:r>
        <w:rPr>
          <w:rFonts w:hint="eastAsia" w:ascii="Songti SC Regular" w:hAnsi="Songti SC Regular" w:eastAsia="Songti SC Regular" w:cs="Songti SC Regular"/>
        </w:rPr>
        <w:t>则可以增加难度，让其承担更多的责任等等。动态分组并不是将幼儿隔离开来，而是为了让支持更加精准，资源更为匹配，推动更加有效，在实践中有意识地将班本适宜</w:t>
      </w:r>
      <w:r>
        <w:rPr>
          <w:rFonts w:hint="eastAsia" w:ascii="Songti SC Regular" w:hAnsi="Songti SC Regular" w:eastAsia="Songti SC Regular" w:cs="Songti SC Regular"/>
          <w:lang w:val="en-US" w:eastAsia="zh-CN"/>
        </w:rPr>
        <w:t>与</w:t>
      </w:r>
      <w:r>
        <w:rPr>
          <w:rFonts w:hint="eastAsia" w:ascii="Songti SC Regular" w:hAnsi="Songti SC Regular" w:eastAsia="Songti SC Regular" w:cs="Songti SC Regular"/>
        </w:rPr>
        <w:t>同质小组</w:t>
      </w:r>
      <w:r>
        <w:rPr>
          <w:rFonts w:hint="eastAsia" w:ascii="Songti SC Regular" w:hAnsi="Songti SC Regular" w:eastAsia="Songti SC Regular" w:cs="Songti SC Regular"/>
          <w:lang w:val="en-US" w:eastAsia="zh-CN"/>
        </w:rPr>
        <w:t>相结合，</w:t>
      </w:r>
      <w:r>
        <w:rPr>
          <w:rFonts w:hint="eastAsia" w:ascii="Songti SC Regular" w:hAnsi="Songti SC Regular" w:eastAsia="Songti SC Regular" w:cs="Songti SC Regular"/>
        </w:rPr>
        <w:t>实现“既看见整体，又看见个体”的群体支持逻辑。</w:t>
      </w:r>
    </w:p>
    <w:p w14:paraId="776506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eastAsia" w:ascii="Songti SC Regular" w:hAnsi="Songti SC Regular" w:eastAsia="Songti SC Regular" w:cs="Songti SC Regular"/>
        </w:rPr>
      </w:pPr>
    </w:p>
    <w:p w14:paraId="768B2304">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eastAsia="zh-CN"/>
        </w:rPr>
        <w:t>（</w:t>
      </w:r>
      <w:r>
        <w:rPr>
          <w:rFonts w:hint="eastAsia" w:ascii="Songti SC Bold" w:hAnsi="Songti SC Bold" w:eastAsia="Songti SC Bold" w:cs="Songti SC Bold"/>
          <w:b/>
          <w:bCs/>
          <w:lang w:val="en-US" w:eastAsia="zh-CN"/>
        </w:rPr>
        <w:t>四</w:t>
      </w:r>
      <w:r>
        <w:rPr>
          <w:rFonts w:hint="eastAsia" w:ascii="Songti SC Bold" w:hAnsi="Songti SC Bold" w:eastAsia="Songti SC Bold" w:cs="Songti SC Bold"/>
          <w:b/>
          <w:bCs/>
          <w:lang w:eastAsia="zh-CN"/>
        </w:rPr>
        <w:t>）</w:t>
      </w:r>
      <w:r>
        <w:rPr>
          <w:rFonts w:hint="eastAsia" w:ascii="Songti SC Bold" w:hAnsi="Songti SC Bold" w:eastAsia="Songti SC Bold" w:cs="Songti SC Bold"/>
          <w:b/>
          <w:bCs/>
          <w:lang w:val="en-US" w:eastAsia="zh-CN"/>
        </w:rPr>
        <w:t>区域运动过程中的差异化支持</w:t>
      </w:r>
      <w:r>
        <w:rPr>
          <w:rFonts w:hint="eastAsia" w:ascii="Songti SC Bold" w:hAnsi="Songti SC Bold" w:eastAsia="Songti SC Bold" w:cs="Songti SC Bold"/>
          <w:b/>
          <w:bCs/>
        </w:rPr>
        <w:t>要点</w:t>
      </w:r>
    </w:p>
    <w:p w14:paraId="0ED591FA">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1.</w:t>
      </w:r>
      <w:r>
        <w:rPr>
          <w:rFonts w:hint="eastAsia" w:ascii="Songti SC Bold" w:hAnsi="Songti SC Bold" w:eastAsia="Songti SC Bold" w:cs="Songti SC Bold"/>
          <w:b/>
          <w:bCs/>
        </w:rPr>
        <w:t>活动前：基于证据的差异识别与支持预设</w:t>
      </w:r>
    </w:p>
    <w:p w14:paraId="776EE4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在区域运动正式开始前，教师需要完成的并不是单纯的器材摆放，而是基于前期证据进行有目的的课程预设。首先，要梳理本班幼儿近期在运动兴趣、动作发展、合作关系和情绪表现上的显著变化，避免把前一阶段的判断机械延续到当前活动中。其次，要把已有的儿童拍照、绘画、小海报、会议记录、家长反馈和观察笔记重新整合，判断哪些信息具有持续性，哪些信息属于阶段性或情境性反应。其次，根据评价指标及班情将活动</w:t>
      </w:r>
      <w:r>
        <w:rPr>
          <w:rFonts w:hint="eastAsia" w:ascii="Songti SC Regular" w:hAnsi="Songti SC Regular" w:eastAsia="Songti SC Regular" w:cs="Songti SC Regular"/>
          <w:lang w:val="en-US" w:eastAsia="zh-CN"/>
        </w:rPr>
        <w:t>预期</w:t>
      </w:r>
      <w:r>
        <w:rPr>
          <w:rFonts w:hint="eastAsia" w:ascii="Songti SC Regular" w:hAnsi="Songti SC Regular" w:eastAsia="Songti SC Regular" w:cs="Songti SC Regular"/>
        </w:rPr>
        <w:t>分解成基础层、发展层、挑战层，保证同一个活动中不同的幼儿都能找到适合自己的起点；最后在环境与材料上预留弹性支持，例如为胆怯幼儿设计相对安全的起点线，为能力强幼儿留下有挑战的延展点，对于有合作困难的幼儿提供更为明显的分工暗示。这样的活动前支持预设，并非是对幼儿的一种预先限制，而是为了让教师在活动展开时拥有更充分的回应准备</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lang w:val="en-US" w:eastAsia="zh-CN"/>
        </w:rPr>
        <w:t>从而</w:t>
      </w:r>
      <w:r>
        <w:rPr>
          <w:rFonts w:hint="eastAsia" w:ascii="Songti SC Regular" w:hAnsi="Songti SC Regular" w:eastAsia="Songti SC Regular" w:cs="Songti SC Regular"/>
        </w:rPr>
        <w:t>形成清晰的问题意识：我这一轮最想看见什么变化？我准备重点追踪哪些幼儿？如果现场出现新的需求，我有哪些可立即调用的支持方式？当教师带着问题进入现场时，差异化支持才真正具备了课程研究的性质。</w:t>
      </w:r>
    </w:p>
    <w:p w14:paraId="6071F8C7">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2.</w:t>
      </w:r>
      <w:r>
        <w:rPr>
          <w:rFonts w:hint="eastAsia" w:ascii="Songti SC Bold" w:hAnsi="Songti SC Bold" w:eastAsia="Songti SC Bold" w:cs="Songti SC Bold"/>
          <w:b/>
          <w:bCs/>
        </w:rPr>
        <w:t>活动中：即时回应、弹性分层与低控制高支持</w:t>
      </w:r>
    </w:p>
    <w:p w14:paraId="0C1DE1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区域运动活动中的教师行动，最能体现差异化支持的专业质量。一方面，教师要避免“高控制”，不能因为担心秩序混乱就频繁打断幼儿探索；另一方面，也要避免“低介入到放任”，使幼儿在风险、挫败或误解中长期停留。真正高质量的活动中支持，体现为“低控制、高支持、强回应”，教师尊重幼儿的自主尝试，但在关键时刻能够通过靠近、追问、示范、搭建支架、调整环境和组织对话等方式及时介入。</w:t>
      </w:r>
    </w:p>
    <w:p w14:paraId="0C5C27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活动中支持可分为三种类型：</w:t>
      </w:r>
      <w:r>
        <w:rPr>
          <w:rFonts w:hint="eastAsia" w:ascii="Songti SC Regular" w:hAnsi="Songti SC Regular" w:eastAsia="Songti SC Regular" w:cs="Songti SC Regular"/>
          <w:lang w:val="en-US" w:eastAsia="zh-CN"/>
        </w:rPr>
        <w:t>第一类</w:t>
      </w:r>
      <w:r>
        <w:rPr>
          <w:rFonts w:hint="eastAsia" w:ascii="Songti SC Regular" w:hAnsi="Songti SC Regular" w:eastAsia="Songti SC Regular" w:cs="Songti SC Regular"/>
        </w:rPr>
        <w:t>是情境性的支持，就是对当下发生</w:t>
      </w:r>
      <w:r>
        <w:rPr>
          <w:rFonts w:hint="eastAsia" w:ascii="Songti SC Regular" w:hAnsi="Songti SC Regular" w:eastAsia="Songti SC Regular" w:cs="Songti SC Regular"/>
          <w:lang w:val="en-US" w:eastAsia="zh-CN"/>
        </w:rPr>
        <w:t>的</w:t>
      </w:r>
      <w:r>
        <w:rPr>
          <w:rFonts w:hint="eastAsia" w:ascii="Songti SC Regular" w:hAnsi="Songti SC Regular" w:eastAsia="Songti SC Regular" w:cs="Songti SC Regular"/>
        </w:rPr>
        <w:t>关键事件进行即时回应，例如，当某个幼儿在材料前反复尝试失败时，教师可以通过“你是不是想试试另一种方法”</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rPr>
        <w:t>“要不要先从低一点开始”等语言帮助其寻找替代路径。第二类是结构性支持，即通过改变场地、材料、路线和规则，使之更加适合幼儿的差异。如在平衡区设置不同宽度和高度的路径，在合作任务中增加角色卡和流程图，在骑行区增加减速标记和方向箭头。第三类是关系性支持，即通过师幼关系和同伴关系调节幼儿参与状态。教师可以邀请内向幼儿与熟悉同伴结对，鼓励能力较强幼儿担当示范者，也可以在冲突发生时引导幼儿用表达替代推搡，用商量替代争抢。活动中的支持不是随机应变的“好心帮助”，而是教师把儿童证据转化为现场行动的专业体现。</w:t>
      </w:r>
    </w:p>
    <w:p w14:paraId="12802F87">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3.</w:t>
      </w:r>
      <w:r>
        <w:rPr>
          <w:rFonts w:hint="eastAsia" w:ascii="Songti SC Bold" w:hAnsi="Songti SC Bold" w:eastAsia="Songti SC Bold" w:cs="Songti SC Bold"/>
          <w:b/>
          <w:bCs/>
        </w:rPr>
        <w:t>活动后：多元复盘与证据沉淀</w:t>
      </w:r>
    </w:p>
    <w:p w14:paraId="4DE98C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区域运动结束并不意味着支持过程终止，相反，活动后的复盘决定了差异化支持能否形成连续推进的闭环。复盘首先要处理的是材料整理问题。教师可将观察记录、儿童照片、绘画、小海报、会议发言和家长反馈按照活动主题或个案线索进行归类，并初步标注“兴趣点”、“困难点”“支持点”、“变化点”等关键词。这样做的目的，不是为了堆积材料，而是帮助教师在大量信息中快速抓住与课程改进相关的核心证据。</w:t>
      </w:r>
    </w:p>
    <w:p w14:paraId="190914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其次，复盘要重视共同</w:t>
      </w:r>
      <w:r>
        <w:rPr>
          <w:rFonts w:hint="eastAsia" w:ascii="Songti SC Regular" w:hAnsi="Songti SC Regular" w:eastAsia="Songti SC Regular" w:cs="Songti SC Regular"/>
          <w:lang w:eastAsia="zh-CN"/>
        </w:rPr>
        <w:t>识别</w:t>
      </w:r>
      <w:r>
        <w:rPr>
          <w:rFonts w:hint="eastAsia" w:ascii="Songti SC Regular" w:hAnsi="Songti SC Regular" w:eastAsia="Songti SC Regular" w:cs="Songti SC Regular"/>
        </w:rPr>
        <w:t>。单个教师的复盘很容易停留在“我觉得”，而在教研共同体中，案例和材料可以被不同教师从不同角度理解。有人更敏感于情绪线索，有人擅长看动作问题，有人善于从规则设计上发现症结，这种多元专业视角有助于防止误读。再次，复盘必须走向支持决策。教研讨论不能止于“这个案例很有意思”，而应明确下一步要做什么、为什么做、先做什么、怎样验证。也就是说，活动后复盘的落点不是描述过去，而是推动未来行动。只有当复盘真正进入“再设计”层面时，差异化支持才不至于成为一次性经验。</w:t>
      </w:r>
    </w:p>
    <w:p w14:paraId="43A9FB85">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eastAsia="zh-CN"/>
        </w:rPr>
        <w:t>（</w:t>
      </w:r>
      <w:r>
        <w:rPr>
          <w:rFonts w:hint="eastAsia" w:ascii="Songti SC Bold" w:hAnsi="Songti SC Bold" w:eastAsia="Songti SC Bold" w:cs="Songti SC Bold"/>
          <w:b/>
          <w:bCs/>
          <w:lang w:val="en-US" w:eastAsia="zh-CN"/>
        </w:rPr>
        <w:t>五</w:t>
      </w:r>
      <w:r>
        <w:rPr>
          <w:rFonts w:hint="eastAsia" w:ascii="Songti SC Bold" w:hAnsi="Songti SC Bold" w:eastAsia="Songti SC Bold" w:cs="Songti SC Bold"/>
          <w:b/>
          <w:bCs/>
          <w:lang w:eastAsia="zh-CN"/>
        </w:rPr>
        <w:t>）</w:t>
      </w:r>
      <w:r>
        <w:rPr>
          <w:rFonts w:hint="eastAsia" w:ascii="Songti SC Bold" w:hAnsi="Songti SC Bold" w:eastAsia="Songti SC Bold" w:cs="Songti SC Bold"/>
          <w:b/>
          <w:bCs/>
        </w:rPr>
        <w:t>典型案例分析：从儿童视角到支持转化的实践证明</w:t>
      </w:r>
    </w:p>
    <w:p w14:paraId="149FB844">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1.</w:t>
      </w:r>
      <w:r>
        <w:rPr>
          <w:rFonts w:hint="eastAsia" w:ascii="Songti SC Bold" w:hAnsi="Songti SC Bold" w:eastAsia="Songti SC Bold" w:cs="Songti SC Bold"/>
          <w:b/>
          <w:bCs/>
        </w:rPr>
        <w:t>从动作偏离到悬垂需求识别</w:t>
      </w:r>
    </w:p>
    <w:p w14:paraId="72A7ED46">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案例1：</w:t>
      </w:r>
      <w:r>
        <w:rPr>
          <w:rFonts w:hint="eastAsia" w:ascii="Songti SC Bold" w:hAnsi="Songti SC Bold" w:eastAsia="Songti SC Bold" w:cs="Songti SC Bold"/>
          <w:b/>
          <w:bCs/>
        </w:rPr>
        <w:t>“黄架子”事件：</w:t>
      </w:r>
    </w:p>
    <w:p w14:paraId="223F366D">
      <w:pPr>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仿宋" w:hAnsi="仿宋" w:eastAsia="仿宋" w:cs="仿宋"/>
        </w:rPr>
      </w:pPr>
      <w:r>
        <w:rPr>
          <w:rFonts w:hint="eastAsia" w:ascii="仿宋" w:hAnsi="仿宋" w:eastAsia="仿宋" w:cs="仿宋"/>
        </w:rPr>
        <w:t>在垫子路、黄架子等各种器械组合的活动中，常引发出“钻、爬、走”的基础动作练习。活动进行中，大多数幼儿按常规路线从黄色架子下钻过，但小柒却在架子前停下脚步，后退半步，仰头注视横杆，双手高举，踮脚尝试悬挂，几秒钟后因手滑掉落，又再次尝试。如果仅凭表面现象判断，教师很容易把这一行为看作“偏离任务”或“影响秩序”。但教师没有急于纠正，而是将这一“停顿”视为需要进一步</w:t>
      </w:r>
      <w:r>
        <w:rPr>
          <w:rFonts w:hint="eastAsia" w:ascii="仿宋" w:hAnsi="仿宋" w:eastAsia="仿宋" w:cs="仿宋"/>
          <w:lang w:eastAsia="zh-CN"/>
        </w:rPr>
        <w:t>识别</w:t>
      </w:r>
      <w:r>
        <w:rPr>
          <w:rFonts w:hint="eastAsia" w:ascii="仿宋" w:hAnsi="仿宋" w:eastAsia="仿宋" w:cs="仿宋"/>
        </w:rPr>
        <w:t>的重要信号。</w:t>
      </w:r>
    </w:p>
    <w:p w14:paraId="2DFD21AB">
      <w:pPr>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仿宋" w:hAnsi="仿宋" w:eastAsia="仿宋" w:cs="仿宋"/>
        </w:rPr>
      </w:pPr>
      <w:r>
        <w:rPr>
          <w:rFonts w:hint="eastAsia" w:ascii="仿宋" w:hAnsi="仿宋" w:eastAsia="仿宋" w:cs="仿宋"/>
        </w:rPr>
        <w:t>活动后，教师播放相关视频，并运用儿童访谈与儿童会议了解幼儿真实想法。小柒边看视频边比划着说：“够不到……想抓高高，像小猴子一样……手滑，掉下来。”在随后的儿童会议上，有幼儿表示“像蜘蛛侠一样挂在上面，很厉害”，也有幼儿坦言“太高了，有点害怕掉下来”。由此，教师意识到，幼儿关注的并不只是钻爬路线本身，而是“悬垂挑战”“英雄体验”和“安全感知”三类不同需求。基于这一判断，教师没有机械坚持常规玩法，而是灵活增设厚垫、矮凳和更适合的抓握点，将“钻爬”拓展为兼顾“悬垂尝试”的支持活动。</w:t>
      </w:r>
    </w:p>
    <w:p w14:paraId="38A5EF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这个案例表明，差异化支持的关键往往发生在教师是否愿意停下来重新</w:t>
      </w:r>
      <w:r>
        <w:rPr>
          <w:rFonts w:hint="eastAsia" w:ascii="Songti SC Regular" w:hAnsi="Songti SC Regular" w:eastAsia="Songti SC Regular" w:cs="Songti SC Regular"/>
          <w:lang w:eastAsia="zh-CN"/>
        </w:rPr>
        <w:t>识别</w:t>
      </w:r>
      <w:r>
        <w:rPr>
          <w:rFonts w:hint="eastAsia" w:ascii="Songti SC Regular" w:hAnsi="Songti SC Regular" w:eastAsia="Songti SC Regular" w:cs="Songti SC Regular"/>
        </w:rPr>
        <w:t>儿童行为。看似偏离的行为，可能恰恰暴露出新的发展需求。马赛克方法通过视频回看、儿童访谈和同伴讨论，使教师得以跳出成人预设，看到行为背后的动机，从而完成一次从“纠偏”到“支持”的教育转向。</w:t>
      </w:r>
    </w:p>
    <w:p w14:paraId="5138A214">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2.</w:t>
      </w:r>
      <w:r>
        <w:rPr>
          <w:rFonts w:hint="eastAsia" w:ascii="Songti SC Bold" w:hAnsi="Songti SC Bold" w:eastAsia="Songti SC Bold" w:cs="Songti SC Bold"/>
          <w:b/>
          <w:bCs/>
        </w:rPr>
        <w:t>从成人盲区到儿童风险识别</w:t>
      </w:r>
    </w:p>
    <w:p w14:paraId="523987CB">
      <w:pPr>
        <w:keepNext w:val="0"/>
        <w:keepLines w:val="0"/>
        <w:pageBreakBefore w:val="0"/>
        <w:widowControl/>
        <w:kinsoku/>
        <w:wordWrap/>
        <w:overflowPunct/>
        <w:topLinePunct w:val="0"/>
        <w:autoSpaceDE/>
        <w:autoSpaceDN/>
        <w:bidi w:val="0"/>
        <w:adjustRightInd/>
        <w:snapToGrid/>
        <w:spacing w:line="24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案例2：</w:t>
      </w:r>
      <w:r>
        <w:rPr>
          <w:rFonts w:hint="eastAsia" w:ascii="Songti SC Bold" w:hAnsi="Songti SC Bold" w:eastAsia="Songti SC Bold" w:cs="Songti SC Bold"/>
          <w:b/>
          <w:bCs/>
        </w:rPr>
        <w:t>骑行区拍照与地图制作：</w:t>
      </w:r>
    </w:p>
    <w:p w14:paraId="3BE35163">
      <w:pPr>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Songti SC Regular" w:hAnsi="Songti SC Regular" w:eastAsia="Songti SC Regular" w:cs="Songti SC Regular"/>
        </w:rPr>
      </w:pPr>
      <w:r>
        <w:rPr>
          <w:rFonts w:hint="eastAsia" w:ascii="仿宋" w:hAnsi="仿宋" w:eastAsia="仿宋" w:cs="仿宋"/>
        </w:rPr>
        <w:t>在户外骑行区，教师长期注意到碰撞事件频发，但很难精确判断危险点究竟在哪里。成人站立视角看到的是整体空间秩序，而儿童骑行时所遭遇的视线死角、转弯风险和路线拥堵却未必容易被成人直接感知。为此，教师把相机交给大班幼儿，请他们寻找“危险点”。幼儿拍下的照片并非场地全貌，而是集中对准拐角、门口、交叉路口等具体部位。有的照片记录了两辆小车险些相撞的瞬间，有的照片从低视角拍到小班幼儿从门口突然跑出的画面。</w:t>
      </w:r>
    </w:p>
    <w:p w14:paraId="38D969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活动中，幼儿指向照片描述，“这里是死角，骑快了根本看不见里面有一个人”，并在原图的基础上，在白纸上再次绘出骑行区域地图，用红笔标出一个叉号的位置，提出了“放置标志牌”“单行道”“限速提示”等改造策略。于是，教师看到了幼儿眼中的危险角落，也把抽象的“注意安全”的表达具体化为环境与规则的改善策略。这个例子告诉我们，儿童不是等待被保护的对象，他们也可能是环境问题的发现者和解决者，关键要看老师有没有给他们表达的机会。</w:t>
      </w:r>
    </w:p>
    <w:p w14:paraId="33F31D23">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3.</w:t>
      </w:r>
      <w:r>
        <w:rPr>
          <w:rFonts w:hint="eastAsia" w:ascii="Songti SC Bold" w:hAnsi="Songti SC Bold" w:eastAsia="Songti SC Bold" w:cs="Songti SC Bold"/>
          <w:b/>
          <w:bCs/>
        </w:rPr>
        <w:t>从合作混乱到团队契约形成</w:t>
      </w:r>
    </w:p>
    <w:p w14:paraId="51FF9CA1">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lang w:val="en-US" w:eastAsia="zh-CN"/>
        </w:rPr>
      </w:pPr>
      <w:r>
        <w:rPr>
          <w:rFonts w:hint="eastAsia" w:ascii="Songti SC Regular" w:hAnsi="Songti SC Regular" w:eastAsia="Songti SC Regular" w:cs="Songti SC Regular"/>
          <w:b/>
          <w:bCs/>
          <w:lang w:val="en-US" w:eastAsia="zh-CN"/>
        </w:rPr>
        <w:t>案例3：</w:t>
      </w:r>
      <w:r>
        <w:rPr>
          <w:rFonts w:hint="eastAsia" w:ascii="Songti SC Bold" w:hAnsi="Songti SC Bold" w:eastAsia="Songti SC Bold" w:cs="Songti SC Bold"/>
          <w:b/>
          <w:bCs/>
        </w:rPr>
        <w:t>“雪橇车”小海报</w:t>
      </w:r>
    </w:p>
    <w:p w14:paraId="43CA50FD">
      <w:pPr>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仿宋" w:hAnsi="仿宋" w:eastAsia="仿宋" w:cs="仿宋"/>
        </w:rPr>
      </w:pPr>
      <w:r>
        <w:rPr>
          <w:rFonts w:hint="eastAsia" w:ascii="仿宋" w:hAnsi="仿宋" w:eastAsia="仿宋" w:cs="仿宋"/>
        </w:rPr>
        <w:t>在“雪橇车”的</w:t>
      </w:r>
      <w:r>
        <w:rPr>
          <w:rFonts w:hint="eastAsia" w:ascii="仿宋" w:hAnsi="仿宋" w:eastAsia="仿宋" w:cs="仿宋"/>
          <w:lang w:val="en-US" w:eastAsia="zh-CN"/>
        </w:rPr>
        <w:t>区域运动</w:t>
      </w:r>
      <w:r>
        <w:rPr>
          <w:rFonts w:hint="eastAsia" w:ascii="仿宋" w:hAnsi="仿宋" w:eastAsia="仿宋" w:cs="仿宋"/>
        </w:rPr>
        <w:t>中，</w:t>
      </w:r>
      <w:r>
        <w:rPr>
          <w:rFonts w:hint="eastAsia" w:ascii="仿宋" w:hAnsi="仿宋" w:eastAsia="仿宋" w:cs="仿宋"/>
          <w:lang w:val="en-US" w:eastAsia="zh-CN"/>
        </w:rPr>
        <w:t>随着活动不断推进</w:t>
      </w:r>
      <w:r>
        <w:rPr>
          <w:rFonts w:hint="eastAsia" w:ascii="仿宋" w:hAnsi="仿宋" w:eastAsia="仿宋" w:cs="仿宋"/>
        </w:rPr>
        <w:t>，多人拖拉、多人乘坐造成了明显的合作混乱：谁拉、谁护、谁能坐、谁去提醒安全等问题上幼儿各执己见、争执不下。如果简单依靠成人的命令强加给幼儿，可能一时解决了秩序问题，但是幼儿对于合作规则并没有真正的理解和认知，缺少参与感。对此教师引导幼儿以“小海报”的形式表达自己的观点。</w:t>
      </w:r>
    </w:p>
    <w:p w14:paraId="590196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表征图中</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rPr>
        <w:t>有幼儿画出长线以及前倾的小人，</w:t>
      </w:r>
      <w:r>
        <w:rPr>
          <w:rFonts w:hint="eastAsia" w:ascii="Songti SC Regular" w:hAnsi="Songti SC Regular" w:eastAsia="Songti SC Regular" w:cs="Songti SC Regular"/>
          <w:lang w:val="en-US" w:eastAsia="zh-CN"/>
        </w:rPr>
        <w:t>识别那是</w:t>
      </w:r>
      <w:r>
        <w:rPr>
          <w:rFonts w:hint="eastAsia" w:ascii="Songti SC Regular" w:hAnsi="Songti SC Regular" w:eastAsia="Songti SC Regular" w:cs="Songti SC Regular"/>
        </w:rPr>
        <w:t>“拉车队长”，在表示车厢的方框上有两个小人手拉着手，强调“这是护车的人，要提醒大家注意安全”。这一个个看似稚拙的符号却清楚地展现了幼儿关于分工、责任、合作的关系理解。然后</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rPr>
        <w:t>教师组织同伴交流，引导幼儿围绕海报内容进行进一步的讨论，逐渐达成更为一致的团队契约，在这个过程中，规则不再是老师强加给幼儿的一个限制条件，而是一个由幼儿自己基于</w:t>
      </w:r>
      <w:r>
        <w:rPr>
          <w:rFonts w:hint="eastAsia" w:ascii="Songti SC Regular" w:hAnsi="Songti SC Regular" w:eastAsia="Songti SC Regular" w:cs="Songti SC Regular"/>
          <w:lang w:val="en-US" w:eastAsia="zh-CN"/>
        </w:rPr>
        <w:t>已有</w:t>
      </w:r>
      <w:r>
        <w:rPr>
          <w:rFonts w:hint="eastAsia" w:ascii="Songti SC Regular" w:hAnsi="Songti SC Regular" w:eastAsia="Songti SC Regular" w:cs="Songti SC Regular"/>
        </w:rPr>
        <w:t>经验所建构出的合作规则。该案例说明，表征工具不仅能帮助教师了解儿童想法，也能帮助儿童自己梳理经验、组织语言、稳定规则，从而使合作支持更具内生性。</w:t>
      </w:r>
    </w:p>
    <w:p w14:paraId="4783C2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三个案例虽然分别聚焦动作需求、空间安全与合作规则，但其背后体现的是同一种课程逻辑：教师先在活动中发现关键事件，再通过马赛克方法收集儿童视角的多元证据，随后进行共同</w:t>
      </w:r>
      <w:r>
        <w:rPr>
          <w:rFonts w:hint="eastAsia" w:ascii="Songti SC Regular" w:hAnsi="Songti SC Regular" w:eastAsia="Songti SC Regular" w:cs="Songti SC Regular"/>
          <w:lang w:eastAsia="zh-CN"/>
        </w:rPr>
        <w:t>识别</w:t>
      </w:r>
      <w:r>
        <w:rPr>
          <w:rFonts w:hint="eastAsia" w:ascii="Songti SC Regular" w:hAnsi="Songti SC Regular" w:eastAsia="Songti SC Regular" w:cs="Songti SC Regular"/>
        </w:rPr>
        <w:t>，最终把</w:t>
      </w:r>
      <w:r>
        <w:rPr>
          <w:rFonts w:hint="eastAsia" w:ascii="Songti SC Regular" w:hAnsi="Songti SC Regular" w:eastAsia="Songti SC Regular" w:cs="Songti SC Regular"/>
          <w:lang w:eastAsia="zh-CN"/>
        </w:rPr>
        <w:t>识别</w:t>
      </w:r>
      <w:r>
        <w:rPr>
          <w:rFonts w:hint="eastAsia" w:ascii="Songti SC Regular" w:hAnsi="Songti SC Regular" w:eastAsia="Songti SC Regular" w:cs="Songti SC Regular"/>
        </w:rPr>
        <w:t>结果转化为环境、材料、规则或支持方式的调整。让“儿童视角可被看见、儿童经验可被</w:t>
      </w:r>
      <w:r>
        <w:rPr>
          <w:rFonts w:hint="eastAsia" w:ascii="Songti SC Regular" w:hAnsi="Songti SC Regular" w:eastAsia="Songti SC Regular" w:cs="Songti SC Regular"/>
          <w:lang w:eastAsia="zh-CN"/>
        </w:rPr>
        <w:t>识别</w:t>
      </w:r>
      <w:r>
        <w:rPr>
          <w:rFonts w:hint="eastAsia" w:ascii="Songti SC Regular" w:hAnsi="Songti SC Regular" w:eastAsia="Songti SC Regular" w:cs="Songti SC Regular"/>
        </w:rPr>
        <w:t>、课程支持可被调整”。</w:t>
      </w:r>
    </w:p>
    <w:p w14:paraId="1844A0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更重要的是，案例研究推动了教师专业能力的具体成长。教师开始意识到，真正有效的观察不是只记录动作完成情况，而是捕捉关键停顿、异常路径、反复尝试、冲突时刻和情绪变化；真正有效的支持也不是即时命令，而是先理解再介入、先倾听再调整。</w:t>
      </w:r>
    </w:p>
    <w:p w14:paraId="328D6D16">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p>
    <w:p w14:paraId="450C68A7">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五</w:t>
      </w:r>
      <w:r>
        <w:rPr>
          <w:rFonts w:hint="eastAsia" w:ascii="Songti SC Bold" w:hAnsi="Songti SC Bold" w:eastAsia="Songti SC Bold" w:cs="Songti SC Bold"/>
          <w:b/>
          <w:bCs/>
        </w:rPr>
        <w:t>、研究成效</w:t>
      </w:r>
    </w:p>
    <w:p w14:paraId="520F974B">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（一）幼儿发展：运动能力提升与主体性增长同步发生</w:t>
      </w:r>
    </w:p>
    <w:p w14:paraId="40D24C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在幼儿成长方面，本课题研究最直接的效果就是促进了区域运动的质量</w:t>
      </w:r>
      <w:r>
        <w:rPr>
          <w:rFonts w:hint="eastAsia" w:ascii="Songti SC Regular" w:hAnsi="Songti SC Regular" w:eastAsia="Songti SC Regular" w:cs="Songti SC Regular"/>
          <w:lang w:val="en-US" w:eastAsia="zh-CN"/>
        </w:rPr>
        <w:t>提升</w:t>
      </w:r>
      <w:r>
        <w:rPr>
          <w:rFonts w:hint="eastAsia" w:ascii="Songti SC Regular" w:hAnsi="Songti SC Regular" w:eastAsia="Songti SC Regular" w:cs="Songti SC Regular"/>
        </w:rPr>
        <w:t>和幼儿的整体发展水平提高，幼儿在运动知识、运动技能、规则意识、合作能力、解决问题的能力以及自我控制情绪的能力等方面都有了明显的发展，尤其是对幼儿主体表达方面的关注度有了明显改善。幼儿开始乐于表达自己的喜好和遇到的问题，更愿意用照片、图画、小海报等形式来表达自己对活动场地和活动方式的想法，并愿意在</w:t>
      </w:r>
      <w:r>
        <w:rPr>
          <w:rFonts w:hint="eastAsia" w:ascii="Songti SC Regular" w:hAnsi="Songti SC Regular" w:eastAsia="Songti SC Regular" w:cs="Songti SC Regular"/>
          <w:lang w:val="en-US" w:eastAsia="zh-CN"/>
        </w:rPr>
        <w:t>儿</w:t>
      </w:r>
      <w:r>
        <w:rPr>
          <w:rFonts w:hint="eastAsia" w:ascii="Songti SC Regular" w:hAnsi="Songti SC Regular" w:eastAsia="Songti SC Regular" w:cs="Songti SC Regular"/>
        </w:rPr>
        <w:t>童</w:t>
      </w:r>
      <w:r>
        <w:rPr>
          <w:rFonts w:hint="eastAsia" w:ascii="Songti SC Regular" w:hAnsi="Songti SC Regular" w:eastAsia="Songti SC Regular" w:cs="Songti SC Regular"/>
          <w:lang w:val="en-US" w:eastAsia="zh-CN"/>
        </w:rPr>
        <w:t>会议</w:t>
      </w:r>
      <w:r>
        <w:rPr>
          <w:rFonts w:hint="eastAsia" w:ascii="Songti SC Regular" w:hAnsi="Songti SC Regular" w:eastAsia="Songti SC Regular" w:cs="Songti SC Regular"/>
        </w:rPr>
        <w:t>以及伙伴之间发表意见。</w:t>
      </w:r>
    </w:p>
    <w:p w14:paraId="6EE7D8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并非单一地表现为“动作更熟练了”，而是运动和社会性、言语表征、认知建构共同发展的结果。区域运动中自主选择、同伴合作、商议问题的过程让幼儿逐渐由“跟着做”到“知道为什么要这样”“还可以怎样做”，在活动中成为运动参与者、规则商议者、问题发现者、方案提出者。这种主体性的成长，对幼儿未来学习品质的生成有着重要的意义。</w:t>
      </w:r>
    </w:p>
    <w:p w14:paraId="39F86D1F">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Regular" w:hAnsi="Songti SC Regular" w:eastAsia="Songti SC Regular" w:cs="Songti SC Regular"/>
        </w:rPr>
      </w:pPr>
      <w:r>
        <w:rPr>
          <w:rFonts w:hint="eastAsia" w:ascii="Songti SC Bold" w:hAnsi="Songti SC Bold" w:eastAsia="Songti SC Bold" w:cs="Songti SC Bold"/>
          <w:b/>
          <w:bCs/>
        </w:rPr>
        <w:t>（二）教师发展：从经验判断走向循证支持的专业跃迁</w:t>
      </w:r>
    </w:p>
    <w:p w14:paraId="61494E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研究也产生了明显的教师发展</w:t>
      </w:r>
      <w:r>
        <w:rPr>
          <w:rFonts w:hint="eastAsia" w:ascii="Songti SC Regular" w:hAnsi="Songti SC Regular" w:eastAsia="Songti SC Regular" w:cs="Songti SC Regular"/>
          <w:lang w:val="en-US" w:eastAsia="zh-CN"/>
        </w:rPr>
        <w:t>成效</w:t>
      </w:r>
      <w:r>
        <w:rPr>
          <w:rFonts w:hint="eastAsia" w:ascii="Songti SC Regular" w:hAnsi="Songti SC Regular" w:eastAsia="Songti SC Regular" w:cs="Songti SC Regular"/>
        </w:rPr>
        <w:t>。一是教育观念转变</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rPr>
        <w:t>教师对“一刀切”运动</w:t>
      </w:r>
      <w:r>
        <w:rPr>
          <w:rFonts w:hint="eastAsia" w:ascii="Songti SC Regular" w:hAnsi="Songti SC Regular" w:eastAsia="Songti SC Regular" w:cs="Songti SC Regular"/>
          <w:lang w:val="en-US" w:eastAsia="zh-CN"/>
        </w:rPr>
        <w:t>组织实施方式</w:t>
      </w:r>
      <w:r>
        <w:rPr>
          <w:rFonts w:hint="eastAsia" w:ascii="Songti SC Regular" w:hAnsi="Songti SC Regular" w:eastAsia="Songti SC Regular" w:cs="Songti SC Regular"/>
        </w:rPr>
        <w:t>的批判性反思不断加深，“一切为了</w:t>
      </w:r>
      <w:r>
        <w:rPr>
          <w:rFonts w:hint="eastAsia" w:ascii="Songti SC Regular" w:hAnsi="Songti SC Regular" w:eastAsia="Songti SC Regular" w:cs="Songti SC Regular"/>
          <w:lang w:eastAsia="zh-CN"/>
        </w:rPr>
        <w:t>幼儿</w:t>
      </w:r>
      <w:r>
        <w:rPr>
          <w:rFonts w:hint="eastAsia" w:ascii="Songti SC Regular" w:hAnsi="Songti SC Regular" w:eastAsia="Songti SC Regular" w:cs="Songti SC Regular"/>
        </w:rPr>
        <w:t>、关注差异、聆听心声、有据支持”的课程观得以建构。二是观察能力提升。教师能够将幼儿的照片、图画、地图、会议发言及家长访谈等内容自如地引入</w:t>
      </w:r>
      <w:r>
        <w:rPr>
          <w:rFonts w:hint="eastAsia" w:ascii="Songti SC Regular" w:hAnsi="Songti SC Regular" w:eastAsia="Songti SC Regular" w:cs="Songti SC Regular"/>
          <w:lang w:val="en-US" w:eastAsia="zh-CN"/>
        </w:rPr>
        <w:t>识别</w:t>
      </w:r>
      <w:r>
        <w:rPr>
          <w:rFonts w:hint="eastAsia" w:ascii="Songti SC Regular" w:hAnsi="Songti SC Regular" w:eastAsia="Songti SC Regular" w:cs="Songti SC Regular"/>
        </w:rPr>
        <w:t>系统中，不是一味地看外显行为。第三，是精准的支持力。教师能形成“差异发现—对照目标—给予支持—评价修正”的工作思路，根据不同年龄段以及不同差异给予更为有针对性的支持。</w:t>
      </w:r>
    </w:p>
    <w:p w14:paraId="1A3152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更深层的变化，是教师角色定位的转变。教师不再只是区域运动的组织者和秩序维护者，而逐步成为课程设计者、证据</w:t>
      </w:r>
      <w:r>
        <w:rPr>
          <w:rFonts w:hint="eastAsia" w:ascii="Songti SC Regular" w:hAnsi="Songti SC Regular" w:eastAsia="Songti SC Regular" w:cs="Songti SC Regular"/>
          <w:lang w:eastAsia="zh-CN"/>
        </w:rPr>
        <w:t>识别</w:t>
      </w:r>
      <w:r>
        <w:rPr>
          <w:rFonts w:hint="eastAsia" w:ascii="Songti SC Regular" w:hAnsi="Songti SC Regular" w:eastAsia="Songti SC Regular" w:cs="Songti SC Regular"/>
        </w:rPr>
        <w:t>者和实践研究者。结题成果中也显示，</w:t>
      </w:r>
      <w:r>
        <w:rPr>
          <w:rFonts w:hint="eastAsia" w:ascii="Songti SC Regular" w:hAnsi="Songti SC Regular" w:eastAsia="Songti SC Regular" w:cs="Songti SC Regular"/>
          <w:lang w:eastAsia="zh-CN"/>
        </w:rPr>
        <w:t>研究团队</w:t>
      </w:r>
      <w:r>
        <w:rPr>
          <w:rFonts w:hint="eastAsia" w:ascii="Songti SC Regular" w:hAnsi="Songti SC Regular" w:eastAsia="Songti SC Regular" w:cs="Songti SC Regular"/>
        </w:rPr>
        <w:t>成员在教学展示、经验分享、论文写作和教研交流等方面均获得较大成长。这说明，研究并不只是为幼儿生成新的活动方案，也同时为教师生成新的专业身份和成长路径。</w:t>
      </w:r>
    </w:p>
    <w:p w14:paraId="6F92D3D6">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（三）课程发展：园本运动课程由“活动集合”走向“支持体系”</w:t>
      </w:r>
    </w:p>
    <w:p w14:paraId="3BD238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从园本课程层面看，马赛克方法的融入使区域运动发生了结构性变化。过去，区域运动更多被理解为若干活动区域的并列组合；而在研究推进后，区域运动逐渐呈现为一个由发展目标、评价指标、多元证据、支持策略和反思机制共同构成的支持体系。环境创设不再仅关注“是否丰富”，而更强调“是否回应儿童经验”；材料投放不再只追求“好玩”，而更强调“是否支持分层挑战”；规则设计不再只是成人规定，而开始包含儿童的理解与参与。</w:t>
      </w:r>
    </w:p>
    <w:p w14:paraId="1210B1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这种课程发展表明，差异化支持并不是附着在区域运动上的额外要求，而是区域运动质量提升的内在标准。只有当教师能够持续地识别差异、回应差异并验证支持效果时，区域运动才真正具备了课程意义。</w:t>
      </w:r>
    </w:p>
    <w:p w14:paraId="0FD09932">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val="en-US" w:eastAsia="zh-CN"/>
        </w:rPr>
        <w:t>六</w:t>
      </w:r>
      <w:r>
        <w:rPr>
          <w:rFonts w:hint="eastAsia" w:ascii="Songti SC Bold" w:hAnsi="Songti SC Bold" w:eastAsia="Songti SC Bold" w:cs="Songti SC Bold"/>
          <w:b/>
          <w:bCs/>
        </w:rPr>
        <w:t>、结论与建议</w:t>
      </w:r>
    </w:p>
    <w:p w14:paraId="0B47862F">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（一）研究结论</w:t>
      </w:r>
    </w:p>
    <w:p w14:paraId="2A7D80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综合研究过程与实践结果，可以形成以下</w:t>
      </w:r>
      <w:r>
        <w:rPr>
          <w:rFonts w:hint="eastAsia" w:ascii="Songti SC Regular" w:hAnsi="Songti SC Regular" w:eastAsia="Songti SC Regular" w:cs="Songti SC Regular"/>
          <w:lang w:val="en-US" w:eastAsia="zh-CN"/>
        </w:rPr>
        <w:t>4</w:t>
      </w:r>
      <w:r>
        <w:rPr>
          <w:rFonts w:hint="eastAsia" w:ascii="Songti SC Regular" w:hAnsi="Songti SC Regular" w:eastAsia="Songti SC Regular" w:cs="Songti SC Regular"/>
        </w:rPr>
        <w:t>点结论。</w:t>
      </w:r>
    </w:p>
    <w:p w14:paraId="583981C9">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区域运动是实施差异化支持的优质场域，其开放性、自主性与可观察性决定了它最能呈现幼儿之间的自然差异。</w:t>
      </w:r>
    </w:p>
    <w:p w14:paraId="060CA445">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马赛克方法为差异化支持提供了多元、真实而立体的信息来源，能够有效弥补单一教师观察的局限。</w:t>
      </w:r>
    </w:p>
    <w:p w14:paraId="29206E32">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以“识别—比对—支持—评价—调整”为核心的闭环机制，能够把儿童多元表达真正转化为课程改进和支持优化的依据。</w:t>
      </w:r>
    </w:p>
    <w:p w14:paraId="069EE4DA">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差异化支持必须同时处理个体差异与群体差异两个维度，既要面向认知、品德、技能和行为进行精准支持，也要依据小、中、大班年龄特征建构适宜的支持体系。</w:t>
      </w:r>
    </w:p>
    <w:p w14:paraId="07E9F9DB">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第五，差异化支持的实施不仅促进幼儿发展，也显著推动教师教育理念更新、观察评估能力提升与园本课程质量改进。</w:t>
      </w:r>
    </w:p>
    <w:p w14:paraId="0C16A59E">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（二）实践建议</w:t>
      </w:r>
    </w:p>
    <w:p w14:paraId="68CD3D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结合研究成果，本文有以下</w:t>
      </w:r>
      <w:r>
        <w:rPr>
          <w:rFonts w:hint="eastAsia" w:ascii="Songti SC Regular" w:hAnsi="Songti SC Regular" w:eastAsia="Songti SC Regular" w:cs="Songti SC Regular"/>
          <w:lang w:val="en-US" w:eastAsia="zh-CN"/>
        </w:rPr>
        <w:t>4</w:t>
      </w:r>
      <w:r>
        <w:rPr>
          <w:rFonts w:hint="eastAsia" w:ascii="Songti SC Regular" w:hAnsi="Songti SC Regular" w:eastAsia="Songti SC Regular" w:cs="Songti SC Regular"/>
        </w:rPr>
        <w:t>点行动建议：</w:t>
      </w:r>
    </w:p>
    <w:p w14:paraId="58B49470">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1.</w:t>
      </w:r>
      <w:r>
        <w:rPr>
          <w:rFonts w:hint="eastAsia" w:ascii="Songti SC Regular" w:hAnsi="Songti SC Regular" w:eastAsia="Songti SC Regular" w:cs="Songti SC Regular"/>
        </w:rPr>
        <w:t>在园所层面应该从课程角度确定差异性支持的制度，并将其落实到区域运动方案制定、教研反思以及教师评价中，不能仅作为个别教师自发的行为；</w:t>
      </w:r>
    </w:p>
    <w:p w14:paraId="022C54CF">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2.</w:t>
      </w:r>
      <w:r>
        <w:rPr>
          <w:rFonts w:hint="eastAsia" w:ascii="Songti SC Regular" w:hAnsi="Songti SC Regular" w:eastAsia="Songti SC Regular" w:cs="Songti SC Regular"/>
        </w:rPr>
        <w:t>在园所层面应给予教师更加稳定的工具支持与资源支持，如观察记录表格、儿童会议组织手册、照片及图画解读案例集锦、家长访谈提纲以及数字化整理工具等，降低方法应用门槛。</w:t>
      </w:r>
    </w:p>
    <w:p w14:paraId="0D8A6DF0">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3.</w:t>
      </w:r>
      <w:r>
        <w:rPr>
          <w:rFonts w:hint="eastAsia" w:ascii="Songti SC Regular" w:hAnsi="Songti SC Regular" w:eastAsia="Songti SC Regular" w:cs="Songti SC Regular"/>
        </w:rPr>
        <w:t>应重视教师共同体建设，通过案例共研、同伴互助和分层培训增强教师对儿童表征的解读能力和支持设计能力。</w:t>
      </w:r>
    </w:p>
    <w:p w14:paraId="32D66A1B">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4.</w:t>
      </w:r>
      <w:r>
        <w:rPr>
          <w:rFonts w:hint="eastAsia" w:ascii="Songti SC Regular" w:hAnsi="Songti SC Regular" w:eastAsia="Songti SC Regular" w:cs="Songti SC Regular"/>
        </w:rPr>
        <w:t>应推进家园协同，把家庭中的运动经验、亲子互动和行为表现纳入支持系统之中，形成更完整的教育合力。</w:t>
      </w:r>
    </w:p>
    <w:p w14:paraId="5C449E42">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default" w:ascii="Songti SC Bold" w:hAnsi="Songti SC Bold" w:eastAsia="Songti SC Bold" w:cs="Songti SC Bold"/>
          <w:b/>
          <w:bCs/>
          <w:lang w:val="en-US" w:eastAsia="zh-CN"/>
        </w:rPr>
      </w:pPr>
      <w:r>
        <w:rPr>
          <w:rFonts w:hint="eastAsia" w:ascii="Songti SC Bold" w:hAnsi="Songti SC Bold" w:eastAsia="Songti SC Bold" w:cs="Songti SC Bold"/>
          <w:b/>
          <w:bCs/>
          <w:lang w:val="en-US" w:eastAsia="zh-CN"/>
        </w:rPr>
        <w:t>七、启示与展望</w:t>
      </w:r>
    </w:p>
    <w:p w14:paraId="5A3A0264">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lang w:eastAsia="zh-CN"/>
        </w:rPr>
        <w:t>（</w:t>
      </w:r>
      <w:r>
        <w:rPr>
          <w:rFonts w:hint="eastAsia" w:ascii="Songti SC Bold" w:hAnsi="Songti SC Bold" w:eastAsia="Songti SC Bold" w:cs="Songti SC Bold"/>
          <w:b/>
          <w:bCs/>
          <w:lang w:val="en-US" w:eastAsia="zh-CN"/>
        </w:rPr>
        <w:t>一</w:t>
      </w:r>
      <w:r>
        <w:rPr>
          <w:rFonts w:hint="eastAsia" w:ascii="Songti SC Bold" w:hAnsi="Songti SC Bold" w:eastAsia="Songti SC Bold" w:cs="Songti SC Bold"/>
          <w:b/>
          <w:bCs/>
          <w:lang w:eastAsia="zh-CN"/>
        </w:rPr>
        <w:t>）</w:t>
      </w:r>
      <w:r>
        <w:rPr>
          <w:rFonts w:hint="eastAsia" w:ascii="Songti SC Bold" w:hAnsi="Songti SC Bold" w:eastAsia="Songti SC Bold" w:cs="Songti SC Bold"/>
          <w:b/>
          <w:bCs/>
        </w:rPr>
        <w:t>教育启示</w:t>
      </w:r>
    </w:p>
    <w:p w14:paraId="441799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本研究最大的教育启示，在于提醒我们重新理解“儿童声音”的价值。儿童声音并不只意味着让幼儿说一说感受，也不只是给教师提供一些“有趣素材”，而是课程改进的关键证据。当教师真正把儿童声音与观察证据、同伴意见、家长反馈结合起来时，课程就能突破成人单一视角的局限。相应地，教育者需要学习的不只是更多方法，而是如何在日常课程中建立一种尊重儿童、追问儿童、</w:t>
      </w:r>
      <w:r>
        <w:rPr>
          <w:rFonts w:hint="eastAsia" w:ascii="Songti SC Regular" w:hAnsi="Songti SC Regular" w:eastAsia="Songti SC Regular" w:cs="Songti SC Regular"/>
          <w:lang w:eastAsia="zh-CN"/>
        </w:rPr>
        <w:t>识别</w:t>
      </w:r>
      <w:r>
        <w:rPr>
          <w:rFonts w:hint="eastAsia" w:ascii="Songti SC Regular" w:hAnsi="Songti SC Regular" w:eastAsia="Songti SC Regular" w:cs="Songti SC Regular"/>
        </w:rPr>
        <w:t>儿童并回应儿童的专业文化。</w:t>
      </w:r>
    </w:p>
    <w:p w14:paraId="1E154B6E">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Songti SC Bold" w:hAnsi="Songti SC Bold" w:eastAsia="Songti SC Bold" w:cs="Songti SC Bold"/>
          <w:b/>
          <w:bCs/>
        </w:rPr>
      </w:pPr>
      <w:r>
        <w:rPr>
          <w:rFonts w:hint="eastAsia" w:ascii="Songti SC Bold" w:hAnsi="Songti SC Bold" w:eastAsia="Songti SC Bold" w:cs="Songti SC Bold"/>
          <w:b/>
          <w:bCs/>
        </w:rPr>
        <w:t>（</w:t>
      </w:r>
      <w:r>
        <w:rPr>
          <w:rFonts w:hint="eastAsia" w:ascii="Songti SC Bold" w:hAnsi="Songti SC Bold" w:eastAsia="Songti SC Bold" w:cs="Songti SC Bold"/>
          <w:b/>
          <w:bCs/>
          <w:lang w:val="en-US" w:eastAsia="zh-CN"/>
        </w:rPr>
        <w:t>二</w:t>
      </w:r>
      <w:r>
        <w:rPr>
          <w:rFonts w:hint="eastAsia" w:ascii="Songti SC Bold" w:hAnsi="Songti SC Bold" w:eastAsia="Songti SC Bold" w:cs="Songti SC Bold"/>
          <w:b/>
          <w:bCs/>
        </w:rPr>
        <w:t>）未来展望</w:t>
      </w:r>
    </w:p>
    <w:p w14:paraId="215301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今后研究可从以下四方面进一步拓展与发展：</w:t>
      </w:r>
    </w:p>
    <w:p w14:paraId="1EA8C2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一是建立精细化的支持系统，形成更为清晰的幼儿运动</w:t>
      </w:r>
      <w:r>
        <w:rPr>
          <w:rFonts w:hint="eastAsia" w:ascii="Songti SC Regular" w:hAnsi="Songti SC Regular" w:eastAsia="Songti SC Regular" w:cs="Songti SC Regular"/>
          <w:lang w:val="en-US" w:eastAsia="zh-CN"/>
        </w:rPr>
        <w:t>成长档案</w:t>
      </w:r>
      <w:r>
        <w:rPr>
          <w:rFonts w:hint="eastAsia" w:ascii="Songti SC Regular" w:hAnsi="Songti SC Regular" w:eastAsia="Songti SC Regular" w:cs="Songti SC Regular"/>
        </w:rPr>
        <w:t>，并实现追踪反馈功能；</w:t>
      </w:r>
    </w:p>
    <w:p w14:paraId="2D92F3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二是改进马赛克法实施流程，使之更易于嵌入日常活动之中；</w:t>
      </w:r>
    </w:p>
    <w:p w14:paraId="38A96E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三是深化家校社联动支持；推广运动</w:t>
      </w:r>
      <w:r>
        <w:rPr>
          <w:rFonts w:hint="eastAsia" w:ascii="Songti SC Regular" w:hAnsi="Songti SC Regular" w:eastAsia="Songti SC Regular" w:cs="Songti SC Regular"/>
          <w:lang w:val="en-US" w:eastAsia="zh-CN"/>
        </w:rPr>
        <w:t>活动</w:t>
      </w:r>
      <w:r>
        <w:rPr>
          <w:rFonts w:hint="eastAsia" w:ascii="Songti SC Regular" w:hAnsi="Songti SC Regular" w:eastAsia="Songti SC Regular" w:cs="Songti SC Regular"/>
        </w:rPr>
        <w:t>的家庭实施；</w:t>
      </w:r>
    </w:p>
    <w:p w14:paraId="37B88E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四是在前期成果的基础上继续开发案例库、工具手册、学习资源包及教师培训模块，提升研究成果覆盖面。</w:t>
      </w:r>
    </w:p>
    <w:p w14:paraId="095C9F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可以预见，随着儿童立场在课程中的不断落实，以及教师循证支持能力的持续提升，区域运动将不只是幼儿强身健体的空间，更将成为其经验表达、关系建构、规则生成与主体成长的重要教育场域。</w:t>
      </w:r>
    </w:p>
    <w:p w14:paraId="1DE3C3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Songti SC Regular" w:hAnsi="Songti SC Regular" w:eastAsia="Songti SC Regular" w:cs="Songti SC Regular"/>
        </w:rPr>
      </w:pPr>
    </w:p>
    <w:p w14:paraId="103DD854">
      <w:pPr>
        <w:keepNext w:val="0"/>
        <w:keepLines w:val="0"/>
        <w:pageBreakBefore w:val="0"/>
        <w:widowControl/>
        <w:kinsoku/>
        <w:wordWrap/>
        <w:overflowPunct/>
        <w:topLinePunct w:val="0"/>
        <w:autoSpaceDE/>
        <w:autoSpaceDN/>
        <w:bidi w:val="0"/>
        <w:adjustRightInd/>
        <w:snapToGrid/>
        <w:spacing w:line="360" w:lineRule="auto"/>
        <w:ind w:leftChars="200"/>
        <w:jc w:val="both"/>
        <w:textAlignment w:val="auto"/>
        <w:rPr>
          <w:rFonts w:hint="eastAsia" w:ascii="Songti SC Bold" w:hAnsi="Songti SC Bold" w:eastAsia="Songti SC Bold" w:cs="Songti SC Bold"/>
          <w:b/>
          <w:bCs/>
          <w:lang w:eastAsia="zh-CN"/>
        </w:rPr>
      </w:pPr>
      <w:r>
        <w:rPr>
          <w:rFonts w:hint="eastAsia" w:ascii="Songti SC Bold" w:hAnsi="Songti SC Bold" w:eastAsia="Songti SC Bold" w:cs="Songti SC Bold"/>
          <w:b/>
          <w:bCs/>
        </w:rPr>
        <w:t>参考文献</w:t>
      </w:r>
    </w:p>
    <w:p w14:paraId="75EAD5DF">
      <w:pPr>
        <w:keepNext w:val="0"/>
        <w:keepLines w:val="0"/>
        <w:pageBreakBefore w:val="0"/>
        <w:widowControl/>
        <w:kinsoku/>
        <w:wordWrap/>
        <w:overflowPunct/>
        <w:topLinePunct w:val="0"/>
        <w:autoSpaceDE/>
        <w:autoSpaceDN/>
        <w:bidi w:val="0"/>
        <w:adjustRightInd/>
        <w:snapToGrid/>
        <w:spacing w:line="360" w:lineRule="auto"/>
        <w:ind w:leftChars="200"/>
        <w:jc w:val="both"/>
        <w:textAlignment w:val="auto"/>
        <w:rPr>
          <w:rFonts w:hint="eastAsia" w:ascii="Songti SC Regular" w:hAnsi="Songti SC Regular" w:eastAsia="Songti SC Regular" w:cs="Songti SC Regular"/>
          <w:sz w:val="22"/>
          <w:szCs w:val="22"/>
          <w:lang w:eastAsia="zh-CN"/>
        </w:rPr>
      </w:pPr>
      <w:r>
        <w:rPr>
          <w:rFonts w:hint="eastAsia" w:ascii="Songti SC Regular" w:hAnsi="Songti SC Regular" w:eastAsia="Songti SC Regular" w:cs="Songti SC Regular"/>
          <w:sz w:val="22"/>
          <w:szCs w:val="22"/>
        </w:rPr>
        <w:t>[1]倪海燕.让儿童的声音在场：马赛克研究方法的发展及启示[J].早期教育,2020(06).</w:t>
      </w:r>
    </w:p>
    <w:p w14:paraId="3E2C74C0">
      <w:pPr>
        <w:keepNext w:val="0"/>
        <w:keepLines w:val="0"/>
        <w:pageBreakBefore w:val="0"/>
        <w:widowControl/>
        <w:kinsoku/>
        <w:wordWrap/>
        <w:overflowPunct/>
        <w:topLinePunct w:val="0"/>
        <w:autoSpaceDE/>
        <w:autoSpaceDN/>
        <w:bidi w:val="0"/>
        <w:adjustRightInd/>
        <w:snapToGrid/>
        <w:spacing w:line="360" w:lineRule="auto"/>
        <w:ind w:leftChars="200"/>
        <w:jc w:val="both"/>
        <w:textAlignment w:val="auto"/>
        <w:rPr>
          <w:rFonts w:hint="eastAsia" w:ascii="Songti SC Regular" w:hAnsi="Songti SC Regular" w:eastAsia="Songti SC Regular" w:cs="Songti SC Regular"/>
          <w:sz w:val="22"/>
          <w:szCs w:val="22"/>
          <w:lang w:eastAsia="zh-CN"/>
        </w:rPr>
      </w:pPr>
      <w:r>
        <w:rPr>
          <w:rFonts w:hint="eastAsia" w:ascii="Songti SC Regular" w:hAnsi="Songti SC Regular" w:eastAsia="Songti SC Regular" w:cs="Songti SC Regular"/>
          <w:sz w:val="22"/>
          <w:szCs w:val="22"/>
        </w:rPr>
        <w:t>[2]刘宇.儿童如何成为研究参与者：“马赛克方法”及其理论意蕴[J].全球教育展望,2014(09).</w:t>
      </w:r>
    </w:p>
    <w:p w14:paraId="1E308D91">
      <w:pPr>
        <w:keepNext w:val="0"/>
        <w:keepLines w:val="0"/>
        <w:pageBreakBefore w:val="0"/>
        <w:widowControl/>
        <w:kinsoku/>
        <w:wordWrap/>
        <w:overflowPunct/>
        <w:topLinePunct w:val="0"/>
        <w:autoSpaceDE/>
        <w:autoSpaceDN/>
        <w:bidi w:val="0"/>
        <w:adjustRightInd/>
        <w:snapToGrid/>
        <w:spacing w:line="360" w:lineRule="auto"/>
        <w:ind w:leftChars="200"/>
        <w:jc w:val="both"/>
        <w:textAlignment w:val="auto"/>
        <w:rPr>
          <w:rFonts w:hint="eastAsia" w:ascii="Songti SC Regular" w:hAnsi="Songti SC Regular" w:eastAsia="Songti SC Regular" w:cs="Songti SC Regular"/>
          <w:sz w:val="22"/>
          <w:szCs w:val="22"/>
          <w:lang w:eastAsia="zh-CN"/>
        </w:rPr>
      </w:pPr>
      <w:r>
        <w:rPr>
          <w:rFonts w:hint="eastAsia" w:ascii="Songti SC Regular" w:hAnsi="Songti SC Regular" w:eastAsia="Songti SC Regular" w:cs="Songti SC Regular"/>
          <w:sz w:val="22"/>
          <w:szCs w:val="22"/>
        </w:rPr>
        <w:t>[3]徐佳乐.幼儿园差异教学的价值体现[J].山西教育(幼教),2020(48):50-51.</w:t>
      </w:r>
    </w:p>
    <w:p w14:paraId="360658F4">
      <w:pPr>
        <w:keepNext w:val="0"/>
        <w:keepLines w:val="0"/>
        <w:pageBreakBefore w:val="0"/>
        <w:widowControl/>
        <w:kinsoku/>
        <w:wordWrap/>
        <w:overflowPunct/>
        <w:topLinePunct w:val="0"/>
        <w:autoSpaceDE/>
        <w:autoSpaceDN/>
        <w:bidi w:val="0"/>
        <w:adjustRightInd/>
        <w:snapToGrid/>
        <w:spacing w:line="360" w:lineRule="auto"/>
        <w:ind w:leftChars="200"/>
        <w:jc w:val="both"/>
        <w:textAlignment w:val="auto"/>
        <w:rPr>
          <w:rFonts w:hint="eastAsia" w:ascii="Songti SC Regular" w:hAnsi="Songti SC Regular" w:eastAsia="Songti SC Regular" w:cs="Songti SC Regular"/>
          <w:sz w:val="22"/>
          <w:szCs w:val="22"/>
          <w:lang w:eastAsia="zh-CN"/>
        </w:rPr>
      </w:pPr>
      <w:r>
        <w:rPr>
          <w:rFonts w:hint="eastAsia" w:ascii="Songti SC Regular" w:hAnsi="Songti SC Regular" w:eastAsia="Songti SC Regular" w:cs="Songti SC Regular"/>
          <w:sz w:val="22"/>
          <w:szCs w:val="22"/>
        </w:rPr>
        <w:t>[4]秦银花.幼儿园教学中应注重差异教学[J].课程教育研究,2020(01):6.</w:t>
      </w:r>
    </w:p>
    <w:p w14:paraId="1DA19FFF">
      <w:pPr>
        <w:keepNext w:val="0"/>
        <w:keepLines w:val="0"/>
        <w:pageBreakBefore w:val="0"/>
        <w:widowControl/>
        <w:kinsoku/>
        <w:wordWrap/>
        <w:overflowPunct/>
        <w:topLinePunct w:val="0"/>
        <w:autoSpaceDE/>
        <w:autoSpaceDN/>
        <w:bidi w:val="0"/>
        <w:adjustRightInd/>
        <w:snapToGrid/>
        <w:spacing w:line="360" w:lineRule="auto"/>
        <w:ind w:leftChars="200"/>
        <w:jc w:val="both"/>
        <w:textAlignment w:val="auto"/>
        <w:rPr>
          <w:rFonts w:hint="eastAsia" w:ascii="Songti SC Regular" w:hAnsi="Songti SC Regular" w:eastAsia="Songti SC Regular" w:cs="Songti SC Regular"/>
          <w:sz w:val="22"/>
          <w:szCs w:val="22"/>
          <w:lang w:eastAsia="zh-CN"/>
        </w:rPr>
      </w:pPr>
      <w:r>
        <w:rPr>
          <w:rFonts w:hint="eastAsia" w:ascii="Songti SC Regular" w:hAnsi="Songti SC Regular" w:eastAsia="Songti SC Regular" w:cs="Songti SC Regular"/>
          <w:sz w:val="22"/>
          <w:szCs w:val="22"/>
        </w:rPr>
        <w:t>[5]朱鸣宇.幼儿园“差异教学”实施策略[J].读与写(教育教学刊),2019,16(07):238.</w:t>
      </w:r>
    </w:p>
    <w:p w14:paraId="1779599B">
      <w:pPr>
        <w:keepNext w:val="0"/>
        <w:keepLines w:val="0"/>
        <w:pageBreakBefore w:val="0"/>
        <w:widowControl/>
        <w:kinsoku/>
        <w:wordWrap/>
        <w:overflowPunct/>
        <w:topLinePunct w:val="0"/>
        <w:autoSpaceDE/>
        <w:autoSpaceDN/>
        <w:bidi w:val="0"/>
        <w:adjustRightInd/>
        <w:snapToGrid/>
        <w:spacing w:line="360" w:lineRule="auto"/>
        <w:ind w:leftChars="200"/>
        <w:jc w:val="both"/>
        <w:textAlignment w:val="auto"/>
        <w:rPr>
          <w:rFonts w:hint="eastAsia" w:ascii="Songti SC Regular" w:hAnsi="Songti SC Regular" w:eastAsia="Songti SC Regular" w:cs="Songti SC Regular"/>
          <w:sz w:val="22"/>
          <w:szCs w:val="22"/>
          <w:lang w:eastAsia="zh-CN"/>
        </w:rPr>
      </w:pPr>
      <w:r>
        <w:rPr>
          <w:rFonts w:hint="eastAsia" w:ascii="Songti SC Regular" w:hAnsi="Songti SC Regular" w:eastAsia="Songti SC Regular" w:cs="Songti SC Regular"/>
          <w:sz w:val="22"/>
          <w:szCs w:val="22"/>
        </w:rPr>
        <w:t>[6]刘丹丹.基于差异教学理念的幼儿园小班化教学探究[J].知识窗(教师版),2018(08):89.</w:t>
      </w:r>
    </w:p>
    <w:p w14:paraId="73215C50">
      <w:pPr>
        <w:keepNext w:val="0"/>
        <w:keepLines w:val="0"/>
        <w:pageBreakBefore w:val="0"/>
        <w:widowControl/>
        <w:kinsoku/>
        <w:wordWrap/>
        <w:overflowPunct/>
        <w:topLinePunct w:val="0"/>
        <w:autoSpaceDE/>
        <w:autoSpaceDN/>
        <w:bidi w:val="0"/>
        <w:adjustRightInd/>
        <w:snapToGrid/>
        <w:spacing w:line="360" w:lineRule="auto"/>
        <w:ind w:leftChars="200"/>
        <w:jc w:val="both"/>
        <w:textAlignment w:val="auto"/>
        <w:rPr>
          <w:rFonts w:hint="eastAsia" w:ascii="Songti SC Regular" w:hAnsi="Songti SC Regular" w:eastAsia="Songti SC Regular" w:cs="Songti SC Regular"/>
          <w:sz w:val="22"/>
          <w:szCs w:val="22"/>
          <w:lang w:eastAsia="zh-CN"/>
        </w:rPr>
      </w:pPr>
      <w:r>
        <w:rPr>
          <w:rFonts w:hint="eastAsia" w:ascii="Songti SC Regular" w:hAnsi="Songti SC Regular" w:eastAsia="Songti SC Regular" w:cs="Songti SC Regular"/>
          <w:sz w:val="22"/>
          <w:szCs w:val="22"/>
        </w:rPr>
        <w:t>[7]叶晓慧,吴玲.“差异教学”：幼儿园教学的重要预设[J].陕西学前师范学院学报,2016,32(04):30-34.</w:t>
      </w:r>
    </w:p>
    <w:p w14:paraId="27C89C74">
      <w:pPr>
        <w:keepNext w:val="0"/>
        <w:keepLines w:val="0"/>
        <w:pageBreakBefore w:val="0"/>
        <w:widowControl/>
        <w:kinsoku/>
        <w:wordWrap/>
        <w:overflowPunct/>
        <w:topLinePunct w:val="0"/>
        <w:autoSpaceDE/>
        <w:autoSpaceDN/>
        <w:bidi w:val="0"/>
        <w:adjustRightInd/>
        <w:snapToGrid/>
        <w:spacing w:line="360" w:lineRule="auto"/>
        <w:ind w:leftChars="200"/>
        <w:jc w:val="both"/>
        <w:textAlignment w:val="auto"/>
        <w:rPr>
          <w:rFonts w:hint="eastAsia" w:ascii="Songti SC Regular" w:hAnsi="Songti SC Regular" w:eastAsia="Songti SC Regular" w:cs="Songti SC Regular"/>
          <w:sz w:val="22"/>
          <w:szCs w:val="22"/>
          <w:lang w:eastAsia="zh-CN"/>
        </w:rPr>
      </w:pPr>
      <w:r>
        <w:rPr>
          <w:rFonts w:hint="eastAsia" w:ascii="Songti SC Regular" w:hAnsi="Songti SC Regular" w:eastAsia="Songti SC Regular" w:cs="Songti SC Regular"/>
          <w:sz w:val="22"/>
          <w:szCs w:val="22"/>
        </w:rPr>
        <w:t>[8]常红.基于差异教学理念的幼儿园小班化教学研究[J].现代妇女(下旬),2014(01):121.</w:t>
      </w:r>
    </w:p>
    <w:p w14:paraId="72C0F383">
      <w:pPr>
        <w:keepNext w:val="0"/>
        <w:keepLines w:val="0"/>
        <w:pageBreakBefore w:val="0"/>
        <w:widowControl/>
        <w:kinsoku/>
        <w:wordWrap/>
        <w:overflowPunct/>
        <w:topLinePunct w:val="0"/>
        <w:autoSpaceDE/>
        <w:autoSpaceDN/>
        <w:bidi w:val="0"/>
        <w:adjustRightInd/>
        <w:snapToGrid/>
        <w:spacing w:line="360" w:lineRule="auto"/>
        <w:ind w:leftChars="200"/>
        <w:jc w:val="both"/>
        <w:textAlignment w:val="auto"/>
        <w:rPr>
          <w:rFonts w:hint="eastAsia" w:ascii="Songti SC Regular" w:hAnsi="Songti SC Regular" w:eastAsia="Songti SC Regular" w:cs="Songti SC Regular"/>
          <w:sz w:val="22"/>
          <w:szCs w:val="22"/>
          <w:lang w:eastAsia="zh-CN"/>
        </w:rPr>
      </w:pPr>
      <w:r>
        <w:rPr>
          <w:rFonts w:hint="eastAsia" w:ascii="Songti SC Regular" w:hAnsi="Songti SC Regular" w:eastAsia="Songti SC Regular" w:cs="Songti SC Regular"/>
          <w:sz w:val="22"/>
          <w:szCs w:val="22"/>
        </w:rPr>
        <w:t>[9]常红,桑青松.幼儿园差异教学的价值定位及实施策略[J].教育导刊(下半月),2013(05):48-50.</w:t>
      </w:r>
    </w:p>
    <w:p w14:paraId="7EE30520">
      <w:pPr>
        <w:keepNext w:val="0"/>
        <w:keepLines w:val="0"/>
        <w:pageBreakBefore w:val="0"/>
        <w:widowControl/>
        <w:kinsoku/>
        <w:wordWrap/>
        <w:overflowPunct/>
        <w:topLinePunct w:val="0"/>
        <w:autoSpaceDE/>
        <w:autoSpaceDN/>
        <w:bidi w:val="0"/>
        <w:adjustRightInd/>
        <w:snapToGrid/>
        <w:spacing w:line="360" w:lineRule="auto"/>
        <w:ind w:leftChars="200"/>
        <w:jc w:val="both"/>
        <w:textAlignment w:val="auto"/>
        <w:rPr>
          <w:rFonts w:hint="eastAsia" w:ascii="Songti SC Regular" w:hAnsi="Songti SC Regular" w:eastAsia="Songti SC Regular" w:cs="Songti SC Regular"/>
          <w:sz w:val="22"/>
          <w:szCs w:val="22"/>
          <w:lang w:eastAsia="zh-CN"/>
        </w:rPr>
      </w:pPr>
      <w:r>
        <w:rPr>
          <w:rFonts w:hint="eastAsia" w:ascii="Songti SC Regular" w:hAnsi="Songti SC Regular" w:eastAsia="Songti SC Regular" w:cs="Songti SC Regular"/>
          <w:sz w:val="22"/>
          <w:szCs w:val="22"/>
        </w:rPr>
        <w:t>[10]韩佳伶,李莉.幼儿园差异教学实施现状的调查研究[J].幼儿教育,2012(36):11-15.</w:t>
      </w:r>
    </w:p>
    <w:p w14:paraId="07B58E51">
      <w:pPr>
        <w:keepNext w:val="0"/>
        <w:keepLines w:val="0"/>
        <w:pageBreakBefore w:val="0"/>
        <w:widowControl/>
        <w:kinsoku/>
        <w:wordWrap/>
        <w:overflowPunct/>
        <w:topLinePunct w:val="0"/>
        <w:autoSpaceDE/>
        <w:autoSpaceDN/>
        <w:bidi w:val="0"/>
        <w:adjustRightInd/>
        <w:snapToGrid/>
        <w:spacing w:line="360" w:lineRule="auto"/>
        <w:ind w:leftChars="200"/>
        <w:jc w:val="both"/>
        <w:textAlignment w:val="auto"/>
        <w:rPr>
          <w:rFonts w:hint="eastAsia" w:ascii="Songti SC Regular" w:hAnsi="Songti SC Regular" w:eastAsia="Songti SC Regular" w:cs="Songti SC Regular"/>
          <w:sz w:val="22"/>
          <w:szCs w:val="22"/>
          <w:lang w:eastAsia="zh-CN"/>
        </w:rPr>
      </w:pPr>
      <w:r>
        <w:rPr>
          <w:rFonts w:hint="eastAsia" w:ascii="Songti SC Regular" w:hAnsi="Songti SC Regular" w:eastAsia="Songti SC Regular" w:cs="Songti SC Regular"/>
          <w:sz w:val="22"/>
          <w:szCs w:val="22"/>
        </w:rPr>
        <w:t>[11]教育部.幼儿园教育指导纲要（试行）[S].2001.</w:t>
      </w:r>
    </w:p>
    <w:p w14:paraId="5896E1F8">
      <w:pPr>
        <w:keepNext w:val="0"/>
        <w:keepLines w:val="0"/>
        <w:pageBreakBefore w:val="0"/>
        <w:widowControl/>
        <w:kinsoku/>
        <w:wordWrap/>
        <w:overflowPunct/>
        <w:topLinePunct w:val="0"/>
        <w:autoSpaceDE/>
        <w:autoSpaceDN/>
        <w:bidi w:val="0"/>
        <w:adjustRightInd/>
        <w:snapToGrid/>
        <w:spacing w:line="360" w:lineRule="auto"/>
        <w:ind w:leftChars="200"/>
        <w:jc w:val="both"/>
        <w:textAlignment w:val="auto"/>
        <w:rPr>
          <w:rFonts w:hint="eastAsia" w:ascii="Songti SC Regular" w:hAnsi="Songti SC Regular" w:eastAsia="Songti SC Regular" w:cs="Songti SC Regular"/>
          <w:sz w:val="22"/>
          <w:szCs w:val="22"/>
          <w:lang w:eastAsia="zh-CN"/>
        </w:rPr>
      </w:pPr>
      <w:r>
        <w:rPr>
          <w:rFonts w:hint="eastAsia" w:ascii="Songti SC Regular" w:hAnsi="Songti SC Regular" w:eastAsia="Songti SC Regular" w:cs="Songti SC Regular"/>
          <w:sz w:val="22"/>
          <w:szCs w:val="22"/>
        </w:rPr>
        <w:t>[12]教育部.3—6岁儿童学习与发展指南[S].2012.</w:t>
      </w:r>
    </w:p>
    <w:p w14:paraId="54CAFEA9">
      <w:pPr>
        <w:keepNext w:val="0"/>
        <w:keepLines w:val="0"/>
        <w:pageBreakBefore w:val="0"/>
        <w:widowControl/>
        <w:kinsoku/>
        <w:wordWrap/>
        <w:overflowPunct/>
        <w:topLinePunct w:val="0"/>
        <w:autoSpaceDE/>
        <w:autoSpaceDN/>
        <w:bidi w:val="0"/>
        <w:adjustRightInd/>
        <w:snapToGrid/>
        <w:spacing w:line="360" w:lineRule="auto"/>
        <w:ind w:leftChars="200"/>
        <w:jc w:val="both"/>
        <w:textAlignment w:val="auto"/>
        <w:rPr>
          <w:rFonts w:hint="eastAsia" w:ascii="Songti SC Regular" w:hAnsi="Songti SC Regular" w:eastAsia="Songti SC Regular" w:cs="Songti SC Regular"/>
          <w:sz w:val="22"/>
          <w:szCs w:val="22"/>
        </w:rPr>
      </w:pPr>
    </w:p>
    <w:sectPr>
      <w:footerReference r:id="rId3" w:type="default"/>
      <w:pgSz w:w="12240" w:h="15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ongti SC Regular">
    <w:altName w:val="宋体"/>
    <w:panose1 w:val="02010800040101010101"/>
    <w:charset w:val="86"/>
    <w:family w:val="auto"/>
    <w:pitch w:val="default"/>
    <w:sig w:usb0="00000000" w:usb1="00000000" w:usb2="00000000" w:usb3="00000000" w:csb0="00040000" w:csb1="00000000"/>
  </w:font>
  <w:font w:name="Songti SC Bold">
    <w:altName w:val="宋体"/>
    <w:panose1 w:val="0201080004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214B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1791F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1791F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E43082"/>
    <w:multiLevelType w:val="singleLevel"/>
    <w:tmpl w:val="0AE43082"/>
    <w:lvl w:ilvl="0" w:tentative="0">
      <w:start w:val="1"/>
      <w:numFmt w:val="chineseCounting"/>
      <w:suff w:val="nothing"/>
      <w:lvlText w:val="第%1，"/>
      <w:lvlJc w:val="left"/>
      <w:rPr>
        <w:rFonts w:hint="eastAsia"/>
      </w:rPr>
    </w:lvl>
  </w:abstractNum>
  <w:abstractNum w:abstractNumId="1">
    <w:nsid w:val="2E2FDF2E"/>
    <w:multiLevelType w:val="singleLevel"/>
    <w:tmpl w:val="2E2FDF2E"/>
    <w:lvl w:ilvl="0" w:tentative="0">
      <w:start w:val="4"/>
      <w:numFmt w:val="chineseCounting"/>
      <w:suff w:val="nothing"/>
      <w:lvlText w:val="（%1）"/>
      <w:lvlJc w:val="left"/>
      <w:rPr>
        <w:rFonts w:hint="eastAsia"/>
      </w:rPr>
    </w:lvl>
  </w:abstractNum>
  <w:abstractNum w:abstractNumId="2">
    <w:nsid w:val="56358773"/>
    <w:multiLevelType w:val="singleLevel"/>
    <w:tmpl w:val="56358773"/>
    <w:lvl w:ilvl="0" w:tentative="0">
      <w:start w:val="4"/>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doNotDisplayPageBoundaries w:val="1"/>
  <w:embedSystemFonts/>
  <w:trackRevisions w:val="1"/>
  <w:documentProtection w:enforcement="0"/>
  <w:defaultTabStop w:val="720"/>
  <w:noPunctuationKerning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B3E"/>
    <w:rsid w:val="00A77B3E"/>
    <w:rsid w:val="00CA2A55"/>
    <w:rsid w:val="37B409D1"/>
    <w:rsid w:val="387E5A5D"/>
    <w:rsid w:val="3AFECAE3"/>
    <w:rsid w:val="3E3C1720"/>
    <w:rsid w:val="3ECD05CA"/>
    <w:rsid w:val="41D63C39"/>
    <w:rsid w:val="439E24A6"/>
    <w:rsid w:val="5151508A"/>
    <w:rsid w:val="5B3827EC"/>
    <w:rsid w:val="6282691A"/>
    <w:rsid w:val="72F9712A"/>
    <w:rsid w:val="74637049"/>
    <w:rsid w:val="769D2054"/>
    <w:rsid w:val="9FFEEF06"/>
    <w:rsid w:val="CF6C29A0"/>
    <w:rsid w:val="FFF6822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Pages>21</Pages>
  <Words>18037</Words>
  <Characters>18291</Characters>
  <Lines>1</Lines>
  <Paragraphs>1</Paragraphs>
  <TotalTime>2</TotalTime>
  <ScaleCrop>false</ScaleCrop>
  <LinksUpToDate>false</LinksUpToDate>
  <CharactersWithSpaces>18299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2026-04-22T04:40:00Z</dcterms:created>
  <dc:creator>Data</dc:creator>
  <cp:lastModifiedBy>兰玉荣</cp:lastModifiedBy>
  <dcterms:modified xsi:type="dcterms:W3CDTF">2026-04-24T04:53:22Z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27DB11674BAC31C001AEE76939CCED0B_43</vt:lpwstr>
  </property>
  <property fmtid="{D5CDD505-2E9C-101B-9397-08002B2CF9AE}" pid="4" name="KSOTemplateDocerSaveRecord">
    <vt:lpwstr>eyJoZGlkIjoiNDU4NGQ2YzAwNjg4NDc0NGM0Y2E5MzFlYjM1MWY5YmEiLCJ1c2VySWQiOiIxNjAxOTk2NzI4In0=</vt:lpwstr>
  </property>
</Properties>
</file>