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3BF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z w:val="24"/>
          <w:szCs w:val="24"/>
        </w:rPr>
        <w:t>聚焦本质，构建模型：小学数学模型意识培养的实践探索</w:t>
      </w:r>
    </w:p>
    <w:bookmarkEnd w:id="0"/>
    <w:p w14:paraId="620CC4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——以“植树问题”为例</w:t>
      </w:r>
    </w:p>
    <w:p w14:paraId="0926A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40" w:firstLineChars="200"/>
        <w:jc w:val="center"/>
        <w:textAlignment w:val="auto"/>
        <w:rPr>
          <w:rFonts w:hint="default" w:ascii="宋体" w:hAnsi="宋体" w:eastAsia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宋体"/>
          <w:color w:val="24292F"/>
          <w:kern w:val="0"/>
          <w:sz w:val="22"/>
        </w:rPr>
        <w:t>上海市民办盛大花园小学</w:t>
      </w:r>
      <w:r>
        <w:rPr>
          <w:rFonts w:hint="eastAsia" w:ascii="楷体" w:hAnsi="楷体" w:eastAsia="楷体" w:cs="宋体"/>
          <w:color w:val="24292F"/>
          <w:kern w:val="0"/>
          <w:sz w:val="22"/>
          <w:lang w:val="en-US" w:eastAsia="zh-CN"/>
        </w:rPr>
        <w:t xml:space="preserve">   殷越</w:t>
      </w:r>
      <w:r>
        <w:rPr>
          <w:rFonts w:hint="eastAsia" w:ascii="楷体" w:hAnsi="楷体" w:eastAsia="楷体" w:cs="宋体"/>
          <w:color w:val="24292F"/>
          <w:kern w:val="0"/>
          <w:sz w:val="22"/>
        </w:rPr>
        <w:t xml:space="preserve"> </w:t>
      </w:r>
      <w:r>
        <w:rPr>
          <w:rFonts w:ascii="楷体" w:hAnsi="楷体" w:eastAsia="楷体" w:cs="宋体"/>
          <w:color w:val="24292F"/>
          <w:kern w:val="0"/>
          <w:sz w:val="22"/>
        </w:rPr>
        <w:t xml:space="preserve"> </w:t>
      </w:r>
      <w:r>
        <w:rPr>
          <w:rFonts w:hint="eastAsia" w:ascii="楷体" w:hAnsi="楷体" w:eastAsia="楷体" w:cs="宋体"/>
          <w:color w:val="24292F"/>
          <w:kern w:val="0"/>
          <w:sz w:val="22"/>
        </w:rPr>
        <w:t xml:space="preserve"> </w:t>
      </w:r>
    </w:p>
    <w:p w14:paraId="0A0AEF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摘要：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“植树问题”作为数学教材中培养学生数学模型意识的典型课例，在引导学生学习建模方法、渗透模型思想、发展解决问题的能力方面具有重要作用。本文以“植树问题”的教学实践为着眼点，通过“数形结合”“以小见大”的思想，探索“数学模型构建”的方法，旨在更有效地培养学生的数学模型意识。</w:t>
      </w:r>
    </w:p>
    <w:p w14:paraId="2AF35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【关键词】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小学数学；模型构建；植树问题</w:t>
      </w:r>
    </w:p>
    <w:p w14:paraId="7E73F6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《植树问题》是沪教版三年级上册“整理与提高”单元“数学广场”中的内容。该板块的设置旨在超越单纯的知识传授，着重向学生渗透重要的数学思想与方法。它通过呈现诸如“剪纸带”、“植树”等源于现实生活的常见问题，引导学生从具体情境中观察、比较，进而发现其中蕴含的数学规律，并尝试从中抽取出具有普遍性的数学模型，最终运用这一模型去解决其他简单的实际问题。这一完整过程，旨在初步培养学生从现实问题中主动探索规律、并运用规律有效解决问题的意识和能力，为核心素养中的“模型意识”落地提供了具体载体。</w:t>
      </w:r>
    </w:p>
    <w:p w14:paraId="5C778E6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问题分析</w:t>
      </w:r>
    </w:p>
    <w:p w14:paraId="17A019AF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了更有效地开展教学，贯彻以学生为本的理念，促进学生的深度学习，笔者针对“植树问题”这一内容，从教师“教”与学生“学”两个层面进行了难点剖析。从教师“教”的层面看，植树问题类型多样，包括封闭路线与不封闭路线两大类，后者又包含“两侧都植树”、“只种一端”及“两侧都不植树”三种基本情况。每种情况下，“棵数”与“段数”（间隔数）的关系各不相同，构成了知识性难点。从学生“学”的层面看，主要困难在于对“棵数”为何有时“加1”、有时“减1”、有时“不加不减”的算理缺乏真正理解，以及在将模型方法迁移到“锯木头”、“上楼梯”等生活实际情境时存在障碍。</w:t>
      </w:r>
    </w:p>
    <w:p w14:paraId="63AF1B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为此，</w:t>
      </w:r>
      <w:r>
        <w:rPr>
          <w:rFonts w:hint="eastAsia" w:ascii="仿宋_GB2312" w:hAnsi="仿宋_GB2312" w:eastAsia="仿宋_GB2312" w:cs="仿宋_GB2312"/>
          <w:sz w:val="24"/>
          <w:szCs w:val="24"/>
        </w:rPr>
        <w:t>笔者的核心思考是：植树问题外在形式变化多端，但其内在的、不变的本质是“棵数”与“段数”之间基于“一一对应”原则所建立的关系。抓住这一对应关系，就抓住了解决问题的钥匙。那么，如何帮助学生穿越纷繁复杂的类型，直达这一数学本质呢？笔者在教学中聚焦于数学模型思想的渗透与“一一对应”思想的运用，致力于引导学生在自主探究中完成模型的构建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</w:p>
    <w:p w14:paraId="7BF8E3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二、 整体构建，厘清知识的本质及联系</w:t>
      </w:r>
    </w:p>
    <w:p w14:paraId="4B7B3F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《数学课程标准（2022年版）》指出：“改变过于注重以课时为单位的教学设计，推进单元整体教学设计，体现数学知识之间的内在逻辑关系，以及学习内容与核心素养表现的关联。” 单元整体教学设计要整体分析教学内容本质和学生认知规律，合理整合教学内容，分析主题-单元-课时的数学知识和核心素养主要表现，确定单元教学目标，并落实到教学活动各个环节，整体设计，分步实施，促进学生对数学教学内容的整体理解与把握，逐步培养学生的核心素养。可见，新课程标准强调要更加重视单元整体教学设计，将其有内在联系的、相邻的、具有相同主题的教学内容整合成一个整体，根据学生的认知规律进行巧妙构建，着力找到解决这一类问题的简捷方法和规律，让学生在理解新知的同时，建构知识之间的联系，获得更为系统的、合理的结构性知识，促进学生核心素养的有效发展。</w:t>
      </w:r>
    </w:p>
    <w:p w14:paraId="1BDAE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沪教版三年级上册整理与提高“数学广场——植树问题”，教材安排了2个例题。例题1安排了两个不同的教学情境，其一是“剪纸带”，通过探究“次数”与“段数”间的规律，初步感受“间隔数”与“间隔物体”间的关系；其二是探究道路一边“两端都种”的线段型植树问题，是植树问题的基本模型。例题2是在掌握了植树问题的基本模型的基础上，运用“段数”、“总长”、“段长”之间的数量关系，解决一些简单的植树问题。从例题1的安排来看，从情境和现象中观察，发现规律，提取数学模型的过程，是符合学生的认知规律的。但最基本的模型，不能满足解决各类植树问题的需求。线段型植树问题包含三种类型，除了“两端都种”，“只种一端”、“两端都不种”这两个类型也应该放在一节课内，因此在设计探究植树问题的过程中，笔者让学生摆出所有的植树情况，这样进行整体构建，让学生在相互比较中厘清线段型植树问题三种类型的异同，更好地领会这三种类型之间的联系与区别。不仅可以节省教学时间，而且能促进学生对知识的整体构建，建立结构化的知识网络。</w:t>
      </w:r>
    </w:p>
    <w:p w14:paraId="5B7AE8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三、 构建模型，在抽象和归纳中提炼数学模型</w:t>
      </w:r>
    </w:p>
    <w:p w14:paraId="2B3D6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本节课的教学重点与难点就是帮助学生构建模型，而模型的构建不是一蹴而就的，需要“搭建扶手”。</w:t>
      </w:r>
    </w:p>
    <w:p w14:paraId="04CF5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1. 借助“几何直观”，初步感受“数学模型”</w:t>
      </w:r>
    </w:p>
    <w:p w14:paraId="6AF06F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植树问题的教学最能体现“以简驭繁”思想的是一个结构简单，但极具典型性的模型“五指四空”。只要伸出手，植树问题棵数与段数（间隔数）的关系的种种变化都能一一演示。一只手就能将抽象的数学模型表现得简约、形象而又具典型性，这个例子充分体现了，从简单情况入手找出规律，并推而广之的思想，是数学解决问题的常用思想方法。</w:t>
      </w:r>
    </w:p>
    <w:p w14:paraId="4485A1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202690" cy="1215390"/>
            <wp:effectExtent l="0" t="0" r="16510" b="3810"/>
            <wp:docPr id="2" name="图片2" descr="metapro添加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" descr="metapro添加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269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473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例如，可以形象地展示两端都种、只种一端、两端都不种等情况 。</w:t>
      </w:r>
    </w:p>
    <w:p w14:paraId="1E1D49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346200" cy="1085850"/>
            <wp:effectExtent l="0" t="0" r="0" b="6350"/>
            <wp:docPr id="3" name="图片3" descr="metapro添加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" descr="metapro添加图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58F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本节课借“一刀两段”的猜谜，提出数学问题，借助“画图”，探究次数与段数间的联系，在“画-找-推”的过程中，探索规律，寻找数学模型 。</w:t>
      </w:r>
    </w:p>
    <w:p w14:paraId="7BA270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2446020" cy="1758315"/>
            <wp:effectExtent l="0" t="0" r="17780" b="19685"/>
            <wp:docPr id="4" name="图片4" descr="metapro添加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4" descr="metapro添加图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0B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在此基础上出示例题，启发学生以小见大，就显得水到渠成。从图示、类推，简洁而明快的铺垫为本科的探究活动提供一种支架，“数形结合”“以简驭繁”的数学思想方法得到了淋漓尽致地体现，并为学生后续的学习活动所采用。</w:t>
      </w:r>
    </w:p>
    <w:p w14:paraId="3B5C67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2. 自主探究，构建模型</w:t>
      </w:r>
    </w:p>
    <w:p w14:paraId="476FB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（1）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初步解决问题，迁移“以小见大”的数学思想</w:t>
      </w:r>
    </w:p>
    <w:p w14:paraId="187D72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在解决“在全长200米的小路一边植树，每隔5米种一棵树，共需种多少棵？”这一问题中，学生会遇到“段数数量太多”、“作图繁复”、“不方便观察规律”等问题，以此引导学生，将总长变小，变成“一条20米的小路，每5米种一棵树，共需要几棵树？”从简单的问题入手，化繁为简。</w:t>
      </w:r>
    </w:p>
    <w:p w14:paraId="1B02F4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（2）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通过几何直观，感受“植树问题”模型</w:t>
      </w:r>
    </w:p>
    <w:p w14:paraId="306689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根据5米5米5米5米这一线段图，请学生根据自己的猜想，尝试画一画有哪些植树情况，并在黑板上板演。植树问题的三种情况不是在教师的引导下发现的，而是创设学生间相互交流的时间与空间，让学生在交流中将想到的几种情况分别画出来。教学中，教师充分引导学生将多个作品适当分类，使其为后面的研究模型提供很好的教学资源。</w:t>
      </w:r>
    </w:p>
    <w:p w14:paraId="58830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（3）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渗透对应关系，构建点段模型</w:t>
      </w:r>
    </w:p>
    <w:p w14:paraId="46A823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根据分类出的三种情况，学生会发现三种情况的“棵数”都是不同的，但如何引导学生观察出三种情况的相同点，不妨让他们尝试用算式将“棵数”表示出来。在“</w:t>
      </w:r>
      <m:oMath>
        <m:r>
          <m:rPr/>
          <w:rPr>
            <w:rFonts w:hint="eastAsia" w:ascii="DejaVu Math TeX Gyre" w:hAnsi="DejaVu Math TeX Gyre" w:eastAsia="仿宋_GB2312" w:cs="仿宋_GB2312"/>
            <w:sz w:val="24"/>
            <w:szCs w:val="24"/>
          </w:rPr>
          <m:t>20÷5+1=5</m:t>
        </m:r>
      </m:oMath>
      <w:r>
        <w:rPr>
          <w:rFonts w:hint="eastAsia" w:ascii="仿宋_GB2312" w:hAnsi="仿宋_GB2312" w:eastAsia="仿宋_GB2312" w:cs="仿宋_GB2312"/>
          <w:sz w:val="24"/>
          <w:szCs w:val="24"/>
        </w:rPr>
        <w:t>（棵）”、“</w:t>
      </w:r>
      <m:oMath>
        <m:r>
          <m:rPr/>
          <w:rPr>
            <w:rFonts w:hint="eastAsia" w:ascii="DejaVu Math TeX Gyre" w:hAnsi="DejaVu Math TeX Gyre" w:eastAsia="仿宋_GB2312" w:cs="仿宋_GB2312"/>
            <w:sz w:val="24"/>
            <w:szCs w:val="24"/>
          </w:rPr>
          <m:t>20÷5=4</m:t>
        </m:r>
      </m:oMath>
      <w:r>
        <w:rPr>
          <w:rFonts w:hint="eastAsia" w:ascii="仿宋_GB2312" w:hAnsi="仿宋_GB2312" w:eastAsia="仿宋_GB2312" w:cs="仿宋_GB2312"/>
          <w:sz w:val="24"/>
          <w:szCs w:val="24"/>
        </w:rPr>
        <w:t>（棵）”、“</w:t>
      </w:r>
      <m:oMath>
        <m:r>
          <m:rPr/>
          <w:rPr>
            <w:rFonts w:hint="eastAsia" w:ascii="DejaVu Math TeX Gyre" w:hAnsi="DejaVu Math TeX Gyre" w:eastAsia="仿宋_GB2312" w:cs="仿宋_GB2312"/>
            <w:sz w:val="24"/>
            <w:szCs w:val="24"/>
          </w:rPr>
          <m:t>20÷5−1=3</m:t>
        </m:r>
      </m:oMath>
      <w:r>
        <w:rPr>
          <w:rFonts w:hint="eastAsia" w:ascii="仿宋_GB2312" w:hAnsi="仿宋_GB2312" w:eastAsia="仿宋_GB2312" w:cs="仿宋_GB2312"/>
          <w:sz w:val="24"/>
          <w:szCs w:val="24"/>
        </w:rPr>
        <w:t>（棵）”三个式子中感受相同点，即“</w:t>
      </w:r>
      <m:oMath>
        <m:r>
          <m:rPr/>
          <w:rPr>
            <w:rFonts w:hint="eastAsia" w:ascii="DejaVu Math TeX Gyre" w:hAnsi="DejaVu Math TeX Gyre" w:eastAsia="仿宋_GB2312" w:cs="仿宋_GB2312"/>
            <w:sz w:val="24"/>
            <w:szCs w:val="24"/>
          </w:rPr>
          <m:t>20÷5</m:t>
        </m:r>
      </m:oMath>
      <w:r>
        <w:rPr>
          <w:rFonts w:hint="eastAsia" w:ascii="仿宋_GB2312" w:hAnsi="仿宋_GB2312" w:eastAsia="仿宋_GB2312" w:cs="仿宋_GB2312"/>
          <w:sz w:val="24"/>
          <w:szCs w:val="24"/>
        </w:rPr>
        <w:t>”表示的具体含义，是“段数”而不是“棵数”，三种情况中“段数”都是相同的。然后与“</w:t>
      </w:r>
      <m:oMath>
        <m:r>
          <m:rPr/>
          <w:rPr>
            <w:rFonts w:hint="eastAsia" w:ascii="DejaVu Math TeX Gyre" w:hAnsi="DejaVu Math TeX Gyre" w:eastAsia="仿宋_GB2312" w:cs="仿宋_GB2312"/>
            <w:sz w:val="24"/>
            <w:szCs w:val="24"/>
          </w:rPr>
          <m:t>20÷5=4</m:t>
        </m:r>
      </m:oMath>
      <w:r>
        <w:rPr>
          <w:rFonts w:hint="eastAsia" w:ascii="仿宋_GB2312" w:hAnsi="仿宋_GB2312" w:eastAsia="仿宋_GB2312" w:cs="仿宋_GB2312"/>
          <w:sz w:val="24"/>
          <w:szCs w:val="24"/>
        </w:rPr>
        <w:t>（棵）”建立关联，思考“段数”是如何转化为“棵数”的。以此为突破点，联想到“一一对应”，借助直观图示，聚焦“棵数”与“段数”一一对应的关系，即点段之间的一一对应关系，初步帮助学生建立起点段的模型。</w:t>
      </w:r>
    </w:p>
    <w:p w14:paraId="5EB9B35A">
      <w:pPr>
        <w:keepNext w:val="0"/>
        <w:keepLines w:val="0"/>
        <w:pageBreakBefore w:val="0"/>
        <w:widowControl/>
        <w:numPr>
          <w:ilvl w:val="-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只种一端时，棵数与段数正好一一对应，所以棵数=段数；</w:t>
      </w:r>
    </w:p>
    <w:p w14:paraId="71255549">
      <w:pPr>
        <w:keepNext w:val="0"/>
        <w:keepLines w:val="0"/>
        <w:pageBreakBefore w:val="0"/>
        <w:widowControl/>
        <w:numPr>
          <w:ilvl w:val="-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两端都种时，棵数与段数一一对应后多出1棵，所以棵数=段数+1；</w:t>
      </w:r>
    </w:p>
    <w:p w14:paraId="70493AF9">
      <w:pPr>
        <w:keepNext w:val="0"/>
        <w:keepLines w:val="0"/>
        <w:pageBreakBefore w:val="0"/>
        <w:widowControl/>
        <w:numPr>
          <w:ilvl w:val="-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两端都不种时，棵数与段数一一对应后多出1段，所以棵数=段数-1。</w:t>
      </w:r>
    </w:p>
    <w:p w14:paraId="636F2B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从只种一端入手，运用“一一对应”的方法，研究另外两种植树情况，深入理解“棵数”多1和少1的实质，说明了加1、减1和不加不减的算理。最后再用两组不同的米数进行“规律”的验证，发现在不同的米数中，“棵数”和“段数”都存在这样的关系，将点段模型上升为关系模型，形成结构性认识。</w:t>
      </w:r>
    </w:p>
    <w:p w14:paraId="2D038D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（4）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理解运用，解决问题</w:t>
      </w:r>
    </w:p>
    <w:p w14:paraId="40D199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在解决了“一条20米的小路，每5米种一棵树，共需要几棵树？”这一问题后，学生发现，植树问题首先要弄清种树的类型，再计算种的棵数。以此为根据，将总长变大，“在全长200米的小路一边植树，每隔5米种一棵，最多（最少）种几棵？”学生此时能够发现在20米的路上种树和在200米的路上种树，方法是一样的。只要想清楚种树的类型，就能根据植树问题中的数量关系，解决问题。</w:t>
      </w:r>
    </w:p>
    <w:p w14:paraId="0A0D7C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四、 基于问题链，深入理解模型思想</w:t>
      </w:r>
    </w:p>
    <w:p w14:paraId="5E9B8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认识需要在“实践、认识，再实践、再认识”的螺旋式上升过程中形成并发展。所以在“实践应用”的环节，笔者创设不同的生活情境，组成问题链，让学生在通过数学模型解决问题的过程中，通过迁移类推，进一步深入理解和掌握数学模型，感受数学模型的普适性和应用价值 。</w:t>
      </w:r>
    </w:p>
    <w:p w14:paraId="21EACC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3390265" cy="1547495"/>
            <wp:effectExtent l="0" t="0" r="13335" b="1905"/>
            <wp:docPr id="5" name="图片5" descr="metapro添加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5" descr="metapro添加图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94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学生掌握了基本的植树问题模型，并能进行简单运用。在此基础上，要引发学生更深入的思考，生活中除了“真”的树，还有“假”的树，什么是“假”的树，又是怎样种“树”的，通过这些思考，使学生感受到虽然情境不同，但其实和植树模型的结构是一样的，都可以归结为同一个数学模型。</w:t>
      </w:r>
    </w:p>
    <w:p w14:paraId="63A459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除了“看得见的树”，学生需要接触更多元的问题情境，来打开思路，因此笔者设计了“锯木头”、“敲钟”，通过这些“看不见的树”，能进一步巩固学生对植树问题模型的理解，让学生从这些情境中高度凝炼和抽象出植树问题模型的本质，让学生感受到数学模型可以用来解决一类问题，并能够认识到现实生活中大量的问题都与数学有关，有意识地用数学的概念与方法予以解释。</w:t>
      </w:r>
    </w:p>
    <w:p w14:paraId="2AD3B3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结语</w:t>
      </w:r>
    </w:p>
    <w:p w14:paraId="72C603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综上所述，“植树问题”这一课在整体建构的框架下，以丰富的生活情境为素材，在“画-找-推”的学习活动中，构建数学模型，感悟“以小见大”、“化繁为简”的数学思想，从简单到复杂，从观察到践行，学生不仅经历了建模的过程，还掌握了建模的方法，丰富了数学建模的经验，促进学生核心素养的有效发展。</w:t>
      </w:r>
    </w:p>
    <w:p w14:paraId="6F9F1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学生学习“植树问题”，还能将点段模型迁移拓展到其他内容，如“等差数列”，许多学生在学习过程中机械记忆“求末项”“求项数”“求公差”的关系式，但时间长久了，就容易遗忘。其实教师在进行教学设计时，应该将其和“植树问题”中的数学模型进行联系，“项”对应了“树”，“项数”对应了“棵数”，“公差”对应了“段”，把等差数列想象成“植树问题”中“两端都种”的情况，学生就能根据“点”和“段”的基本模型，理解几个关系式的意义，从“理解”走向“记忆”，即使记忆走向了遗忘，但依然能从模型中推理出关系式。学生也在学习的过程中，进一步感受到数学模型的普适性。</w:t>
      </w:r>
    </w:p>
    <w:p w14:paraId="391DE6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数学模型的构建的重要性，笔者认为不完全在于关系式的推理和应用，“植树问题”在“数学广场”中设置的本意，更多是注重“过程”“方法”方面的目标达成，对“关系式”的记忆和应用是摆在其次的，教学“植树问题”的目的也不是让学生熟练应用关系式去解决植树问题的各种变式，随着时间推移，关系式会遗忘，数学的专用名词也会从记忆中流逝，但“五指四空”的直观模型和“以小见大”“数形结合”的思想方法却能始终保存在脑海中 。</w:t>
      </w:r>
    </w:p>
    <w:p w14:paraId="7BF768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C6175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参考文献：</w:t>
      </w:r>
    </w:p>
    <w:p w14:paraId="5E0048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 中华人民共和国教育部.义务教育数学课程标准（2022年版）[M]. 北京：北京师范大学出版社，2022.</w:t>
      </w:r>
    </w:p>
    <w:p w14:paraId="6D6F1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 曹培英，张晓芸.跨越断层，走出误区——小学数学问题解决教学研究 [M]. 上海：上海教育出版社.</w:t>
      </w:r>
    </w:p>
    <w:p w14:paraId="4B4AF2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[3] 耿照洪.小学数学教学中的模型教学意义与对策——以“植树问题”为例 [J]. 教学管理与教育研究，2024(24): 90-92.</w:t>
      </w:r>
    </w:p>
    <w:p w14:paraId="415FB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[4] 罗萍萍.小学数学教学中数学模型的建构策略 [J]. 教书育人：教师新概念，2015(2): 65.</w:t>
      </w:r>
    </w:p>
    <w:p w14:paraId="115D6A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[5] 陈蕾.渗透模型思想的教学策略:以小学数学为例 [J]. 上海教育科研，2018(10): 93-96.</w:t>
      </w:r>
    </w:p>
    <w:p w14:paraId="1AF5E8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[6] 李静.以“数学广角”为载体，培养学生数学思想方法 [J]. 数学大世界(上旬), 2024(3): 62-64.</w:t>
      </w:r>
    </w:p>
    <w:p w14:paraId="151D8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[7] 耿照洪.小学数学教学中的模型教学意义与对策——以“植树问题”为例 [J]. 教学管理与教育研究，2024(24): 90-92.</w:t>
      </w:r>
    </w:p>
    <w:p w14:paraId="6D0F48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S Mincho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545A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724D1A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APpTLH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24D1A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8BCF6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FF0B3C"/>
    <w:multiLevelType w:val="singleLevel"/>
    <w:tmpl w:val="B3FF0B3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F7ED84"/>
    <w:multiLevelType w:val="multilevel"/>
    <w:tmpl w:val="EFF7ED84"/>
    <w:lvl w:ilvl="0" w:tentative="0">
      <w:start w:val="1"/>
      <w:numFmt w:val="bullet"/>
      <w:suff w:val="nothing"/>
      <w:lvlText w:val=""/>
      <w:lvlJc w:val="left"/>
      <w:rPr>
        <w:rFonts w:hint="default" w:ascii="Wingdings" w:hAnsi="Wingdings"/>
      </w:rPr>
    </w:lvl>
    <w:lvl w:ilvl="1" w:tentative="0">
      <w:start w:val="1"/>
      <w:numFmt w:val="bullet"/>
      <w:suff w:val="nothing"/>
      <w:lvlText w:val=""/>
      <w:lvlJc w:val="left"/>
      <w:pPr>
        <w:ind w:left="210"/>
      </w:pPr>
      <w:rPr>
        <w:rFonts w:hint="default" w:ascii="Wingdings" w:hAnsi="Wingdings"/>
      </w:rPr>
    </w:lvl>
    <w:lvl w:ilvl="2" w:tentative="0">
      <w:start w:val="1"/>
      <w:numFmt w:val="bullet"/>
      <w:suff w:val="nothing"/>
      <w:lvlText w:val=""/>
      <w:lvlJc w:val="left"/>
      <w:pPr>
        <w:ind w:left="420"/>
      </w:pPr>
      <w:rPr>
        <w:rFonts w:hint="default" w:ascii="Wingdings" w:hAnsi="Wingdings"/>
      </w:rPr>
    </w:lvl>
    <w:lvl w:ilvl="3" w:tentative="0">
      <w:start w:val="1"/>
      <w:numFmt w:val="bullet"/>
      <w:suff w:val="nothing"/>
      <w:lvlText w:val=""/>
      <w:lvlJc w:val="left"/>
      <w:pPr>
        <w:ind w:left="630"/>
      </w:pPr>
      <w:rPr>
        <w:rFonts w:hint="default" w:ascii="Wingdings" w:hAnsi="Wingdings"/>
      </w:rPr>
    </w:lvl>
    <w:lvl w:ilvl="4" w:tentative="0">
      <w:start w:val="1"/>
      <w:numFmt w:val="bullet"/>
      <w:suff w:val="nothing"/>
      <w:lvlText w:val=""/>
      <w:lvlJc w:val="left"/>
      <w:pPr>
        <w:ind w:left="840"/>
      </w:pPr>
      <w:rPr>
        <w:rFonts w:hint="default" w:ascii="Wingdings" w:hAnsi="Wingdings"/>
      </w:rPr>
    </w:lvl>
    <w:lvl w:ilvl="5" w:tentative="0">
      <w:start w:val="1"/>
      <w:numFmt w:val="bullet"/>
      <w:suff w:val="nothing"/>
      <w:lvlText w:val=""/>
      <w:lvlJc w:val="left"/>
      <w:pPr>
        <w:ind w:left="1050"/>
      </w:pPr>
      <w:rPr>
        <w:rFonts w:hint="default" w:ascii="Wingdings" w:hAnsi="Wingdings"/>
      </w:rPr>
    </w:lvl>
    <w:lvl w:ilvl="6" w:tentative="0">
      <w:start w:val="1"/>
      <w:numFmt w:val="bullet"/>
      <w:suff w:val="nothing"/>
      <w:lvlText w:val=""/>
      <w:lvlJc w:val="left"/>
      <w:pPr>
        <w:ind w:left="1260"/>
      </w:pPr>
      <w:rPr>
        <w:rFonts w:hint="default" w:ascii="Wingdings" w:hAnsi="Wingdings"/>
      </w:rPr>
    </w:lvl>
    <w:lvl w:ilvl="7" w:tentative="0">
      <w:start w:val="1"/>
      <w:numFmt w:val="bullet"/>
      <w:suff w:val="nothing"/>
      <w:lvlText w:val=""/>
      <w:lvlJc w:val="left"/>
      <w:pPr>
        <w:ind w:left="1470"/>
      </w:pPr>
      <w:rPr>
        <w:rFonts w:hint="default" w:ascii="Wingdings" w:hAnsi="Wingdings"/>
      </w:rPr>
    </w:lvl>
    <w:lvl w:ilvl="8" w:tentative="0">
      <w:start w:val="1"/>
      <w:numFmt w:val="bullet"/>
      <w:suff w:val="nothing"/>
      <w:lvlText w:val=""/>
      <w:lvlJc w:val="left"/>
      <w:pPr>
        <w:ind w:left="16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9"/>
  <w:documentProtection w:enforcement="0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CFDB9543"/>
    <w:rsid w:val="FB9B45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8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7"/>
    <w:unhideWhenUsed/>
    <w:uiPriority w:val="99"/>
    <w:pPr>
      <w:tabs>
        <w:tab w:val="center" w:pos="4680"/>
        <w:tab w:val="right" w:pos="9360"/>
      </w:tabs>
    </w:pPr>
  </w:style>
  <w:style w:type="paragraph" w:styleId="10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1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13">
    <w:name w:val="Table Grid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mphasis"/>
    <w:basedOn w:val="14"/>
    <w:qFormat/>
    <w:uiPriority w:val="20"/>
    <w:rPr>
      <w:i/>
      <w:iCs/>
    </w:rPr>
  </w:style>
  <w:style w:type="character" w:styleId="16">
    <w:name w:val="Hyperlink"/>
    <w:basedOn w:val="14"/>
    <w:unhideWhenUsed/>
    <w:uiPriority w:val="99"/>
    <w:rPr>
      <w:color w:val="0000FF" w:themeColor="hyperlink"/>
      <w:u w:val="single"/>
    </w:rPr>
  </w:style>
  <w:style w:type="character" w:customStyle="1" w:styleId="17">
    <w:name w:val="Header Char"/>
    <w:basedOn w:val="14"/>
    <w:link w:val="9"/>
    <w:uiPriority w:val="99"/>
  </w:style>
  <w:style w:type="character" w:customStyle="1" w:styleId="18">
    <w:name w:val="Heading 1 Char"/>
    <w:basedOn w:val="1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Heading 2 Char"/>
    <w:basedOn w:val="1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Heading 3 Char"/>
    <w:basedOn w:val="1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Heading 4 Char"/>
    <w:basedOn w:val="14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Subtitle Char"/>
    <w:basedOn w:val="14"/>
    <w:link w:val="10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Title Char"/>
    <w:basedOn w:val="14"/>
    <w:link w:val="11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TotalTime>1</TotalTime>
  <ScaleCrop>false</ScaleCrop>
  <LinksUpToDate>false</LinksUpToDate>
  <Application>WPS Office_12.1.21861.21861_F1E327BC-269C-435d-A152-05C5408002CA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2026-04-22T18:03:57Z</dcterms:created>
  <dc:creator>Data</dc:creator>
  <cp:lastModifiedBy>杨姣平</cp:lastModifiedBy>
  <dcterms:modified xsi:type="dcterms:W3CDTF">2026-04-22T18:21:07Z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001191310115MA1H9U6C1800000","Label":"1","ReservedCode1":"8a9eddda826899023748e8178676d1f5","ProduceID":"Metasota_docx_69afc741331d0fa130de5e18_1_9faffbc3-659c-4f6c-8097-dafcc4567215","ReservedCode2":"8a9eddda826899023748e8178676d1f5","PropagateID":"Metasota_docx_69afc741331d0fa130de5e18_1_9faffbc3-659c-4f6c-8097-dafcc4567215","ContentProducer":"001191310115MA1H9U6C1800000"}</vt:lpwstr>
  </property>
  <property fmtid="{D5CDD505-2E9C-101B-9397-08002B2CF9AE}" pid="3" name="KSOProductBuildVer">
    <vt:lpwstr>2052-12.1.21861.21861</vt:lpwstr>
  </property>
  <property fmtid="{D5CDD505-2E9C-101B-9397-08002B2CF9AE}" pid="4" name="ICV">
    <vt:lpwstr>81EF106E1C3729D913A1E869101B0519_43</vt:lpwstr>
  </property>
</Properties>
</file>