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38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基于审美能力培养的小学中高年级写作教学模式建构与实践研究</w:t>
      </w:r>
    </w:p>
    <w:p w14:paraId="2513F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陈茗</w:t>
      </w:r>
    </w:p>
    <w:p w14:paraId="1C066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（上海市民办盛大花园小学）</w:t>
      </w:r>
    </w:p>
    <w:p w14:paraId="722C25D1">
      <w:pPr>
        <w:numPr>
          <w:ilvl w:val="0"/>
          <w:numId w:val="1"/>
        </w:numPr>
        <w:spacing w:line="360" w:lineRule="auto"/>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写作教学中的时代诉求</w:t>
      </w:r>
      <w:r>
        <w:rPr>
          <w:rFonts w:hint="eastAsia" w:ascii="仿宋_GB2312" w:hAnsi="仿宋_GB2312" w:eastAsia="仿宋_GB2312" w:cs="仿宋_GB2312"/>
          <w:b/>
          <w:sz w:val="24"/>
          <w:szCs w:val="24"/>
          <w:lang w:val="en-US" w:eastAsia="zh-CN"/>
        </w:rPr>
        <w:t>与</w:t>
      </w:r>
      <w:r>
        <w:rPr>
          <w:rFonts w:hint="eastAsia" w:ascii="仿宋_GB2312" w:hAnsi="仿宋_GB2312" w:eastAsia="仿宋_GB2312" w:cs="仿宋_GB2312"/>
          <w:b/>
          <w:sz w:val="24"/>
          <w:szCs w:val="24"/>
        </w:rPr>
        <w:t>审美困境</w:t>
      </w:r>
    </w:p>
    <w:p w14:paraId="04BD251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在核心素养导向的新时代教育背景下，审美素养被确立为语文课程核心素养的重要内容。《义务教育语文课程标准（2022年版）》明确要求语文教育应致力于培养学生的审美感知、审美鉴赏及审美创造能力。写作教学不仅是语言表达的高阶技能训练，更是学生实现从“感受美”到“创造美”的重要载体。</w:t>
      </w:r>
    </w:p>
    <w:p w14:paraId="044DC8BD">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然而，当前的写作教学实践中，师生均面临着严峻挑战。具体表现为两大主要困境。</w:t>
      </w:r>
    </w:p>
    <w:p w14:paraId="3DCBF2E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一是学生主体的“体验性不足”与“表达性困难”。学生由于生活经验有限且缺乏系统的观察记录习惯，常因素材匮乏导致表达单一、立意较浅，甚至畏惧写作。更深层的问题在于，由于未能建立起生活、情感与语言之间的有效联结，学生难以从日常经验中捕捉美的瞬间，写作因而失去了内在的情感驱动力与表达欲望，沦为一项令人惧怕的机械任务。</w:t>
      </w:r>
    </w:p>
    <w:p w14:paraId="344C782F">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二是教师指导的“技术性偏颇”与“美育性遮蔽”。部分教师对语文学科的审美特性认知不足，在写作指导中过度传授程式化的写作技巧，缺乏对学生审美体验的有效引导与激活。这种忽视审美体验唤醒的方式，使得写作沦为机械任务，学生难以体会到写作的内在美感与表达乐趣。</w:t>
      </w:r>
    </w:p>
    <w:p w14:paraId="008F55F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因此，如何超越单纯的技术训练，将审美教育深度融入写作教学，探索一条以审美能力发展赋能写作教学，又以写作实践反哺审美素养提升的协同发展路径，成为当前语文教学改革中的重要课题。本研究正是基于此背景，试图构建一套系统可操作的教学模式，以回应时代对语文教育“以文化人、以美育人”的深切呼唤。</w:t>
      </w:r>
    </w:p>
    <w:p w14:paraId="11DCCEF1">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二、审美能力的内涵界定与教学模式的理论构建</w:t>
      </w:r>
    </w:p>
    <w:p w14:paraId="3AD2E31C">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要构建以审美能力培养为导向的写作教学模式，首先必须对“审美能力”在儿童写作学习语境下的内涵进行操作性界定，并寻求坚实的理论支撑。</w:t>
      </w:r>
    </w:p>
    <w:p w14:paraId="2F3B0A6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本研究认为，小学生的写作审美能力是贯穿于写作全过程的一种综合性心理素质与实践能力。具体可分解为四个相互关联、逐层递进的维度：</w:t>
      </w:r>
      <w:r>
        <w:rPr>
          <w:rFonts w:hint="eastAsia" w:ascii="仿宋_GB2312" w:hAnsi="仿宋_GB2312" w:eastAsia="仿宋_GB2312" w:cs="仿宋_GB2312"/>
          <w:b/>
          <w:sz w:val="24"/>
          <w:szCs w:val="24"/>
        </w:rPr>
        <w:t>审美感知、审美情感、审美判断与审美创造</w:t>
      </w: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审美感知</w:t>
      </w:r>
      <w:r>
        <w:rPr>
          <w:rFonts w:hint="eastAsia" w:ascii="仿宋_GB2312" w:hAnsi="仿宋_GB2312" w:eastAsia="仿宋_GB2312" w:cs="仿宋_GB2312"/>
          <w:sz w:val="24"/>
          <w:szCs w:val="24"/>
        </w:rPr>
        <w:t>是起点，指学生对语言文字形式美、自然与社会意象美、生活细节美的敏锐捕捉与直觉把握能力；</w:t>
      </w:r>
      <w:r>
        <w:rPr>
          <w:rFonts w:hint="eastAsia" w:ascii="仿宋_GB2312" w:hAnsi="仿宋_GB2312" w:eastAsia="仿宋_GB2312" w:cs="仿宋_GB2312"/>
          <w:b/>
          <w:sz w:val="24"/>
          <w:szCs w:val="24"/>
        </w:rPr>
        <w:t>审美情感</w:t>
      </w:r>
      <w:r>
        <w:rPr>
          <w:rFonts w:hint="eastAsia" w:ascii="仿宋_GB2312" w:hAnsi="仿宋_GB2312" w:eastAsia="仿宋_GB2312" w:cs="仿宋_GB2312"/>
          <w:sz w:val="24"/>
          <w:szCs w:val="24"/>
        </w:rPr>
        <w:t>是内核与动力，指学生在审美对象激发下产生的内在情感体验、共鸣与移情；</w:t>
      </w:r>
      <w:r>
        <w:rPr>
          <w:rFonts w:hint="eastAsia" w:ascii="仿宋_GB2312" w:hAnsi="仿宋_GB2312" w:eastAsia="仿宋_GB2312" w:cs="仿宋_GB2312"/>
          <w:b/>
          <w:sz w:val="24"/>
          <w:szCs w:val="24"/>
        </w:rPr>
        <w:t>审美判断</w:t>
      </w:r>
      <w:r>
        <w:rPr>
          <w:rFonts w:hint="eastAsia" w:ascii="仿宋_GB2312" w:hAnsi="仿宋_GB2312" w:eastAsia="仿宋_GB2312" w:cs="仿宋_GB2312"/>
          <w:sz w:val="24"/>
          <w:szCs w:val="24"/>
        </w:rPr>
        <w:t>是深化环节，指学生在感知与情感基础上，对审美对象的意蕴、价值进行初步分析与评价的理性思维能力；</w:t>
      </w:r>
      <w:r>
        <w:rPr>
          <w:rFonts w:hint="eastAsia" w:ascii="仿宋_GB2312" w:hAnsi="仿宋_GB2312" w:eastAsia="仿宋_GB2312" w:cs="仿宋_GB2312"/>
          <w:b/>
          <w:sz w:val="24"/>
          <w:szCs w:val="24"/>
        </w:rPr>
        <w:t>审美创造</w:t>
      </w:r>
      <w:r>
        <w:rPr>
          <w:rFonts w:hint="eastAsia" w:ascii="仿宋_GB2312" w:hAnsi="仿宋_GB2312" w:eastAsia="仿宋_GB2312" w:cs="仿宋_GB2312"/>
          <w:sz w:val="24"/>
          <w:szCs w:val="24"/>
        </w:rPr>
        <w:t>则是最终输出与高阶体现，指学生调动前述全部审美经验，运用个性化语言文字进行表达与创新的能力。</w:t>
      </w:r>
    </w:p>
    <w:p w14:paraId="4ACCF60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这一界定，深深植根于中西美学理论。美国实用主义教育家约翰·杜威提出“艺术即经验”，认为最生动的艺术源于日常的、完整的经验，是“经验以最完整、最强烈、最清晰的形式呈现自身”。这启示我们，学生的写作之美，恰恰源于他们对生活经验的敏锐感知、情感投入与真诚表达。我国美学家朱光潜先生则强调，审美是“直觉”与“理念”的结合，是“无所为而为的玩索”。这提醒我们，在写作教学中，既要呵护学生面对美景、美文时的“直觉”感动，也要通过引导，将其与一定的“理念”如对生命、亲情、自然的理解相结合，从而走向更深沉的审美境界。</w:t>
      </w:r>
    </w:p>
    <w:p w14:paraId="2D18CFA1">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基于以上理论，本研究构建了“感受美—发现美—创造美—鉴赏美”的闭环教学模式。该模式并非四个环节的简单线性叠加，而是一个螺旋式上升的有机循环系统。“感受美”是输入与陶冶，重在通过阅读教学积累审美经验、淬炼审美眼光；“发现美”是迁移与储备，重在将审美眼光投向生活，建构个性化的情感素材库；“创造美”是转化与输出，重在通过搭建支架，将内在审美体验外化为文字作品；“鉴赏美”是反思与升华，重在通过评价与修改，提升对美的理性判断与表达能力。四个阶段环环相扣，对应审美能力的不同维度，共同推动学生的审美体验与写作能力在循环往复中不断向更高水平发展。</w:t>
      </w:r>
    </w:p>
    <w:p w14:paraId="67799C7D">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三、“四阶闭环”教学模式的实践路径与策略</w:t>
      </w:r>
    </w:p>
    <w:p w14:paraId="1CFED27D">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（一）深耕文本，在阅读教学中“感受美”——淬炼敏锐的审美感知力</w:t>
      </w:r>
    </w:p>
    <w:p w14:paraId="2824DB7E">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阅读是写作的基础，更是学生系统性获得审美经验、学习“美”如何被言说的主要场域。本阶段教学的关键在于，利用教材中文质兼美的典范篇章，引导学生进行多维度、沉浸式的审美体验，将文本中静态的语言符号，转化为学生心中动态的、可感的、富有情味的审美意象，从而练就一双能发现文字之美的“眼睛”。</w:t>
      </w:r>
    </w:p>
    <w:p w14:paraId="3AFCA84C">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 微观品鉴，夯实语言形式审美基础。</w:t>
      </w:r>
      <w:r>
        <w:rPr>
          <w:rFonts w:hint="eastAsia" w:ascii="仿宋_GB2312" w:hAnsi="仿宋_GB2312" w:eastAsia="仿宋_GB2312" w:cs="仿宋_GB2312"/>
          <w:sz w:val="24"/>
          <w:szCs w:val="24"/>
        </w:rPr>
        <w:t xml:space="preserve"> 语言是文学艺术的第一要素，其美感首先蕴藏于精妙的字词、独特的句式与和谐的韵律之中。教师应引导学生沉潜于文字深处，进行“微观”品鉴。例如，共同玩味《燕子》中“凑”字如何活画出小燕子机灵可爱的神韵；剖析《爬山虎的脚》中“巴、拉、贴”这一系列动词链条，如何精准而传神地演绎出植物生长的动态过程与坚韧的生命力量。此外，叠字叠词带来的音韵回环之美，比喻、拟人等修辞塑造的生动形象之美，乃至句式的长短错落、节奏的张弛变化，都应在具体的语境中被悉心体会。这种对语言形式的精细感知，是审美能力最基础的训练，它让学生理解，美的表达首先源于对每一个词语、每一种句式的精心选择与锤炼。</w:t>
      </w:r>
    </w:p>
    <w:p w14:paraId="471E47D6">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2.情境还原，构建情感与意象审美体验。</w:t>
      </w:r>
      <w:r>
        <w:rPr>
          <w:rFonts w:hint="eastAsia" w:ascii="仿宋_GB2312" w:hAnsi="仿宋_GB2312" w:eastAsia="仿宋_GB2312" w:cs="仿宋_GB2312"/>
          <w:sz w:val="24"/>
          <w:szCs w:val="24"/>
        </w:rPr>
        <w:t xml:space="preserve"> 审美不仅是认知，更是全身心的情感投入。教师需通过多种策略，帮助学生穿越文字，构建身临其境的审美体验。一是</w:t>
      </w:r>
      <w:r>
        <w:rPr>
          <w:rFonts w:hint="eastAsia" w:ascii="仿宋_GB2312" w:hAnsi="仿宋_GB2312" w:eastAsia="仿宋_GB2312" w:cs="仿宋_GB2312"/>
          <w:b/>
          <w:sz w:val="24"/>
          <w:szCs w:val="24"/>
        </w:rPr>
        <w:t>创设情境，唤醒感官</w:t>
      </w:r>
      <w:r>
        <w:rPr>
          <w:rFonts w:hint="eastAsia" w:ascii="仿宋_GB2312" w:hAnsi="仿宋_GB2312" w:eastAsia="仿宋_GB2312" w:cs="仿宋_GB2312"/>
          <w:sz w:val="24"/>
          <w:szCs w:val="24"/>
        </w:rPr>
        <w:t>。借助语言文字本身的画面感，引导学生调动视觉、听觉、触觉等多重感官进行想象。当学生能从“老麻雀像一块石头似的落在猎狗面前”这一描写中，“看到”那决绝的姿态，“感受到”那无畏的母爱冲击时，一次深刻的审美体验便已完成。对于学生缺乏直接经验的文本（如《观潮》中的磅礴景象），则可借助多媒体手段进行适度辅助，以弥补想象空白，深化情感共鸣。二是</w:t>
      </w:r>
      <w:r>
        <w:rPr>
          <w:rFonts w:hint="eastAsia" w:ascii="仿宋_GB2312" w:hAnsi="仿宋_GB2312" w:eastAsia="仿宋_GB2312" w:cs="仿宋_GB2312"/>
          <w:b/>
          <w:sz w:val="24"/>
          <w:szCs w:val="24"/>
        </w:rPr>
        <w:t>强化诵读，声入心通</w:t>
      </w:r>
      <w:r>
        <w:rPr>
          <w:rFonts w:hint="eastAsia" w:ascii="仿宋_GB2312" w:hAnsi="仿宋_GB2312" w:eastAsia="仿宋_GB2312" w:cs="仿宋_GB2312"/>
          <w:sz w:val="24"/>
          <w:szCs w:val="24"/>
        </w:rPr>
        <w:t>。感情充沛的诵读，是将视觉文字转化为听觉形象与内心视像的桥梁。教师应指导学生通过声音的抑扬顿挫、节奏的疾徐变化，传达文字背后的情感起伏。在反复的吟咏涵泳中，学生不仅能感受语言的韵律之美，更能让文本的意象与情感悄然浸润心田，实现“其言皆若出于吾之口，其意皆若出于吾之心”的化境。</w:t>
      </w:r>
    </w:p>
    <w:p w14:paraId="7471D70C">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3.形象剖析，提升主题与价值审美判断。</w:t>
      </w:r>
      <w:r>
        <w:rPr>
          <w:rFonts w:hint="eastAsia" w:ascii="仿宋_GB2312" w:hAnsi="仿宋_GB2312" w:eastAsia="仿宋_GB2312" w:cs="仿宋_GB2312"/>
          <w:sz w:val="24"/>
          <w:szCs w:val="24"/>
        </w:rPr>
        <w:t xml:space="preserve"> 审美教育负有情感熏陶与价值引导的使命。教材中丰富的人物形象与自然意象，是进行审美判断训练的绝佳材料。教师应引导学生超越表层的故事情节，深入剖析人物的内心世界、性格命运，在辨别善恶、品评优劣的过程中，激发对美好人格的向往之情。同时，通过对自然万物艺术化描绘的赏析（如《白鹭》的清丽脱俗），引导学生学会以审美的、而非纯功利的目光看待生活，发现平凡事物中蕴含的哲理与诗意，从而提升对生活本质美的判断力。</w:t>
      </w:r>
    </w:p>
    <w:p w14:paraId="0D8CDC97">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4.比较联读，初探多元审美风格。</w:t>
      </w:r>
      <w:r>
        <w:rPr>
          <w:rFonts w:hint="eastAsia" w:ascii="仿宋_GB2312" w:hAnsi="仿宋_GB2312" w:eastAsia="仿宋_GB2312" w:cs="仿宋_GB2312"/>
          <w:sz w:val="24"/>
          <w:szCs w:val="24"/>
        </w:rPr>
        <w:t xml:space="preserve"> 在深入品味单篇文本的基础上，应适时引入比较阅读，开阔学生的审美视野。例如，将《威尼斯的小艇》轻快灵动的笔调与《金字塔》庄严沉稳的叙述风格进行对比；品味《白鹅》中幽默反语与《猫》中诙谐轻松表达的不同效果。通过有意识的比较，让学生直观地感受到：美是丰富多彩的，或婉约或豪放，或质朴或华丽，从而初步感知不同的审美风格，为其在日后写作中尝试形成个性化的表达风格埋下种子。</w:t>
      </w:r>
    </w:p>
    <w:p w14:paraId="55B486AF">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（二）放眼生活，在真实世界中“发现美”——建构个性化审美素材库</w:t>
      </w:r>
    </w:p>
    <w:p w14:paraId="12FB287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阅读中学到的“审美眼光”，必须在广阔的生活天地中进行实践与迁移，才能转化为学生自己的“发现能力”。本阶段旨在引导学生做生活的有心人，将日常的、琐碎的生活经验，转化为充盈着情感温度与思想光泽的写作素材，从根本上解决“写什么”的问题。</w:t>
      </w:r>
    </w:p>
    <w:p w14:paraId="24CA2840">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1.多维观察，于平凡处捕获审美微光。</w:t>
      </w:r>
      <w:r>
        <w:rPr>
          <w:rFonts w:hint="eastAsia" w:ascii="仿宋_GB2312" w:hAnsi="仿宋_GB2312" w:eastAsia="仿宋_GB2312" w:cs="仿宋_GB2312"/>
          <w:sz w:val="24"/>
          <w:szCs w:val="24"/>
        </w:rPr>
        <w:t xml:space="preserve"> 教师需指导学生，将观察的镜头对准生活的各个角落，并学会为寻常画面注入情感与思考。</w:t>
      </w:r>
    </w:p>
    <w:p w14:paraId="2DC24070">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校园生活，于细微处见真情</w:t>
      </w:r>
      <w:r>
        <w:rPr>
          <w:rFonts w:hint="eastAsia" w:ascii="仿宋_GB2312" w:hAnsi="仿宋_GB2312" w:eastAsia="仿宋_GB2312" w:cs="仿宋_GB2312"/>
          <w:sz w:val="24"/>
          <w:szCs w:val="24"/>
        </w:rPr>
        <w:t>：除了运动会、艺术节等标志性事件，更应引导学生关注那些易被忽略的“微瞬间”：课堂上一次勇敢的举手、失败后同伴一个无声的拍肩、老师一句不经意的鼓励、校园里第一片泛黄的银杏叶……这些瞬间承载着最真实的情感波动与成长印记，是比宏大事件更珍贵、更独特的素材源泉。</w:t>
      </w:r>
    </w:p>
    <w:p w14:paraId="6353C8FE">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家庭生活，于琐碎中悟深爱</w:t>
      </w:r>
      <w:r>
        <w:rPr>
          <w:rFonts w:hint="eastAsia" w:ascii="仿宋_GB2312" w:hAnsi="仿宋_GB2312" w:eastAsia="仿宋_GB2312" w:cs="仿宋_GB2312"/>
          <w:sz w:val="24"/>
          <w:szCs w:val="24"/>
        </w:rPr>
        <w:t>：日复一日的家庭生活看似平淡，却流淌着最深沉的情感。引导学生品味清晨备好的早餐、深夜盖好的被角、家人间习惯性的叮咛，乃至一次小小的争吵与和解。学会从这些常态化的日常中，提炼出亲情特有的温暖、包容与力量，将烟火气升华为动人的文字。</w:t>
      </w:r>
    </w:p>
    <w:p w14:paraId="6602630C">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自然与社会，于广阔中汲养分</w:t>
      </w:r>
      <w:r>
        <w:rPr>
          <w:rFonts w:hint="eastAsia" w:ascii="仿宋_GB2312" w:hAnsi="仿宋_GB2312" w:eastAsia="仿宋_GB2312" w:cs="仿宋_GB2312"/>
          <w:sz w:val="24"/>
          <w:szCs w:val="24"/>
        </w:rPr>
        <w:t>：鼓励学生打开感官，沉浸于自然：观察四季更迭的色彩变幻，聆听雨打芭蕉的天籁，感受春风拂面的温柔。对于暴雨、大雪等极端天气，更应及时记录那种震撼的瞬时感受。同时，将目光投向社区与社会：记录志愿者风雨无阻的身影，思考节日里城市灯光背后的文化寓意，感叹科技给生活带来的便捷。这不仅能积累素材，更能培养学生的社会关怀与人文情怀。</w:t>
      </w:r>
    </w:p>
    <w:p w14:paraId="79CF7525">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2.工具赋能，实现素材的固化、整理与初加工。</w:t>
      </w:r>
      <w:r>
        <w:rPr>
          <w:rFonts w:hint="eastAsia" w:ascii="仿宋_GB2312" w:hAnsi="仿宋_GB2312" w:eastAsia="仿宋_GB2312" w:cs="仿宋_GB2312"/>
          <w:sz w:val="24"/>
          <w:szCs w:val="24"/>
        </w:rPr>
        <w:t xml:space="preserve"> 灵感与感动转瞬即逝，需要借助工具及时“定格”。鼓励学生建立个人“审美素材库”：在校可用便签、笔记本速记；课余则可充分利用智能手机，通过拍照、录音、简短文字相结合的方式，构建多元化的素材档案。更重要的是，要引导学生定期对素材进行“深加工”：回顾记录的内容，尝试用更具体、生动的语言描述那个瞬间，思考它为何打动自己，提炼其中的情感价值或思想火花。定期组织“我的最美瞬间”分享会，让学生口头描述素材，这既是对素材的再加工，也是极好的口语表达训练。通过系统训练，学生将逐渐拥有一座属于自己的、丰盈而独特的“美”的矿藏，写作时便能言之有物，情动于衷。</w:t>
      </w:r>
    </w:p>
    <w:p w14:paraId="745E3510">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（三）搭建支架，在写作过程中“创造美”——诱发并实现审美表达冲动</w:t>
      </w:r>
    </w:p>
    <w:p w14:paraId="374B5876">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当学生心中积累了丰富的审美体验与素材后，教学的关键便转向如何帮助其完成从“意”到“文”的创造性转化。本阶段的核心任务是，通过搭建适切的写作支架，将学生内在的审美冲动与积累的素材，顺畅地、个性化地外化为结构完整、表达生动的文字作品。</w:t>
      </w:r>
    </w:p>
    <w:p w14:paraId="2347CC49">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1.搭建多维支架，破解“下笔难”的困境。</w:t>
      </w:r>
      <w:r>
        <w:rPr>
          <w:rFonts w:hint="eastAsia" w:ascii="仿宋_GB2312" w:hAnsi="仿宋_GB2312" w:eastAsia="仿宋_GB2312" w:cs="仿宋_GB2312"/>
          <w:sz w:val="24"/>
          <w:szCs w:val="24"/>
        </w:rPr>
        <w:t xml:space="preserve"> 学生畏惧写作，常因不知如何将混沌的感受组织成清晰的文字。教师需提供清晰的专业支持。</w:t>
      </w:r>
    </w:p>
    <w:p w14:paraId="59E86EF7">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范文结构支架</w:t>
      </w:r>
      <w:r>
        <w:rPr>
          <w:rFonts w:hint="eastAsia" w:ascii="仿宋_GB2312" w:hAnsi="仿宋_GB2312" w:eastAsia="仿宋_GB2312" w:cs="仿宋_GB2312"/>
          <w:sz w:val="24"/>
          <w:szCs w:val="24"/>
        </w:rPr>
        <w:t>：充分利用课文的示范价值。学习《富饶的西沙群岛》的“总分总”结构，模仿《颐和园》按地点转换的顺序叙述，借鉴《记金华的双龙洞》中“移步换景”的写法。通过模仿经典结构，帮助学生将零散的素材有序组织起来。</w:t>
      </w:r>
    </w:p>
    <w:p w14:paraId="42C72C31">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图表思路支架</w:t>
      </w:r>
      <w:r>
        <w:rPr>
          <w:rFonts w:hint="eastAsia" w:ascii="仿宋_GB2312" w:hAnsi="仿宋_GB2312" w:eastAsia="仿宋_GB2312" w:cs="仿宋_GB2312"/>
          <w:sz w:val="24"/>
          <w:szCs w:val="24"/>
        </w:rPr>
        <w:t>：对于叙事或情感变化类文章，可借助图表梳理脉络。例如，学习《一只窝囊的大老虎》后，让学生绘制自己某次经历中的“心情变化曲线图”，直观地呈现从期待到紧张、从沮丧到领悟的情感过程，使文章线索清晰，情感跌宕。</w:t>
      </w:r>
    </w:p>
    <w:p w14:paraId="667A95CE">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“句法工具箱”支架</w:t>
      </w:r>
      <w:r>
        <w:rPr>
          <w:rFonts w:hint="eastAsia" w:ascii="仿宋_GB2312" w:hAnsi="仿宋_GB2312" w:eastAsia="仿宋_GB2312" w:cs="仿宋_GB2312"/>
          <w:sz w:val="24"/>
          <w:szCs w:val="24"/>
        </w:rPr>
        <w:t>：提炼并归类课文中的精彩表达，形成可迁移的“工具模块”。如，整理“如何写连续动作”（借鉴《爬山虎的脚》）、“如何写人物</w:t>
      </w:r>
      <w:r>
        <w:rPr>
          <w:rFonts w:hint="eastAsia" w:cs="仿宋_GB2312" w:asciiTheme="minorEastAsia" w:hAnsiTheme="minorEastAsia"/>
          <w:sz w:val="24"/>
          <w:szCs w:val="24"/>
        </w:rPr>
        <w:t>心理</w:t>
      </w:r>
      <w:r>
        <w:rPr>
          <w:rFonts w:hint="eastAsia" w:ascii="仿宋_GB2312" w:hAnsi="仿宋_GB2312" w:eastAsia="仿宋_GB2312" w:cs="仿宋_GB2312"/>
          <w:sz w:val="24"/>
          <w:szCs w:val="24"/>
        </w:rPr>
        <w:t>”（借鉴《跳水</w:t>
      </w:r>
      <w:r>
        <w:rPr>
          <w:rFonts w:hint="eastAsia" w:ascii="仿宋_GB2312" w:hAnsi="仿宋_GB2312" w:eastAsia="仿宋_GB2312" w:cs="仿宋_GB2312"/>
          <w:sz w:val="24"/>
          <w:szCs w:val="24"/>
        </w:rPr>
        <w:t>》）等专项“工具箱”。当学生需要描写比赛场面时，便可从“工具箱”中选取“抢、</w:t>
      </w:r>
      <w:bookmarkStart w:id="0" w:name="_GoBack"/>
      <w:bookmarkEnd w:id="0"/>
      <w:r>
        <w:rPr>
          <w:rFonts w:hint="eastAsia" w:ascii="仿宋_GB2312" w:hAnsi="仿宋_GB2312" w:eastAsia="仿宋_GB2312" w:cs="仿宋_GB2312"/>
          <w:sz w:val="24"/>
          <w:szCs w:val="24"/>
        </w:rPr>
        <w:t>传、突、投”等一系列动词进行组合创新，让表达立刻生动起来。</w:t>
      </w:r>
    </w:p>
    <w:p w14:paraId="72B6F863">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情境唤醒支架</w:t>
      </w:r>
      <w:r>
        <w:rPr>
          <w:rFonts w:hint="eastAsia" w:ascii="仿宋_GB2312" w:hAnsi="仿宋_GB2312" w:eastAsia="仿宋_GB2312" w:cs="仿宋_GB2312"/>
          <w:sz w:val="24"/>
          <w:szCs w:val="24"/>
        </w:rPr>
        <w:t>：动笔前，通过播放一段契合主题的音乐、展示一组引发共鸣的图片，或提供“怦然心动”、“热泪盈眶”等情感关键词，激活学生的身体记忆与情感储备，让写作始于真实的“有感而发”，而非硬性的“无病呻吟”。</w:t>
      </w:r>
    </w:p>
    <w:p w14:paraId="39D4CB85">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2.聚焦迁移运用，在实践中完成审美创造。</w:t>
      </w:r>
      <w:r>
        <w:rPr>
          <w:rFonts w:hint="eastAsia" w:ascii="仿宋_GB2312" w:hAnsi="仿宋_GB2312" w:eastAsia="仿宋_GB2312" w:cs="仿宋_GB2312"/>
          <w:sz w:val="24"/>
          <w:szCs w:val="24"/>
        </w:rPr>
        <w:t xml:space="preserve"> 支架是“拐杖”，最终目的是为了独立行走。创造美的核心在于将前期积累进行创造性转化。</w:t>
      </w:r>
    </w:p>
    <w:p w14:paraId="772455B7">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设计指向性微练笔</w:t>
      </w:r>
      <w:r>
        <w:rPr>
          <w:rFonts w:hint="eastAsia" w:ascii="仿宋_GB2312" w:hAnsi="仿宋_GB2312" w:eastAsia="仿宋_GB2312" w:cs="仿宋_GB2312"/>
          <w:sz w:val="24"/>
          <w:szCs w:val="24"/>
        </w:rPr>
        <w:t>：在学习《燕子》的外形描写后，立即迁移，让学生用“抓住特点、巧用动词”的方法写自己喜爱的小动物；在利用视频慢放分析足球赛后，指导学生运用“点面结合”的场面描写技巧进行书面再现。这种即学即用的迁移，让学生在实践中深刻体会如何将“看到的美”转化为“写出的美”。</w:t>
      </w:r>
    </w:p>
    <w:p w14:paraId="033B7AF9">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捕捉生活的情感契机</w:t>
      </w:r>
      <w:r>
        <w:rPr>
          <w:rFonts w:hint="eastAsia" w:ascii="仿宋_GB2312" w:hAnsi="仿宋_GB2312" w:eastAsia="仿宋_GB2312" w:cs="仿宋_GB2312"/>
          <w:sz w:val="24"/>
          <w:szCs w:val="24"/>
        </w:rPr>
        <w:t>：写作灵感往往源于被赋予特殊意义的日常时刻。教师需具备一双“慧眼”，敏锐捕捉并放大这些契机。例如，秋游因雨改期，学生心情由亢奋跌至失落，这正是引导他们书写“心情过山车”的绝佳时机；又如，在小学阶段最后一次“麦当劳午餐日”前，特意点明其纪念意义，普通的聚餐便升华为承载离别与成长感慨的仪式，催生出真挚动人的文字。这启示我们，写作教学应与学生的生命成长同频共振。</w:t>
      </w:r>
    </w:p>
    <w:p w14:paraId="7C4BE5CA">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（四）多元对话，在评价反思中“鉴赏美”——形成批判性审美鉴赏力</w:t>
      </w:r>
    </w:p>
    <w:p w14:paraId="3A3F42B9">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作品的完成并非审美创造活动的终结，而是新一轮、更深层次审美活动的开始。本阶段对应“审美鉴赏”素养的培养，旨在引导学生跳出作者视角，以读者、评论者的身份重新审视文本，在评价、比较、修改中提升对美的鉴别力与表达力。</w:t>
      </w:r>
    </w:p>
    <w:p w14:paraId="3D5FFE42">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1.个性化批阅：培育审美自信的“催化剂”。</w:t>
      </w:r>
      <w:r>
        <w:rPr>
          <w:rFonts w:hint="eastAsia" w:ascii="仿宋_GB2312" w:hAnsi="仿宋_GB2312" w:eastAsia="仿宋_GB2312" w:cs="仿宋_GB2312"/>
          <w:sz w:val="24"/>
          <w:szCs w:val="24"/>
        </w:rPr>
        <w:t xml:space="preserve"> 教师的批阅是重要的美育过程。应摒弃笼统的评判，代之以欣赏的眼光和互动性的对话。精心圈画出学生习作中的闪光句段，在旁批中具体指出“这个比喻为何贴切”、“此处的情感为何真实动人”。针对不足，提供“是否可以尝试……”、“如果这样写，会不会更……”等建议性指导。这种被看见、被理解、被具体指导的体验，能极大增强学生的写作自信与审美效能感。</w:t>
      </w:r>
    </w:p>
    <w:p w14:paraId="52378C72">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2.构建“创作—鉴赏—再创作”的升华循环。</w:t>
      </w:r>
      <w:r>
        <w:rPr>
          <w:rFonts w:hint="eastAsia" w:ascii="仿宋_GB2312" w:hAnsi="仿宋_GB2312" w:eastAsia="仿宋_GB2312" w:cs="仿宋_GB2312"/>
          <w:sz w:val="24"/>
          <w:szCs w:val="24"/>
        </w:rPr>
        <w:t xml:space="preserve"> 将习作讲评课变为审美鉴赏与思维碰撞的舞台。教师可精选学生习作中的典型片段（包括精彩的和有待改进的），匿名呈现，组织学生围绕“哪里写得好？为什么好？”“哪里可以写得更好？怎么改？”展开讨论。也可以开展“作品互评会”，让学生交换习作，撰写简短评语。在这个过程中，学生为了评价他人，必须调动自己的审美储备进行分析、判断；同时，在听取他人评价时，也能获得新的视角与启发。这是一个将审美经验理性化、公共化的过程，能有效促进“审美判断”能力的提升。</w:t>
      </w:r>
    </w:p>
    <w:p w14:paraId="5E5BD0AF">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3.搭建展示平台：拓宽审美创造的价值天地。</w:t>
      </w:r>
      <w:r>
        <w:rPr>
          <w:rFonts w:hint="eastAsia" w:ascii="仿宋_GB2312" w:hAnsi="仿宋_GB2312" w:eastAsia="仿宋_GB2312" w:cs="仿宋_GB2312"/>
          <w:sz w:val="24"/>
          <w:szCs w:val="24"/>
        </w:rPr>
        <w:t xml:space="preserve"> 让学生的文字走出作业本，获得更广泛的认可与交流。在教室设立“美文共赏”墙，利用班级公众号、校刊发表优秀习作，并附上作者创作谈和同伴/教师点评。组织朗诵会、编印班级作品集。当学生看到自己的文字被郑重对待、被他人欣赏时，他们会真切地感受到“创造美”的价值与喜悦。这种正向激励，会形成强大的内驱力，让他们更主动地去发现美、创造美，从而实现“以美育美”的良性循环。</w:t>
      </w:r>
    </w:p>
    <w:p w14:paraId="4C8E6CE3">
      <w:pPr>
        <w:spacing w:line="360" w:lineRule="auto"/>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四、结论与反思</w:t>
      </w:r>
    </w:p>
    <w:p w14:paraId="3F7D8ED0">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实践表明，本研究构建的“感受美—发现美—创造美—鉴赏美”四阶闭环模式，能有效激发学生写作兴趣，降低畏难情绪。由于写作与真实的审美体验、生活情感紧密相连，学生从“要我写”逐渐转向“我要写”。学生写作内容显著丰盈，个性化素材库解决了“无米下炊”的难题。语言表达更加生动、个性化。在持续的品味、迁移与修改中，学生对语言的敏感度和驾驭能力得到提升。最重要的是审美感知与创造力得到协同提升，实现写作能力与审美素养的同构共生。</w:t>
      </w:r>
    </w:p>
    <w:p w14:paraId="16AA5E97">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研究构建的“四阶闭环”教学模式，是一次将美学理论、课程目标与写作教学实践进行深度整合的探索。它系统地回答了在小学中高年级写作教学中“为何以及如何培养审美能力”的核心问题。该模式不仅是一套教学流程，更是一种教育理念的体现：写作教学的本质是引导学生完成一次完整的审美创造活动。它强调以“美”为线索，串联起阅读、生活、表达与反思的全过程，使写作教学超越了单纯的技术训练，回归其情感培育、思维发展、文化传承与审美创造的育人本质。</w:t>
      </w:r>
    </w:p>
    <w:p w14:paraId="57BEEC53">
      <w:pPr>
        <w:spacing w:line="360" w:lineRule="auto"/>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当然，模式的实施对教师审美素养、引导艺术等素养提出了更高要求。未来可进一步细化操作性评价指标，探索数智技术的融合与赋能。</w:t>
      </w:r>
    </w:p>
    <w:p w14:paraId="7939677A">
      <w:pPr>
        <w:spacing w:after="200" w:line="360" w:lineRule="auto"/>
        <w:rPr>
          <w:rFonts w:ascii="仿宋_GB2312" w:hAnsi="仿宋_GB2312" w:eastAsia="仿宋_GB2312" w:cs="仿宋_GB2312"/>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0000019F" w:csb1="00000000"/>
  </w:font>
  <w:font w:name="仿宋_GB2312">
    <w:altName w:val="方正仿宋_GBK"/>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9CA48">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3B7A69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3B7A697">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AA34B">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DE1EC5"/>
    <w:multiLevelType w:val="singleLevel"/>
    <w:tmpl w:val="8FDE1EC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691"/>
    <w:rsid w:val="000D4F89"/>
    <w:rsid w:val="003663F8"/>
    <w:rsid w:val="006678BA"/>
    <w:rsid w:val="00965691"/>
    <w:rsid w:val="00CC4F84"/>
    <w:rsid w:val="00FB2396"/>
    <w:rsid w:val="1B546EF3"/>
    <w:rsid w:val="357DD591"/>
    <w:rsid w:val="3EF9E065"/>
    <w:rsid w:val="3FFB6142"/>
    <w:rsid w:val="4BB74A00"/>
    <w:rsid w:val="4DFCB5C6"/>
    <w:rsid w:val="557A779D"/>
    <w:rsid w:val="577475CE"/>
    <w:rsid w:val="57AB8762"/>
    <w:rsid w:val="587E62D4"/>
    <w:rsid w:val="5DF7862E"/>
    <w:rsid w:val="5FEFE09C"/>
    <w:rsid w:val="5FF7A1B8"/>
    <w:rsid w:val="6D5F5EDE"/>
    <w:rsid w:val="6FEF8BDD"/>
    <w:rsid w:val="72D7B59D"/>
    <w:rsid w:val="787F0223"/>
    <w:rsid w:val="7ADC2D61"/>
    <w:rsid w:val="7B69912E"/>
    <w:rsid w:val="7BCF4902"/>
    <w:rsid w:val="7D36AB48"/>
    <w:rsid w:val="7DFEFCCA"/>
    <w:rsid w:val="7EBBFDB3"/>
    <w:rsid w:val="7FED30B3"/>
    <w:rsid w:val="7FF7B589"/>
    <w:rsid w:val="7FFC22A4"/>
    <w:rsid w:val="98EEE3E8"/>
    <w:rsid w:val="AAF9F9A0"/>
    <w:rsid w:val="B9D1E6CD"/>
    <w:rsid w:val="BBD37790"/>
    <w:rsid w:val="BDFBB424"/>
    <w:rsid w:val="BFD95696"/>
    <w:rsid w:val="BFFCEFAA"/>
    <w:rsid w:val="EBCF131F"/>
    <w:rsid w:val="EEDE807E"/>
    <w:rsid w:val="EEE5E4CD"/>
    <w:rsid w:val="EFB9EC2A"/>
    <w:rsid w:val="F5EE8719"/>
    <w:rsid w:val="F63DB1CF"/>
    <w:rsid w:val="F7FE726F"/>
    <w:rsid w:val="FB1D80FA"/>
    <w:rsid w:val="FB9AF1DD"/>
    <w:rsid w:val="FBD69AC1"/>
    <w:rsid w:val="FD3F0502"/>
    <w:rsid w:val="FEDC06AF"/>
    <w:rsid w:val="FEFD4C8C"/>
    <w:rsid w:val="FFBD8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lang w:val="en-US" w:eastAsia="zh-CN"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6">
    <w:name w:val="Normal Indent"/>
    <w:basedOn w:val="1"/>
    <w:unhideWhenUsed/>
    <w:uiPriority w:val="99"/>
    <w:pPr>
      <w:ind w:left="720"/>
    </w:pPr>
  </w:style>
  <w:style w:type="paragraph" w:styleId="7">
    <w:name w:val="caption"/>
    <w:basedOn w:val="1"/>
    <w:next w:val="1"/>
    <w:semiHidden/>
    <w:unhideWhenUsed/>
    <w:qFormat/>
    <w:uiPriority w:val="35"/>
    <w:rPr>
      <w:b/>
      <w:bCs/>
      <w:color w:val="4F81BD" w:themeColor="accent1"/>
      <w:sz w:val="18"/>
      <w:szCs w:val="18"/>
      <w14:textFill>
        <w14:solidFill>
          <w14:schemeClr w14:val="accent1"/>
        </w14:solidFill>
      </w14:textFill>
    </w:rPr>
  </w:style>
  <w:style w:type="paragraph" w:styleId="8">
    <w:name w:val="footer"/>
    <w:basedOn w:val="1"/>
    <w:semiHidden/>
    <w:unhideWhenUsed/>
    <w:uiPriority w:val="99"/>
    <w:pPr>
      <w:tabs>
        <w:tab w:val="center" w:pos="4153"/>
        <w:tab w:val="right" w:pos="8306"/>
      </w:tabs>
      <w:snapToGrid w:val="0"/>
      <w:jc w:val="left"/>
    </w:pPr>
    <w:rPr>
      <w:sz w:val="18"/>
    </w:rPr>
  </w:style>
  <w:style w:type="paragraph" w:styleId="9">
    <w:name w:val="header"/>
    <w:basedOn w:val="1"/>
    <w:link w:val="17"/>
    <w:unhideWhenUsed/>
    <w:uiPriority w:val="99"/>
    <w:pPr>
      <w:tabs>
        <w:tab w:val="center" w:pos="4680"/>
        <w:tab w:val="right" w:pos="9360"/>
      </w:tabs>
    </w:pPr>
  </w:style>
  <w:style w:type="paragraph" w:styleId="10">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1">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3">
    <w:name w:val="Table Grid"/>
    <w:basedOn w:val="12"/>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Emphasis"/>
    <w:basedOn w:val="14"/>
    <w:qFormat/>
    <w:uiPriority w:val="20"/>
    <w:rPr>
      <w:i/>
      <w:iCs/>
    </w:rPr>
  </w:style>
  <w:style w:type="character" w:styleId="16">
    <w:name w:val="Hyperlink"/>
    <w:basedOn w:val="14"/>
    <w:unhideWhenUsed/>
    <w:uiPriority w:val="99"/>
    <w:rPr>
      <w:color w:val="0000FF" w:themeColor="hyperlink"/>
      <w:u w:val="single"/>
      <w14:textFill>
        <w14:solidFill>
          <w14:schemeClr w14:val="hlink"/>
        </w14:solidFill>
      </w14:textFill>
    </w:rPr>
  </w:style>
  <w:style w:type="character" w:customStyle="1" w:styleId="17">
    <w:name w:val="页眉 字符"/>
    <w:basedOn w:val="14"/>
    <w:link w:val="9"/>
    <w:uiPriority w:val="99"/>
  </w:style>
  <w:style w:type="character" w:customStyle="1" w:styleId="18">
    <w:name w:val="标题 1 字符"/>
    <w:basedOn w:val="14"/>
    <w:link w:val="2"/>
    <w:uiPriority w:val="9"/>
    <w:rPr>
      <w:rFonts w:asciiTheme="majorHAnsi" w:hAnsiTheme="majorHAnsi" w:eastAsiaTheme="majorEastAsia" w:cstheme="majorBidi"/>
      <w:b/>
      <w:bCs/>
      <w:color w:val="376092" w:themeColor="accent1" w:themeShade="BF"/>
      <w:sz w:val="28"/>
      <w:szCs w:val="28"/>
    </w:rPr>
  </w:style>
  <w:style w:type="character" w:customStyle="1" w:styleId="19">
    <w:name w:val="标题 2 字符"/>
    <w:basedOn w:val="14"/>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0">
    <w:name w:val="标题 3 字符"/>
    <w:basedOn w:val="14"/>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1">
    <w:name w:val="标题 4 字符"/>
    <w:basedOn w:val="14"/>
    <w:link w:val="5"/>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2">
    <w:name w:val="副标题 字符"/>
    <w:basedOn w:val="14"/>
    <w:link w:val="10"/>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3">
    <w:name w:val="标题 字符"/>
    <w:basedOn w:val="14"/>
    <w:link w:val="11"/>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948</Words>
  <Characters>5407</Characters>
  <Lines>45</Lines>
  <Paragraphs>12</Paragraphs>
  <TotalTime>2</TotalTime>
  <ScaleCrop>false</ScaleCrop>
  <LinksUpToDate>false</LinksUpToDate>
  <CharactersWithSpaces>6343</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2026-04-13T07:53:00Z</dcterms:created>
  <dc:creator>Data</dc:creator>
  <cp:lastModifiedBy>yang.jp</cp:lastModifiedBy>
  <dcterms:modified xsi:type="dcterms:W3CDTF">2026-04-14T09:20:59Z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{"ContentPropagator":"001191310115MA1H9U6C1800000","Label":"1","ReservedCode1":"2cbecf3b13b6d49a6b9873cb7e663da9","ProduceID":"Metasota_docx_69afc741331d0fa130de5e18_1_825ed8d1-13e8-4260-86e5-4d9967a31445","ReservedCode2":"2cbecf3b13b6d49a6b9873cb7e663da9</vt:lpwstr>
  </property>
  <property fmtid="{D5CDD505-2E9C-101B-9397-08002B2CF9AE}" pid="3" name="KSOProductBuildVer">
    <vt:lpwstr>2052-12.1.21861.21861</vt:lpwstr>
  </property>
  <property fmtid="{D5CDD505-2E9C-101B-9397-08002B2CF9AE}" pid="4" name="ICV">
    <vt:lpwstr>84BB7611C1EA823D3DACDB69C57AF042_43</vt:lpwstr>
  </property>
</Properties>
</file>