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E27409">
      <w:pPr>
        <w:spacing w:line="240" w:lineRule="auto"/>
        <w:jc w:val="center"/>
        <w:rPr>
          <w:rFonts w:hint="eastAsia" w:ascii="黑体" w:hAnsi="黑体" w:eastAsia="黑体" w:cs="Segoe UI"/>
          <w:color w:val="404040"/>
          <w:sz w:val="28"/>
          <w:szCs w:val="28"/>
          <w:shd w:val="clear" w:color="auto" w:fill="FFFFFF"/>
        </w:rPr>
      </w:pPr>
      <w:bookmarkStart w:id="0" w:name="OLE_LINK8"/>
      <w:bookmarkStart w:id="1" w:name="_Hlk201165775"/>
      <w:bookmarkStart w:id="2" w:name="OLE_LINK3"/>
      <w:r>
        <w:rPr>
          <w:rFonts w:hint="eastAsia" w:ascii="黑体" w:hAnsi="黑体" w:eastAsia="黑体" w:cs="Segoe UI"/>
          <w:color w:val="404040"/>
          <w:sz w:val="28"/>
          <w:szCs w:val="28"/>
          <w:shd w:val="clear" w:color="auto" w:fill="FFFFFF"/>
          <w:lang w:val="en-US" w:eastAsia="zh-CN"/>
        </w:rPr>
        <w:t>指向学科育人</w:t>
      </w:r>
      <w:r>
        <w:rPr>
          <w:rFonts w:hint="eastAsia" w:ascii="黑体" w:hAnsi="黑体" w:eastAsia="黑体" w:cs="Segoe UI"/>
          <w:color w:val="404040"/>
          <w:sz w:val="28"/>
          <w:szCs w:val="28"/>
          <w:shd w:val="clear" w:color="auto" w:fill="FFFFFF"/>
        </w:rPr>
        <w:t>的高中英语单元教学设计——以《高中英语》（上教版）必修第二册第四单元“Achievements”为例</w:t>
      </w:r>
    </w:p>
    <w:bookmarkEnd w:id="0"/>
    <w:p w14:paraId="0E8A5863">
      <w:pPr>
        <w:spacing w:line="240" w:lineRule="auto"/>
        <w:jc w:val="center"/>
        <w:rPr>
          <w:rFonts w:hint="eastAsia" w:ascii="楷体" w:hAnsi="楷体" w:eastAsia="楷体" w:cs="Segoe UI"/>
          <w:color w:val="404040"/>
          <w:sz w:val="24"/>
          <w:shd w:val="clear" w:color="auto" w:fill="FFFFFF"/>
        </w:rPr>
      </w:pPr>
      <w:r>
        <w:rPr>
          <w:rFonts w:hint="eastAsia" w:ascii="楷体" w:hAnsi="楷体" w:eastAsia="楷体" w:cs="Segoe UI"/>
          <w:color w:val="404040"/>
          <w:sz w:val="24"/>
          <w:shd w:val="clear" w:color="auto" w:fill="FFFFFF"/>
          <w:lang w:val="en-US" w:eastAsia="zh-CN"/>
        </w:rPr>
        <w:t xml:space="preserve">上海市徐汇中学 </w:t>
      </w:r>
      <w:r>
        <w:rPr>
          <w:rFonts w:hint="eastAsia" w:ascii="楷体" w:hAnsi="楷体" w:eastAsia="楷体" w:cs="Segoe UI"/>
          <w:color w:val="404040"/>
          <w:sz w:val="24"/>
          <w:shd w:val="clear" w:color="auto" w:fill="FFFFFF"/>
        </w:rPr>
        <w:t>杨娜娜</w:t>
      </w:r>
      <w:bookmarkStart w:id="19" w:name="_GoBack"/>
      <w:bookmarkEnd w:id="19"/>
    </w:p>
    <w:p w14:paraId="3A3C0433">
      <w:pPr>
        <w:spacing w:line="240" w:lineRule="auto"/>
        <w:rPr>
          <w:rFonts w:hint="eastAsia" w:ascii="仿宋" w:hAnsi="仿宋" w:eastAsia="仿宋" w:cs="Segoe UI"/>
          <w:color w:val="404040"/>
          <w:sz w:val="18"/>
          <w:szCs w:val="18"/>
          <w:shd w:val="clear" w:color="auto" w:fill="FFFFFF"/>
        </w:rPr>
      </w:pPr>
      <w:r>
        <w:rPr>
          <w:rFonts w:hint="eastAsia" w:ascii="黑体" w:hAnsi="黑体" w:eastAsia="黑体" w:cs="Segoe UI"/>
          <w:color w:val="404040"/>
          <w:sz w:val="18"/>
          <w:szCs w:val="18"/>
          <w:shd w:val="clear" w:color="auto" w:fill="FFFFFF"/>
        </w:rPr>
        <w:t>摘要：</w:t>
      </w:r>
    </w:p>
    <w:p w14:paraId="1A482AC9">
      <w:pPr>
        <w:spacing w:line="240" w:lineRule="auto"/>
        <w:ind w:firstLine="360" w:firstLineChars="200"/>
        <w:rPr>
          <w:rFonts w:hint="eastAsia" w:ascii="仿宋" w:hAnsi="仿宋" w:eastAsia="仿宋" w:cs="Segoe UI"/>
          <w:color w:val="404040"/>
          <w:sz w:val="18"/>
          <w:szCs w:val="18"/>
          <w:shd w:val="clear" w:color="auto" w:fill="FFFFFF"/>
        </w:rPr>
      </w:pPr>
      <w:r>
        <w:rPr>
          <w:rFonts w:hint="eastAsia" w:ascii="仿宋" w:hAnsi="仿宋" w:eastAsia="仿宋" w:cs="Segoe UI"/>
          <w:color w:val="404040"/>
          <w:sz w:val="18"/>
          <w:szCs w:val="18"/>
          <w:shd w:val="clear" w:color="auto" w:fill="FFFFFF"/>
        </w:rPr>
        <w:t>《普通高中英语课程标准（</w:t>
      </w:r>
      <w:r>
        <w:rPr>
          <w:rFonts w:hint="eastAsia" w:ascii="仿宋" w:hAnsi="仿宋" w:eastAsia="仿宋" w:cs="Segoe UI"/>
          <w:color w:val="404040"/>
          <w:sz w:val="18"/>
          <w:szCs w:val="18"/>
          <w:shd w:val="clear" w:color="auto" w:fill="FFFFFF"/>
          <w:lang w:eastAsia="zh-CN"/>
        </w:rPr>
        <w:t>2017年版2025年修订</w:t>
      </w:r>
      <w:r>
        <w:rPr>
          <w:rFonts w:hint="eastAsia" w:ascii="仿宋" w:hAnsi="仿宋" w:eastAsia="仿宋" w:cs="Segoe UI"/>
          <w:color w:val="404040"/>
          <w:sz w:val="18"/>
          <w:szCs w:val="18"/>
          <w:shd w:val="clear" w:color="auto" w:fill="FFFFFF"/>
        </w:rPr>
        <w:t>）》确立了“立德树人”的根本任务，要求英语教学从工具性转向人文性与工具性的统一。针对当前高中英语教学中语言技能培养与品德教育割裂的现实问题，本文指向学科育人，明确英语学科育人的核心功能在于植根中华文化自信、拓展全球多元视野、发展跨文化交流与合作胜任力。在此基础上，</w:t>
      </w:r>
      <w:r>
        <w:rPr>
          <w:rFonts w:hint="eastAsia" w:ascii="仿宋" w:hAnsi="仿宋" w:eastAsia="仿宋" w:cs="Segoe UI"/>
          <w:color w:val="404040"/>
          <w:sz w:val="18"/>
          <w:szCs w:val="18"/>
          <w:shd w:val="clear" w:color="auto" w:fill="FFFFFF"/>
          <w:lang w:val="en-US" w:eastAsia="zh-CN"/>
        </w:rPr>
        <w:t>本文</w:t>
      </w:r>
      <w:r>
        <w:rPr>
          <w:rFonts w:hint="eastAsia" w:ascii="仿宋" w:hAnsi="仿宋" w:eastAsia="仿宋" w:cs="Segoe UI"/>
          <w:color w:val="404040"/>
          <w:sz w:val="18"/>
          <w:szCs w:val="18"/>
          <w:shd w:val="clear" w:color="auto" w:fill="FFFFFF"/>
        </w:rPr>
        <w:t>建构了指向学科育人的单元教学实践框架</w:t>
      </w:r>
      <w:r>
        <w:rPr>
          <w:rFonts w:hint="eastAsia" w:ascii="仿宋" w:hAnsi="仿宋" w:eastAsia="仿宋" w:cs="Segoe UI"/>
          <w:color w:val="404040"/>
          <w:sz w:val="18"/>
          <w:szCs w:val="18"/>
          <w:shd w:val="clear" w:color="auto" w:fill="FFFFFF"/>
          <w:lang w:eastAsia="zh-CN"/>
        </w:rPr>
        <w:t>，</w:t>
      </w:r>
      <w:r>
        <w:rPr>
          <w:rFonts w:hint="eastAsia" w:ascii="仿宋" w:hAnsi="仿宋" w:eastAsia="仿宋" w:cs="Segoe UI"/>
          <w:color w:val="404040"/>
          <w:sz w:val="18"/>
          <w:szCs w:val="18"/>
          <w:shd w:val="clear" w:color="auto" w:fill="FFFFFF"/>
        </w:rPr>
        <w:t>该框架遵循“目标统领—路径融合—评价保障”的递进逻辑：以单元大观念的提炼为起点，建构分层价值观目标体系；以语言学习与价值塑造的融合为实施路径；以</w:t>
      </w:r>
      <w:r>
        <w:rPr>
          <w:rFonts w:hint="eastAsia" w:ascii="仿宋" w:hAnsi="仿宋" w:eastAsia="仿宋" w:cs="Segoe UI"/>
          <w:color w:val="404040"/>
          <w:sz w:val="18"/>
          <w:szCs w:val="18"/>
          <w:shd w:val="clear" w:color="auto" w:fill="FFFFFF"/>
          <w:lang w:val="en-US" w:eastAsia="zh-CN"/>
        </w:rPr>
        <w:t>评价</w:t>
      </w:r>
      <w:r>
        <w:rPr>
          <w:rFonts w:hint="eastAsia" w:ascii="仿宋" w:hAnsi="仿宋" w:eastAsia="仿宋" w:cs="Segoe UI"/>
          <w:color w:val="404040"/>
          <w:sz w:val="18"/>
          <w:szCs w:val="18"/>
          <w:shd w:val="clear" w:color="auto" w:fill="FFFFFF"/>
        </w:rPr>
        <w:t>为质量保障。结合《高中英语》（上教版）必修第二册第四单元“Achievements”案例，</w:t>
      </w:r>
      <w:r>
        <w:rPr>
          <w:rFonts w:hint="eastAsia" w:ascii="仿宋" w:hAnsi="仿宋" w:eastAsia="仿宋" w:cs="Segoe UI"/>
          <w:color w:val="404040"/>
          <w:sz w:val="18"/>
          <w:szCs w:val="18"/>
          <w:shd w:val="clear" w:color="auto" w:fill="FFFFFF"/>
          <w:lang w:val="en-US" w:eastAsia="zh-CN"/>
        </w:rPr>
        <w:t>本文</w:t>
      </w:r>
      <w:r>
        <w:rPr>
          <w:rFonts w:hint="eastAsia" w:ascii="仿宋" w:hAnsi="仿宋" w:eastAsia="仿宋" w:cs="Segoe UI"/>
          <w:color w:val="404040"/>
          <w:sz w:val="18"/>
          <w:szCs w:val="18"/>
          <w:shd w:val="clear" w:color="auto" w:fill="FFFFFF"/>
        </w:rPr>
        <w:t>从单元育人主线与目标体系建构、语言学习与价值塑造的融合实践、育人成效的评价反馈机制三个方面展开教学实践。通过问题链驱动和文化对比等具体策略，实现语言学习与价值塑造的有机融合；通过构建“过程性—表现性—反思性”三维评价体系，推动“教—学—评”一体化。本文旨在为一线教师提供可操作、可评价的教学范式，推动高中英语教育实现从“工具性”向“人文性”的转型。</w:t>
      </w:r>
    </w:p>
    <w:p w14:paraId="071422BF">
      <w:pPr>
        <w:spacing w:line="240" w:lineRule="auto"/>
        <w:rPr>
          <w:rFonts w:hint="eastAsia" w:ascii="仿宋" w:hAnsi="仿宋" w:eastAsia="仿宋" w:cs="Segoe UI"/>
          <w:color w:val="404040"/>
          <w:sz w:val="18"/>
          <w:szCs w:val="18"/>
          <w:shd w:val="clear" w:color="auto" w:fill="FFFFFF"/>
        </w:rPr>
      </w:pPr>
      <w:r>
        <w:rPr>
          <w:rFonts w:hint="eastAsia" w:ascii="黑体" w:hAnsi="黑体" w:eastAsia="黑体" w:cs="Segoe UI"/>
          <w:color w:val="404040"/>
          <w:sz w:val="18"/>
          <w:szCs w:val="18"/>
          <w:shd w:val="clear" w:color="auto" w:fill="FFFFFF"/>
        </w:rPr>
        <w:t>关键词：</w:t>
      </w:r>
      <w:r>
        <w:rPr>
          <w:rFonts w:hint="eastAsia" w:ascii="仿宋" w:hAnsi="仿宋" w:eastAsia="仿宋" w:cs="Segoe UI"/>
          <w:color w:val="404040"/>
          <w:sz w:val="18"/>
          <w:szCs w:val="18"/>
          <w:shd w:val="clear" w:color="auto" w:fill="FFFFFF"/>
        </w:rPr>
        <w:t>学科育人；高中英语；单元教学</w:t>
      </w:r>
    </w:p>
    <w:bookmarkEnd w:id="1"/>
    <w:bookmarkEnd w:id="2"/>
    <w:p w14:paraId="2A85BD93">
      <w:pPr>
        <w:pStyle w:val="41"/>
        <w:numPr>
          <w:ilvl w:val="0"/>
          <w:numId w:val="1"/>
        </w:numPr>
        <w:spacing w:line="240" w:lineRule="auto"/>
        <w:rPr>
          <w:rFonts w:hint="eastAsia" w:ascii="黑体" w:hAnsi="黑体" w:eastAsia="黑体" w:cs="Segoe UI"/>
          <w:b/>
          <w:bCs/>
          <w:color w:val="404040"/>
          <w:sz w:val="24"/>
          <w:shd w:val="clear" w:color="auto" w:fill="FFFFFF"/>
        </w:rPr>
      </w:pPr>
      <w:r>
        <w:rPr>
          <w:rFonts w:hint="eastAsia" w:ascii="黑体" w:hAnsi="黑体" w:eastAsia="黑体" w:cs="Segoe UI"/>
          <w:b/>
          <w:bCs/>
          <w:color w:val="404040"/>
          <w:sz w:val="24"/>
          <w:shd w:val="clear" w:color="auto" w:fill="FFFFFF"/>
        </w:rPr>
        <w:t>引言</w:t>
      </w:r>
    </w:p>
    <w:p w14:paraId="67C66F1D">
      <w:pPr>
        <w:spacing w:line="240" w:lineRule="auto"/>
        <w:ind w:firstLine="420" w:firstLineChars="200"/>
        <w:rPr>
          <w:rFonts w:hint="eastAsia" w:ascii="宋体" w:hAnsi="宋体" w:eastAsia="宋体" w:cs="Times New Roman"/>
          <w:kern w:val="0"/>
          <w:sz w:val="21"/>
          <w:szCs w:val="21"/>
          <w14:ligatures w14:val="none"/>
        </w:rPr>
      </w:pPr>
      <w:r>
        <w:rPr>
          <w:rFonts w:ascii="宋体" w:hAnsi="宋体" w:eastAsia="宋体" w:cs="Times New Roman"/>
          <w:kern w:val="0"/>
          <w:sz w:val="21"/>
          <w:szCs w:val="21"/>
          <w14:ligatures w14:val="none"/>
        </w:rPr>
        <w:t>《普通高中英语课程标准（</w:t>
      </w:r>
      <w:r>
        <w:rPr>
          <w:rFonts w:hint="eastAsia" w:ascii="宋体" w:hAnsi="宋体" w:eastAsia="宋体" w:cs="Times New Roman"/>
          <w:kern w:val="0"/>
          <w:sz w:val="21"/>
          <w:szCs w:val="21"/>
          <w:lang w:eastAsia="zh-CN"/>
          <w14:ligatures w14:val="none"/>
        </w:rPr>
        <w:t>2017年版2025年修订</w:t>
      </w:r>
      <w:r>
        <w:rPr>
          <w:rFonts w:hint="eastAsia" w:ascii="宋体" w:hAnsi="宋体" w:eastAsia="宋体" w:cs="Times New Roman"/>
          <w:kern w:val="0"/>
          <w:sz w:val="21"/>
          <w:szCs w:val="21"/>
          <w14:ligatures w14:val="none"/>
        </w:rPr>
        <w:t>）》指出（以下简称《课程标准》）</w:t>
      </w:r>
      <w:r>
        <w:rPr>
          <w:rFonts w:ascii="宋体" w:hAnsi="宋体" w:eastAsia="宋体" w:cs="Times New Roman"/>
          <w:kern w:val="0"/>
          <w:sz w:val="21"/>
          <w:szCs w:val="21"/>
          <w14:ligatures w14:val="none"/>
        </w:rPr>
        <w:t>，</w:t>
      </w:r>
      <w:r>
        <w:rPr>
          <w:rFonts w:hint="eastAsia" w:ascii="宋体" w:hAnsi="宋体" w:eastAsia="宋体" w:cs="Times New Roman"/>
          <w:kern w:val="0"/>
          <w:sz w:val="21"/>
          <w:szCs w:val="21"/>
          <w14:ligatures w14:val="none"/>
        </w:rPr>
        <w:t>普通高中英语课程</w:t>
      </w:r>
      <w:r>
        <w:rPr>
          <w:rFonts w:ascii="宋体" w:hAnsi="宋体" w:eastAsia="宋体" w:cs="Times New Roman"/>
          <w:kern w:val="0"/>
          <w:sz w:val="21"/>
          <w:szCs w:val="21"/>
          <w14:ligatures w14:val="none"/>
        </w:rPr>
        <w:t>教育的根本任务为立德树人</w:t>
      </w:r>
      <w:bookmarkStart w:id="3" w:name="OLE_LINK12"/>
      <w:r>
        <w:rPr>
          <w:rFonts w:ascii="宋体" w:hAnsi="宋体" w:eastAsia="宋体" w:cs="Times New Roman"/>
          <w:kern w:val="0"/>
          <w:sz w:val="21"/>
          <w:szCs w:val="21"/>
          <w14:ligatures w14:val="none"/>
        </w:rPr>
        <w:t>（教育部，20</w:t>
      </w:r>
      <w:r>
        <w:rPr>
          <w:rFonts w:hint="eastAsia" w:ascii="宋体" w:hAnsi="宋体" w:eastAsia="宋体" w:cs="Times New Roman"/>
          <w:kern w:val="0"/>
          <w:sz w:val="21"/>
          <w:szCs w:val="21"/>
          <w14:ligatures w14:val="none"/>
        </w:rPr>
        <w:t>25</w:t>
      </w:r>
      <w:r>
        <w:rPr>
          <w:rFonts w:ascii="宋体" w:hAnsi="宋体" w:eastAsia="宋体" w:cs="Times New Roman"/>
          <w:kern w:val="0"/>
          <w:sz w:val="21"/>
          <w:szCs w:val="21"/>
          <w14:ligatures w14:val="none"/>
        </w:rPr>
        <w:t>）</w:t>
      </w:r>
      <w:bookmarkEnd w:id="3"/>
      <w:r>
        <w:rPr>
          <w:rFonts w:hint="eastAsia" w:ascii="宋体" w:hAnsi="宋体" w:eastAsia="宋体" w:cs="Times New Roman"/>
          <w:kern w:val="0"/>
          <w:sz w:val="21"/>
          <w:szCs w:val="21"/>
          <w14:ligatures w14:val="none"/>
        </w:rPr>
        <w:t>，为高中英语教学指明了新的方向。相关研究也</w:t>
      </w:r>
      <w:r>
        <w:rPr>
          <w:rFonts w:ascii="宋体" w:hAnsi="宋体" w:eastAsia="宋体" w:cs="Times New Roman"/>
          <w:kern w:val="0"/>
          <w:sz w:val="21"/>
          <w:szCs w:val="21"/>
          <w14:ligatures w14:val="none"/>
        </w:rPr>
        <w:t>表明，创新人才培养模式、深化学科育人价值，是推动教育高质量发展的本质要求（郭元祥，2020）。这反映出在全球一体化背景下，高中英语教育已从传统的语言技能培养，拓展为促进学生全面发展的综合性教育载体。但值得注意的是，我国教育传统中形成的德育任务观念及其衍生的渗透理论，导致学科教学与品德教育长期割裂，出现形式主义的德育现象（田保华，2015）。在实际教学过程中，教育工作者往往</w:t>
      </w:r>
      <w:r>
        <w:rPr>
          <w:rFonts w:hint="eastAsia" w:ascii="宋体" w:hAnsi="宋体" w:eastAsia="宋体" w:cs="Times New Roman"/>
          <w:kern w:val="0"/>
          <w:sz w:val="21"/>
          <w:szCs w:val="21"/>
          <w14:ligatures w14:val="none"/>
        </w:rPr>
        <w:t>从</w:t>
      </w:r>
      <w:r>
        <w:rPr>
          <w:rFonts w:ascii="宋体" w:hAnsi="宋体" w:eastAsia="宋体" w:cs="Times New Roman"/>
          <w:kern w:val="0"/>
          <w:sz w:val="21"/>
          <w:szCs w:val="21"/>
          <w14:ligatures w14:val="none"/>
        </w:rPr>
        <w:t>德育视角来分析学科德育，即重点发掘教学环节中的德育元素。这种方式虽有助于教师把握德育要点，却也带来诸多问题。究其本质，这些问题源于德育与学科教学的脱节（冯永刚，2019；李菲，2023）。当前阶段，学科德育的实施确实面临显著挑战。要提升德育实效，教育部门必须系统考量各类影响因素，协调处理不同学科在目标设定、内容选择和方法运用等方面的独特性（叶飞</w:t>
      </w:r>
      <w:r>
        <w:rPr>
          <w:rFonts w:hint="eastAsia" w:ascii="宋体" w:hAnsi="宋体" w:eastAsia="宋体" w:cs="Times New Roman"/>
          <w:kern w:val="0"/>
          <w:sz w:val="21"/>
          <w:szCs w:val="21"/>
          <w14:ligatures w14:val="none"/>
        </w:rPr>
        <w:t>，</w:t>
      </w:r>
      <w:r>
        <w:rPr>
          <w:rFonts w:ascii="宋体" w:hAnsi="宋体" w:eastAsia="宋体" w:cs="Times New Roman"/>
          <w:kern w:val="0"/>
          <w:sz w:val="21"/>
          <w:szCs w:val="21"/>
          <w14:ligatures w14:val="none"/>
        </w:rPr>
        <w:t>2009）。</w:t>
      </w:r>
      <w:r>
        <w:rPr>
          <w:rFonts w:hint="eastAsia" w:ascii="宋体" w:hAnsi="宋体" w:eastAsia="宋体" w:cs="Times New Roman"/>
          <w:kern w:val="0"/>
          <w:sz w:val="21"/>
          <w:szCs w:val="21"/>
          <w14:ligatures w14:val="none"/>
        </w:rPr>
        <w:t>对英语学科来说，学科育人的独特性在于，在语言学习过程中，学生既要通过对异国文化的理解与比较，深化对本国文化的认同，又要通过对多元价值观的接触与辨析，形成正确的价值判断。因此，如何将英语学科知识和品德教育“有机融合”而非“机械附加”，具有重要的现实意义。</w:t>
      </w:r>
      <w:r>
        <w:rPr>
          <w:rFonts w:hint="eastAsia" w:ascii="宋体" w:hAnsi="宋体" w:eastAsia="宋体" w:cs="Times New Roman"/>
          <w:kern w:val="0"/>
          <w:sz w:val="21"/>
          <w:szCs w:val="21"/>
          <w:lang w:val="en-US" w:eastAsia="zh-CN"/>
          <w14:ligatures w14:val="none"/>
        </w:rPr>
        <w:t>笔者认为，</w:t>
      </w:r>
      <w:r>
        <w:rPr>
          <w:rFonts w:hint="eastAsia" w:ascii="宋体" w:hAnsi="宋体" w:eastAsia="宋体" w:cs="Times New Roman"/>
          <w:kern w:val="0"/>
          <w:sz w:val="21"/>
          <w:szCs w:val="21"/>
          <w14:ligatures w14:val="none"/>
        </w:rPr>
        <w:t>“学科育人”</w:t>
      </w:r>
      <w:r>
        <w:rPr>
          <w:rFonts w:hint="eastAsia" w:ascii="宋体" w:hAnsi="宋体" w:eastAsia="宋体" w:cs="Times New Roman"/>
          <w:kern w:val="0"/>
          <w:sz w:val="21"/>
          <w:szCs w:val="21"/>
          <w:lang w:val="en-US" w:eastAsia="zh-CN"/>
          <w14:ligatures w14:val="none"/>
        </w:rPr>
        <w:t>侧重通过</w:t>
      </w:r>
      <w:r>
        <w:rPr>
          <w:rFonts w:hint="eastAsia" w:ascii="宋体" w:hAnsi="宋体" w:eastAsia="宋体" w:cs="Times New Roman"/>
          <w:kern w:val="0"/>
          <w:sz w:val="21"/>
          <w:szCs w:val="21"/>
          <w14:ligatures w14:val="none"/>
        </w:rPr>
        <w:t>学科教学实现学生知识、能力、情感、态度、价值观的全面发展，其范畴大于“学科德育”</w:t>
      </w:r>
      <w:r>
        <w:rPr>
          <w:rFonts w:hint="eastAsia" w:ascii="宋体" w:hAnsi="宋体" w:eastAsia="宋体" w:cs="Times New Roman"/>
          <w:kern w:val="0"/>
          <w:sz w:val="21"/>
          <w:szCs w:val="21"/>
          <w:lang w:eastAsia="zh-CN"/>
          <w14:ligatures w14:val="none"/>
        </w:rPr>
        <w:t>，</w:t>
      </w:r>
      <w:r>
        <w:rPr>
          <w:rFonts w:hint="eastAsia" w:ascii="宋体" w:hAnsi="宋体" w:eastAsia="宋体" w:cs="Times New Roman"/>
          <w:kern w:val="0"/>
          <w:sz w:val="21"/>
          <w:szCs w:val="21"/>
          <w:lang w:val="en-US" w:eastAsia="zh-CN"/>
          <w14:ligatures w14:val="none"/>
        </w:rPr>
        <w:t>其更</w:t>
      </w:r>
      <w:r>
        <w:rPr>
          <w:rFonts w:hint="eastAsia" w:ascii="宋体" w:hAnsi="宋体" w:eastAsia="宋体" w:cs="Times New Roman"/>
          <w:kern w:val="0"/>
          <w:sz w:val="21"/>
          <w:szCs w:val="21"/>
          <w14:ligatures w14:val="none"/>
        </w:rPr>
        <w:t>侧重道德品质教育。本文聚焦价值观塑造与品格培养，采用“学科育人”这一更契合英语学科核心素养的表述</w:t>
      </w:r>
      <w:r>
        <w:rPr>
          <w:rFonts w:hint="eastAsia" w:ascii="宋体" w:hAnsi="宋体" w:eastAsia="宋体" w:cs="Times New Roman"/>
          <w:kern w:val="0"/>
          <w:sz w:val="21"/>
          <w:szCs w:val="21"/>
          <w:lang w:eastAsia="zh-CN"/>
          <w14:ligatures w14:val="none"/>
        </w:rPr>
        <w:t>，</w:t>
      </w:r>
      <w:r>
        <w:rPr>
          <w:rFonts w:hint="eastAsia" w:ascii="宋体" w:hAnsi="宋体" w:eastAsia="宋体" w:cs="Times New Roman"/>
          <w:kern w:val="0"/>
          <w:sz w:val="21"/>
          <w:szCs w:val="21"/>
          <w14:ligatures w14:val="none"/>
        </w:rPr>
        <w:t>从指向学科育人的视角，探索高中英语单元教学设计的实践路径。</w:t>
      </w:r>
    </w:p>
    <w:p w14:paraId="42A1AD03">
      <w:pPr>
        <w:pStyle w:val="41"/>
        <w:numPr>
          <w:ilvl w:val="0"/>
          <w:numId w:val="1"/>
        </w:numPr>
        <w:spacing w:line="240" w:lineRule="auto"/>
        <w:rPr>
          <w:rFonts w:hint="eastAsia" w:ascii="黑体" w:hAnsi="黑体" w:eastAsia="黑体" w:cs="Segoe UI"/>
          <w:b/>
          <w:bCs/>
          <w:color w:val="404040"/>
          <w:sz w:val="24"/>
          <w:shd w:val="clear" w:color="auto" w:fill="FFFFFF"/>
        </w:rPr>
      </w:pPr>
      <w:bookmarkStart w:id="4" w:name="OLE_LINK11"/>
      <w:r>
        <w:rPr>
          <w:rFonts w:hint="eastAsia" w:ascii="黑体" w:hAnsi="黑体" w:eastAsia="黑体" w:cs="Segoe UI"/>
          <w:b/>
          <w:bCs/>
          <w:color w:val="404040"/>
          <w:sz w:val="24"/>
          <w:shd w:val="clear" w:color="auto" w:fill="FFFFFF"/>
          <w:lang w:val="en-US" w:eastAsia="zh-CN"/>
        </w:rPr>
        <w:t>指向</w:t>
      </w:r>
      <w:r>
        <w:rPr>
          <w:rFonts w:hint="eastAsia" w:ascii="黑体" w:hAnsi="黑体" w:eastAsia="黑体" w:cs="Segoe UI"/>
          <w:b/>
          <w:bCs/>
          <w:color w:val="404040"/>
          <w:sz w:val="24"/>
          <w:shd w:val="clear" w:color="auto" w:fill="FFFFFF"/>
        </w:rPr>
        <w:t>学科育人</w:t>
      </w:r>
      <w:r>
        <w:rPr>
          <w:rFonts w:hint="eastAsia" w:ascii="黑体" w:hAnsi="黑体" w:eastAsia="黑体" w:cs="Segoe UI"/>
          <w:b/>
          <w:bCs/>
          <w:color w:val="404040"/>
          <w:sz w:val="24"/>
          <w:shd w:val="clear" w:color="auto" w:fill="FFFFFF"/>
          <w:lang w:eastAsia="zh-CN"/>
        </w:rPr>
        <w:t>的</w:t>
      </w:r>
      <w:r>
        <w:rPr>
          <w:rFonts w:hint="eastAsia" w:ascii="黑体" w:hAnsi="黑体" w:eastAsia="黑体" w:cs="Segoe UI"/>
          <w:b/>
          <w:bCs/>
          <w:color w:val="404040"/>
          <w:sz w:val="24"/>
          <w:shd w:val="clear" w:color="auto" w:fill="FFFFFF"/>
        </w:rPr>
        <w:t>高中英语单元教学</w:t>
      </w:r>
    </w:p>
    <w:bookmarkEnd w:id="4"/>
    <w:p w14:paraId="5E047B8F">
      <w:pPr>
        <w:spacing w:after="0" w:line="240" w:lineRule="auto"/>
        <w:ind w:firstLine="465"/>
        <w:rPr>
          <w:rFonts w:hint="eastAsia" w:ascii="宋体" w:hAnsi="宋体" w:eastAsia="宋体" w:cs="Times New Roman"/>
          <w:kern w:val="0"/>
          <w:sz w:val="21"/>
          <w:szCs w:val="21"/>
          <w14:ligatures w14:val="none"/>
        </w:rPr>
      </w:pPr>
      <w:r>
        <w:rPr>
          <w:rFonts w:hint="eastAsia" w:ascii="宋体" w:hAnsi="宋体" w:eastAsia="宋体" w:cs="Times New Roman"/>
          <w:kern w:val="0"/>
          <w:sz w:val="21"/>
          <w:szCs w:val="21"/>
          <w14:ligatures w14:val="none"/>
        </w:rPr>
        <w:t>有学者认为，学科育人是指学习者在学习学科知识和发展学科能力之外，在心智能力、情感态度、思想品德、社会责任等方面的发展（</w:t>
      </w:r>
      <w:r>
        <w:rPr>
          <w:rFonts w:ascii="宋体" w:hAnsi="宋体" w:eastAsia="宋体" w:cs="Times New Roman"/>
          <w:kern w:val="0"/>
          <w:sz w:val="21"/>
          <w:szCs w:val="21"/>
          <w14:ligatures w14:val="none"/>
        </w:rPr>
        <w:t>王磊</w:t>
      </w:r>
      <w:r>
        <w:rPr>
          <w:rFonts w:hint="eastAsia" w:ascii="宋体" w:hAnsi="宋体" w:eastAsia="宋体" w:cs="Times New Roman"/>
          <w:kern w:val="0"/>
          <w:sz w:val="21"/>
          <w:szCs w:val="21"/>
          <w14:ligatures w14:val="none"/>
        </w:rPr>
        <w:t>、</w:t>
      </w:r>
      <w:r>
        <w:rPr>
          <w:rFonts w:ascii="宋体" w:hAnsi="宋体" w:eastAsia="宋体" w:cs="Times New Roman"/>
          <w:kern w:val="0"/>
          <w:sz w:val="21"/>
          <w:szCs w:val="21"/>
          <w14:ligatures w14:val="none"/>
        </w:rPr>
        <w:t>张景斌</w:t>
      </w:r>
      <w:r>
        <w:rPr>
          <w:rFonts w:hint="eastAsia" w:ascii="宋体" w:hAnsi="宋体" w:eastAsia="宋体" w:cs="Times New Roman"/>
          <w:kern w:val="0"/>
          <w:sz w:val="21"/>
          <w:szCs w:val="21"/>
          <w14:ligatures w14:val="none"/>
        </w:rPr>
        <w:t>，2019）。对于英语学科来说，学科育人有其特殊性。</w:t>
      </w:r>
      <w:r>
        <w:rPr>
          <w:rFonts w:ascii="宋体" w:hAnsi="宋体" w:eastAsia="宋体" w:cs="Times New Roman"/>
          <w:kern w:val="0"/>
          <w:sz w:val="21"/>
          <w:szCs w:val="21"/>
          <w14:ligatures w14:val="none"/>
        </w:rPr>
        <w:t>《</w:t>
      </w:r>
      <w:r>
        <w:rPr>
          <w:rFonts w:hint="eastAsia" w:ascii="宋体" w:hAnsi="宋体" w:eastAsia="宋体" w:cs="Times New Roman"/>
          <w:kern w:val="0"/>
          <w:sz w:val="21"/>
          <w:szCs w:val="21"/>
          <w:lang w:val="en-US" w:eastAsia="zh-CN"/>
          <w14:ligatures w14:val="none"/>
        </w:rPr>
        <w:t>课程标准</w:t>
      </w:r>
      <w:r>
        <w:rPr>
          <w:rFonts w:ascii="宋体" w:hAnsi="宋体" w:eastAsia="宋体" w:cs="Times New Roman"/>
          <w:kern w:val="0"/>
          <w:sz w:val="21"/>
          <w:szCs w:val="21"/>
          <w14:ligatures w14:val="none"/>
        </w:rPr>
        <w:t>》</w:t>
      </w:r>
      <w:r>
        <w:rPr>
          <w:rFonts w:hint="eastAsia" w:ascii="宋体" w:hAnsi="宋体" w:eastAsia="宋体" w:cs="Times New Roman"/>
          <w:kern w:val="0"/>
          <w:sz w:val="21"/>
          <w:szCs w:val="21"/>
          <w14:ligatures w14:val="none"/>
        </w:rPr>
        <w:t>指出，要</w:t>
      </w:r>
      <w:r>
        <w:rPr>
          <w:rFonts w:ascii="宋体" w:hAnsi="宋体" w:eastAsia="宋体" w:cs="Times New Roman"/>
          <w:kern w:val="0"/>
          <w:sz w:val="21"/>
          <w:szCs w:val="21"/>
          <w14:ligatures w14:val="none"/>
        </w:rPr>
        <w:t>综合发展学生的价值观念、道德品格、学科素养和成事能力</w:t>
      </w:r>
      <w:r>
        <w:rPr>
          <w:rFonts w:hint="eastAsia" w:ascii="宋体" w:hAnsi="宋体" w:eastAsia="宋体" w:cs="Times New Roman"/>
          <w:kern w:val="0"/>
          <w:sz w:val="21"/>
          <w:szCs w:val="21"/>
          <w14:ligatures w14:val="none"/>
        </w:rPr>
        <w:t>，英语学科要在发展学生的语言能力、文化意识、思维品质和学习能力等英语学科核心素养过程中，落实立德树人根本任务。结合梅德明（2018）提出的英语学科教育育人功能</w:t>
      </w:r>
      <w:r>
        <w:rPr>
          <w:rFonts w:hint="eastAsia" w:ascii="宋体" w:hAnsi="宋体" w:eastAsia="宋体" w:cs="Times New Roman"/>
          <w:kern w:val="0"/>
          <w:sz w:val="21"/>
          <w:szCs w:val="21"/>
          <w:lang w:eastAsia="zh-CN"/>
          <w14:ligatures w14:val="none"/>
        </w:rPr>
        <w:t>—</w:t>
      </w:r>
      <w:r>
        <w:rPr>
          <w:rFonts w:ascii="宋体" w:hAnsi="宋体" w:eastAsia="宋体" w:cs="Times New Roman"/>
          <w:kern w:val="0"/>
          <w:sz w:val="21"/>
          <w:szCs w:val="21"/>
          <w14:ligatures w14:val="none"/>
        </w:rPr>
        <w:t>植根中华文化自信，拓展全球多元视野，发展跨文化交流与合作胜任力</w:t>
      </w:r>
      <w:r>
        <w:rPr>
          <w:rFonts w:hint="eastAsia" w:ascii="宋体" w:hAnsi="宋体" w:eastAsia="宋体" w:cs="Times New Roman"/>
          <w:kern w:val="0"/>
          <w:sz w:val="21"/>
          <w:szCs w:val="21"/>
          <w:lang w:eastAsia="zh-CN"/>
          <w14:ligatures w14:val="none"/>
        </w:rPr>
        <w:t>，</w:t>
      </w:r>
      <w:r>
        <w:rPr>
          <w:rFonts w:hint="eastAsia" w:ascii="宋体" w:hAnsi="宋体" w:eastAsia="宋体" w:cs="Times New Roman"/>
          <w:kern w:val="0"/>
          <w:sz w:val="21"/>
          <w:szCs w:val="21"/>
          <w14:ligatures w14:val="none"/>
        </w:rPr>
        <w:t>笔者认为，英语</w:t>
      </w:r>
      <w:r>
        <w:rPr>
          <w:rFonts w:ascii="宋体" w:hAnsi="宋体" w:eastAsia="宋体" w:cs="Times New Roman"/>
          <w:kern w:val="0"/>
          <w:sz w:val="21"/>
          <w:szCs w:val="21"/>
          <w14:ligatures w14:val="none"/>
        </w:rPr>
        <w:t>学科教学不仅承担知识传授的功能，更应发挥价值引领、品格塑造与文化传承的育人作用</w:t>
      </w:r>
      <w:r>
        <w:rPr>
          <w:rFonts w:hint="eastAsia" w:ascii="宋体" w:hAnsi="宋体" w:eastAsia="宋体" w:cs="Times New Roman"/>
          <w:kern w:val="0"/>
          <w:sz w:val="21"/>
          <w:szCs w:val="21"/>
          <w14:ligatures w14:val="none"/>
        </w:rPr>
        <w:t>。</w:t>
      </w:r>
    </w:p>
    <w:p w14:paraId="787BCA7E">
      <w:pPr>
        <w:spacing w:after="0" w:line="240" w:lineRule="auto"/>
        <w:ind w:firstLine="465"/>
        <w:rPr>
          <w:rFonts w:hint="eastAsia" w:ascii="宋体" w:hAnsi="宋体" w:eastAsia="宋体" w:cs="Times New Roman"/>
          <w:kern w:val="0"/>
          <w:sz w:val="21"/>
          <w:szCs w:val="21"/>
          <w14:ligatures w14:val="none"/>
        </w:rPr>
      </w:pPr>
      <w:r>
        <w:rPr>
          <w:rFonts w:hint="eastAsia" w:ascii="宋体" w:hAnsi="宋体" w:eastAsia="宋体" w:cs="Times New Roman"/>
          <w:kern w:val="0"/>
          <w:sz w:val="21"/>
          <w:szCs w:val="21"/>
          <w14:ligatures w14:val="none"/>
        </w:rPr>
        <w:t>教师在进行教学实践时，需在单元层面构建指向学科育人的系统框架</w:t>
      </w:r>
      <w:r>
        <w:rPr>
          <w:rFonts w:hint="eastAsia" w:ascii="宋体" w:hAnsi="宋体" w:eastAsia="宋体" w:cs="Times New Roman"/>
          <w:kern w:val="0"/>
          <w:sz w:val="21"/>
          <w:szCs w:val="21"/>
          <w:lang w:eastAsia="zh-CN"/>
          <w14:ligatures w14:val="none"/>
        </w:rPr>
        <w:t>。</w:t>
      </w:r>
      <w:r>
        <w:rPr>
          <w:rFonts w:hint="eastAsia" w:ascii="宋体" w:hAnsi="宋体" w:eastAsia="宋体" w:cs="Times New Roman"/>
          <w:kern w:val="0"/>
          <w:sz w:val="21"/>
          <w:szCs w:val="21"/>
          <w:lang w:val="en-US" w:eastAsia="zh-CN"/>
          <w14:ligatures w14:val="none"/>
        </w:rPr>
        <w:t>本文提出的框架</w:t>
      </w:r>
      <w:r>
        <w:rPr>
          <w:rFonts w:hint="eastAsia" w:ascii="宋体" w:hAnsi="宋体" w:eastAsia="宋体" w:cs="Times New Roman"/>
          <w:kern w:val="0"/>
          <w:sz w:val="21"/>
          <w:szCs w:val="21"/>
          <w14:ligatures w14:val="none"/>
        </w:rPr>
        <w:t>框架遵循“目标统领—路径融合—评价保障”的递进逻辑。首先，以单元大观念的提炼为逻辑起点，建构分层价值观目标体系：大观念作为落实核心素养的重要抓手，本身就有助于学科育人（王蔷等，2022），它统摄单元内所有语篇的育人价值，将零散德育元素整合为系统育人主线。其次，以语言学习与价值塑造的融合为实施路径，实现双线并行：学科育人应避免生硬的道德说教，而是挖掘学科中的育人元素，实现知识学习和品德教育的有机统一（王春晖，2022），育人目标应源于文本、融入情境、分层递进，使价值观教育从“外在渗透”走向“内在生成”。最后，以</w:t>
      </w:r>
      <w:r>
        <w:rPr>
          <w:rFonts w:hint="eastAsia" w:ascii="宋体" w:hAnsi="宋体" w:eastAsia="宋体" w:cs="Times New Roman"/>
          <w:kern w:val="0"/>
          <w:sz w:val="21"/>
          <w:szCs w:val="21"/>
          <w:lang w:val="en-US" w:eastAsia="zh-CN"/>
          <w14:ligatures w14:val="none"/>
        </w:rPr>
        <w:t>评价</w:t>
      </w:r>
      <w:r>
        <w:rPr>
          <w:rFonts w:hint="eastAsia" w:ascii="宋体" w:hAnsi="宋体" w:eastAsia="宋体" w:cs="Times New Roman"/>
          <w:kern w:val="0"/>
          <w:sz w:val="21"/>
          <w:szCs w:val="21"/>
          <w14:ligatures w14:val="none"/>
        </w:rPr>
        <w:t>为质量保障，构建三维评价反馈机制：《课程标准》强调建立以学生为主体的课程评价体系的重要性（教育部，2025），评价作为实现学科育人的重要一环（王蔷、李亮，2019），应嵌入教学全过程，将育人目标转化为可观测指标，通过过程性、表现性、反思性等评价方式的协同，实现育人成效的可诊断与可改进。三个层次环环相扣——目标体系是起点与方向，融合路径是核心实施过程，评价反馈是质量保障与改进依据，英语学科核心素养的发展则贯穿始终，既是最终目标指向，也是各层次实践的内在驱动力。</w:t>
      </w:r>
    </w:p>
    <w:p w14:paraId="1138DC46">
      <w:pPr>
        <w:spacing w:line="240" w:lineRule="auto"/>
        <w:ind w:firstLine="482" w:firstLineChars="200"/>
        <w:rPr>
          <w:rFonts w:hint="eastAsia" w:ascii="黑体" w:hAnsi="黑体" w:eastAsia="黑体" w:cs="Segoe UI"/>
          <w:b/>
          <w:bCs/>
          <w:color w:val="404040"/>
          <w:sz w:val="24"/>
          <w:shd w:val="clear" w:color="auto" w:fill="FFFFFF"/>
        </w:rPr>
      </w:pPr>
      <w:bookmarkStart w:id="5" w:name="OLE_LINK6"/>
      <w:r>
        <w:rPr>
          <w:rFonts w:hint="eastAsia" w:ascii="黑体" w:hAnsi="黑体" w:eastAsia="黑体" w:cs="Segoe UI"/>
          <w:b/>
          <w:bCs/>
          <w:color w:val="404040"/>
          <w:sz w:val="24"/>
          <w:shd w:val="clear" w:color="auto" w:fill="FFFFFF"/>
        </w:rPr>
        <w:t>三、案例探究: 指向育人价值的单元整体教学设计</w:t>
      </w:r>
    </w:p>
    <w:bookmarkEnd w:id="5"/>
    <w:p w14:paraId="2723FAF2">
      <w:pPr>
        <w:spacing w:after="0" w:line="240" w:lineRule="auto"/>
        <w:ind w:firstLine="420" w:firstLineChars="200"/>
        <w:rPr>
          <w:rFonts w:ascii="Times New Roman" w:hAnsi="Times New Roman" w:eastAsia="宋体" w:cs="Times New Roman"/>
          <w:kern w:val="0"/>
          <w:sz w:val="21"/>
          <w:szCs w:val="21"/>
          <w14:ligatures w14:val="none"/>
        </w:rPr>
      </w:pPr>
      <w:r>
        <w:rPr>
          <w:rFonts w:hint="eastAsia" w:ascii="Times New Roman" w:hAnsi="Times New Roman" w:eastAsia="宋体" w:cs="Times New Roman"/>
          <w:kern w:val="0"/>
          <w:sz w:val="21"/>
          <w:szCs w:val="21"/>
          <w14:ligatures w14:val="none"/>
        </w:rPr>
        <w:t>基于上述理念，本文选取《高中英语》（上教版）必修第二册第四单元“Achievements”为单元案例，从单元育人主线与目标体系建构、语言学习与价值塑造的融合路径和育人成效的评价反馈机制三方面展开，探究学科育人视域下的单元教学。</w:t>
      </w:r>
    </w:p>
    <w:p w14:paraId="4D673063">
      <w:pPr>
        <w:spacing w:after="0" w:line="240" w:lineRule="auto"/>
        <w:ind w:firstLine="420" w:firstLineChars="200"/>
        <w:rPr>
          <w:rFonts w:hint="eastAsia" w:ascii="宋体" w:hAnsi="宋体" w:eastAsia="宋体" w:cs="Segoe UI"/>
          <w:sz w:val="21"/>
          <w:szCs w:val="21"/>
          <w:shd w:val="clear" w:color="auto" w:fill="FFFFFF"/>
        </w:rPr>
      </w:pPr>
      <w:r>
        <w:rPr>
          <w:rFonts w:hint="eastAsia" w:ascii="Times New Roman" w:hAnsi="Times New Roman" w:eastAsia="宋体" w:cs="Times New Roman"/>
          <w:kern w:val="0"/>
          <w:sz w:val="21"/>
          <w:szCs w:val="21"/>
          <w14:ligatures w14:val="none"/>
        </w:rPr>
        <w:t>该单元涵盖听、说、读、写、看五大技能。每个板块以一种语言技能活动为主，兼顾对其他技能的培养，且这些板块关注语言的理解性技能和表达性技能的协调发展。表1整合听、说、读、写、看技能的教学内容结构，清晰呈现了本单元的“成就”主题。</w:t>
      </w:r>
    </w:p>
    <w:p w14:paraId="5A7EFC0B">
      <w:pPr>
        <w:pStyle w:val="41"/>
        <w:spacing w:after="0" w:line="240" w:lineRule="auto"/>
        <w:ind w:left="440"/>
        <w:jc w:val="center"/>
        <w:rPr>
          <w:rFonts w:hint="eastAsia" w:ascii="黑体" w:hAnsi="黑体" w:eastAsia="黑体" w:cs="Segoe UI"/>
          <w:sz w:val="21"/>
          <w:szCs w:val="21"/>
          <w:shd w:val="clear" w:color="auto" w:fill="FFFFFF"/>
        </w:rPr>
      </w:pPr>
      <w:r>
        <w:rPr>
          <w:rFonts w:hint="eastAsia" w:ascii="黑体" w:hAnsi="黑体" w:eastAsia="黑体" w:cs="Segoe UI"/>
          <w:sz w:val="21"/>
          <w:szCs w:val="21"/>
          <w:shd w:val="clear" w:color="auto" w:fill="FFFFFF"/>
        </w:rPr>
        <w:t>表1</w:t>
      </w:r>
      <w:r>
        <w:rPr>
          <w:rFonts w:ascii="黑体" w:hAnsi="黑体" w:eastAsia="黑体" w:cs="Segoe UI"/>
          <w:sz w:val="21"/>
          <w:szCs w:val="21"/>
          <w:shd w:val="clear" w:color="auto" w:fill="FFFFFF"/>
        </w:rPr>
        <w:t xml:space="preserve"> 高中英语上教版必修</w:t>
      </w:r>
      <w:r>
        <w:rPr>
          <w:rFonts w:ascii="黑体" w:hAnsi="黑体" w:eastAsia="黑体" w:cs="Times New Roman"/>
          <w:sz w:val="21"/>
          <w:szCs w:val="21"/>
          <w:shd w:val="clear" w:color="auto" w:fill="FFFFFF"/>
        </w:rPr>
        <w:t>2</w:t>
      </w:r>
      <w:r>
        <w:rPr>
          <w:rFonts w:ascii="Times New Roman" w:hAnsi="Times New Roman" w:eastAsia="黑体" w:cs="Times New Roman"/>
          <w:sz w:val="21"/>
          <w:szCs w:val="21"/>
          <w:shd w:val="clear" w:color="auto" w:fill="FFFFFF"/>
        </w:rPr>
        <w:t xml:space="preserve"> Unit 4 Achievements </w:t>
      </w:r>
      <w:r>
        <w:rPr>
          <w:rFonts w:ascii="黑体" w:hAnsi="黑体" w:eastAsia="黑体" w:cs="Segoe UI"/>
          <w:sz w:val="21"/>
          <w:szCs w:val="21"/>
          <w:shd w:val="clear" w:color="auto" w:fill="FFFFFF"/>
        </w:rPr>
        <w:t>单元内容</w:t>
      </w:r>
    </w:p>
    <w:tbl>
      <w:tblPr>
        <w:tblStyle w:val="22"/>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2"/>
        <w:gridCol w:w="1158"/>
        <w:gridCol w:w="2610"/>
        <w:gridCol w:w="2451"/>
      </w:tblGrid>
      <w:tr w14:paraId="3875B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2" w:type="dxa"/>
            <w:vAlign w:val="center"/>
          </w:tcPr>
          <w:p w14:paraId="54980B89">
            <w:pPr>
              <w:spacing w:after="0" w:line="240" w:lineRule="auto"/>
              <w:jc w:val="center"/>
              <w:rPr>
                <w:rFonts w:hint="eastAsia" w:ascii="宋体" w:hAnsi="宋体" w:eastAsia="宋体" w:cs="Segoe UI"/>
                <w:kern w:val="0"/>
                <w:sz w:val="18"/>
                <w:szCs w:val="18"/>
                <w:shd w:val="clear" w:color="auto" w:fill="FFFFFF"/>
                <w14:ligatures w14:val="none"/>
              </w:rPr>
            </w:pPr>
            <w:r>
              <w:rPr>
                <w:rFonts w:ascii="宋体" w:hAnsi="宋体" w:eastAsia="宋体" w:cs="Arial"/>
                <w:b/>
                <w:bCs/>
                <w:color w:val="000000" w:themeColor="text1"/>
                <w:sz w:val="18"/>
                <w:szCs w:val="18"/>
                <w14:textFill>
                  <w14:solidFill>
                    <w14:schemeClr w14:val="tx1"/>
                  </w14:solidFill>
                </w14:textFill>
                <w14:ligatures w14:val="none"/>
              </w:rPr>
              <w:t>语篇</w:t>
            </w:r>
          </w:p>
        </w:tc>
        <w:tc>
          <w:tcPr>
            <w:tcW w:w="1158" w:type="dxa"/>
            <w:vAlign w:val="center"/>
          </w:tcPr>
          <w:p w14:paraId="67FF62EE">
            <w:pPr>
              <w:spacing w:after="0" w:line="240" w:lineRule="auto"/>
              <w:jc w:val="center"/>
              <w:rPr>
                <w:rFonts w:hint="eastAsia" w:ascii="宋体" w:hAnsi="宋体" w:eastAsia="宋体" w:cs="Segoe UI"/>
                <w:kern w:val="0"/>
                <w:sz w:val="18"/>
                <w:szCs w:val="18"/>
                <w:shd w:val="clear" w:color="auto" w:fill="FFFFFF"/>
                <w14:ligatures w14:val="none"/>
              </w:rPr>
            </w:pPr>
            <w:r>
              <w:rPr>
                <w:rFonts w:hint="eastAsia" w:ascii="宋体" w:hAnsi="宋体" w:eastAsia="宋体" w:cs="Arial"/>
                <w:b/>
                <w:bCs/>
                <w:color w:val="000000" w:themeColor="text1"/>
                <w:sz w:val="18"/>
                <w:szCs w:val="18"/>
                <w14:textFill>
                  <w14:solidFill>
                    <w14:schemeClr w14:val="tx1"/>
                  </w14:solidFill>
                </w14:textFill>
                <w14:ligatures w14:val="none"/>
              </w:rPr>
              <w:t>语篇类型（技能）</w:t>
            </w:r>
          </w:p>
        </w:tc>
        <w:tc>
          <w:tcPr>
            <w:tcW w:w="2610" w:type="dxa"/>
            <w:vAlign w:val="center"/>
          </w:tcPr>
          <w:p w14:paraId="4B832E56">
            <w:pPr>
              <w:spacing w:after="0" w:line="240" w:lineRule="auto"/>
              <w:jc w:val="center"/>
              <w:rPr>
                <w:rFonts w:hint="eastAsia" w:ascii="宋体" w:hAnsi="宋体" w:eastAsia="宋体" w:cs="Segoe UI"/>
                <w:kern w:val="0"/>
                <w:sz w:val="18"/>
                <w:szCs w:val="18"/>
                <w:shd w:val="clear" w:color="auto" w:fill="FFFFFF"/>
                <w14:ligatures w14:val="none"/>
              </w:rPr>
            </w:pPr>
            <w:r>
              <w:rPr>
                <w:rFonts w:hint="eastAsia" w:ascii="宋体" w:hAnsi="宋体" w:eastAsia="宋体" w:cs="Arial"/>
                <w:b/>
                <w:bCs/>
                <w:color w:val="000000" w:themeColor="text1"/>
                <w:sz w:val="18"/>
                <w:szCs w:val="18"/>
                <w14:textFill>
                  <w14:solidFill>
                    <w14:schemeClr w14:val="tx1"/>
                  </w14:solidFill>
                </w14:textFill>
                <w14:ligatures w14:val="none"/>
              </w:rPr>
              <w:t>语篇内容</w:t>
            </w:r>
          </w:p>
        </w:tc>
        <w:tc>
          <w:tcPr>
            <w:tcW w:w="2451" w:type="dxa"/>
            <w:vAlign w:val="center"/>
          </w:tcPr>
          <w:p w14:paraId="029565F9">
            <w:pPr>
              <w:spacing w:after="0" w:line="240" w:lineRule="auto"/>
              <w:jc w:val="center"/>
              <w:rPr>
                <w:rFonts w:hint="eastAsia" w:ascii="宋体" w:hAnsi="宋体" w:eastAsia="宋体" w:cs="Segoe UI"/>
                <w:kern w:val="0"/>
                <w:sz w:val="18"/>
                <w:szCs w:val="18"/>
                <w:shd w:val="clear" w:color="auto" w:fill="FFFFFF"/>
                <w14:ligatures w14:val="none"/>
              </w:rPr>
            </w:pPr>
            <w:r>
              <w:rPr>
                <w:rFonts w:hint="eastAsia" w:ascii="宋体" w:hAnsi="宋体" w:eastAsia="宋体" w:cs="Arial"/>
                <w:b/>
                <w:bCs/>
                <w:color w:val="000000" w:themeColor="text1"/>
                <w:sz w:val="18"/>
                <w:szCs w:val="18"/>
                <w14:textFill>
                  <w14:solidFill>
                    <w14:schemeClr w14:val="tx1"/>
                  </w14:solidFill>
                </w14:textFill>
                <w14:ligatures w14:val="none"/>
              </w:rPr>
              <w:t>语篇主题</w:t>
            </w:r>
          </w:p>
        </w:tc>
      </w:tr>
      <w:tr w14:paraId="312A2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2" w:type="dxa"/>
            <w:shd w:val="clear" w:color="auto" w:fill="EAEFF7"/>
            <w:vAlign w:val="center"/>
          </w:tcPr>
          <w:p w14:paraId="16AB0680">
            <w:pPr>
              <w:spacing w:after="0" w:line="240" w:lineRule="auto"/>
              <w:rPr>
                <w:rFonts w:ascii="Times New Roman" w:hAnsi="Times New Roman" w:eastAsia="宋体" w:cs="Times New Roman"/>
                <w:kern w:val="0"/>
                <w:sz w:val="18"/>
                <w:szCs w:val="18"/>
                <w:shd w:val="clear" w:color="auto" w:fill="FFFFFF"/>
                <w14:ligatures w14:val="none"/>
              </w:rPr>
            </w:pPr>
            <w:bookmarkStart w:id="6" w:name="OLE_LINK14"/>
            <w:r>
              <w:rPr>
                <w:rFonts w:ascii="Times New Roman" w:hAnsi="Times New Roman" w:eastAsia="宋体" w:cs="Times New Roman"/>
                <w:b/>
                <w:bCs/>
                <w:color w:val="000000" w:themeColor="text1"/>
                <w:sz w:val="18"/>
                <w:szCs w:val="18"/>
                <w14:textFill>
                  <w14:solidFill>
                    <w14:schemeClr w14:val="tx1"/>
                  </w14:solidFill>
                </w14:textFill>
                <w14:ligatures w14:val="none"/>
              </w:rPr>
              <w:t>The Old Man and the Sea (an excerpt)</w:t>
            </w:r>
            <w:bookmarkEnd w:id="6"/>
          </w:p>
        </w:tc>
        <w:tc>
          <w:tcPr>
            <w:tcW w:w="1158" w:type="dxa"/>
            <w:shd w:val="clear" w:color="auto" w:fill="EAEFF7"/>
          </w:tcPr>
          <w:p w14:paraId="3A252688">
            <w:pPr>
              <w:spacing w:after="0" w:line="240" w:lineRule="auto"/>
              <w:jc w:val="center"/>
              <w:rPr>
                <w:rFonts w:hint="eastAsia" w:ascii="宋体" w:hAnsi="宋体" w:eastAsia="宋体" w:cs="Segoe UI"/>
                <w:kern w:val="0"/>
                <w:sz w:val="18"/>
                <w:szCs w:val="18"/>
                <w:shd w:val="clear" w:color="auto" w:fill="FFFFFF"/>
                <w14:ligatures w14:val="none"/>
              </w:rPr>
            </w:pPr>
            <w:r>
              <w:rPr>
                <w:rFonts w:hint="eastAsia" w:ascii="宋体" w:hAnsi="宋体" w:eastAsia="宋体" w:cs="Arial"/>
                <w:color w:val="000000" w:themeColor="text1"/>
                <w:sz w:val="18"/>
                <w:szCs w:val="18"/>
                <w14:textFill>
                  <w14:solidFill>
                    <w14:schemeClr w14:val="tx1"/>
                  </w14:solidFill>
                </w14:textFill>
                <w14:ligatures w14:val="none"/>
              </w:rPr>
              <w:t>文学选段（阅读）</w:t>
            </w:r>
          </w:p>
        </w:tc>
        <w:tc>
          <w:tcPr>
            <w:tcW w:w="2610" w:type="dxa"/>
            <w:shd w:val="clear" w:color="auto" w:fill="EAEFF7"/>
          </w:tcPr>
          <w:p w14:paraId="3E43F491">
            <w:pPr>
              <w:spacing w:after="0" w:line="240" w:lineRule="auto"/>
              <w:rPr>
                <w:rFonts w:hint="eastAsia" w:ascii="宋体" w:hAnsi="宋体" w:eastAsia="宋体" w:cs="Segoe UI"/>
                <w:kern w:val="0"/>
                <w:sz w:val="18"/>
                <w:szCs w:val="18"/>
                <w:shd w:val="clear" w:color="auto" w:fill="FFFFFF"/>
                <w14:ligatures w14:val="none"/>
              </w:rPr>
            </w:pPr>
            <w:r>
              <w:rPr>
                <w:rFonts w:hint="eastAsia" w:ascii="宋体" w:hAnsi="宋体" w:eastAsia="宋体" w:cs="Arial"/>
                <w:color w:val="000000" w:themeColor="text1"/>
                <w:sz w:val="18"/>
                <w:szCs w:val="18"/>
                <w14:textFill>
                  <w14:solidFill>
                    <w14:schemeClr w14:val="tx1"/>
                  </w14:solidFill>
                </w14:textFill>
                <w14:ligatures w14:val="none"/>
              </w:rPr>
              <w:t>《老人与海》战胜鲨鱼选段</w:t>
            </w:r>
          </w:p>
        </w:tc>
        <w:tc>
          <w:tcPr>
            <w:tcW w:w="2451" w:type="dxa"/>
            <w:shd w:val="clear" w:color="auto" w:fill="EAEFF7"/>
          </w:tcPr>
          <w:p w14:paraId="500A2B40">
            <w:pPr>
              <w:spacing w:after="0" w:line="240" w:lineRule="auto"/>
              <w:rPr>
                <w:rFonts w:hint="eastAsia" w:ascii="宋体" w:hAnsi="宋体" w:eastAsia="宋体" w:cs="Segoe UI"/>
                <w:kern w:val="0"/>
                <w:sz w:val="18"/>
                <w:szCs w:val="18"/>
                <w:shd w:val="clear" w:color="auto" w:fill="FFFFFF"/>
                <w14:ligatures w14:val="none"/>
              </w:rPr>
            </w:pPr>
            <w:r>
              <w:rPr>
                <w:rFonts w:hint="eastAsia" w:ascii="宋体" w:hAnsi="宋体" w:eastAsia="宋体" w:cs="Arial"/>
                <w:color w:val="000000" w:themeColor="text1"/>
                <w:sz w:val="18"/>
                <w:szCs w:val="18"/>
                <w14:textFill>
                  <w14:solidFill>
                    <w14:schemeClr w14:val="tx1"/>
                  </w14:solidFill>
                </w14:textFill>
                <w14:ligatures w14:val="none"/>
              </w:rPr>
              <w:t>坚持与勇气是成功的关键</w:t>
            </w:r>
          </w:p>
        </w:tc>
      </w:tr>
      <w:tr w14:paraId="3DF8F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2" w:type="dxa"/>
            <w:vAlign w:val="center"/>
          </w:tcPr>
          <w:p w14:paraId="396129DE">
            <w:pPr>
              <w:spacing w:after="0" w:line="240" w:lineRule="auto"/>
              <w:rPr>
                <w:rFonts w:ascii="Times New Roman" w:hAnsi="Times New Roman" w:eastAsia="宋体" w:cs="Times New Roman"/>
                <w:kern w:val="0"/>
                <w:sz w:val="18"/>
                <w:szCs w:val="18"/>
                <w:shd w:val="clear" w:color="auto" w:fill="FFFFFF"/>
                <w14:ligatures w14:val="none"/>
              </w:rPr>
            </w:pPr>
            <w:r>
              <w:rPr>
                <w:rFonts w:ascii="Times New Roman" w:hAnsi="Times New Roman" w:eastAsia="宋体" w:cs="Times New Roman"/>
                <w:b/>
                <w:bCs/>
                <w:color w:val="000000" w:themeColor="text1"/>
                <w:sz w:val="18"/>
                <w:szCs w:val="18"/>
                <w14:textFill>
                  <w14:solidFill>
                    <w14:schemeClr w14:val="tx1"/>
                  </w14:solidFill>
                </w14:textFill>
                <w14:ligatures w14:val="none"/>
              </w:rPr>
              <w:t>Yuan Longping and super hybrid rice</w:t>
            </w:r>
          </w:p>
        </w:tc>
        <w:tc>
          <w:tcPr>
            <w:tcW w:w="1158" w:type="dxa"/>
          </w:tcPr>
          <w:p w14:paraId="5F900249">
            <w:pPr>
              <w:spacing w:after="0" w:line="240" w:lineRule="auto"/>
              <w:jc w:val="center"/>
              <w:rPr>
                <w:rFonts w:hint="eastAsia" w:ascii="宋体" w:hAnsi="宋体" w:eastAsia="宋体" w:cs="Segoe UI"/>
                <w:kern w:val="0"/>
                <w:sz w:val="18"/>
                <w:szCs w:val="18"/>
                <w:shd w:val="clear" w:color="auto" w:fill="FFFFFF"/>
                <w14:ligatures w14:val="none"/>
              </w:rPr>
            </w:pPr>
            <w:r>
              <w:rPr>
                <w:rFonts w:hint="eastAsia" w:ascii="宋体" w:hAnsi="宋体" w:eastAsia="宋体" w:cs="Arial"/>
                <w:color w:val="000000" w:themeColor="text1"/>
                <w:sz w:val="18"/>
                <w:szCs w:val="18"/>
                <w14:textFill>
                  <w14:solidFill>
                    <w14:schemeClr w14:val="tx1"/>
                  </w14:solidFill>
                </w14:textFill>
                <w14:ligatures w14:val="none"/>
              </w:rPr>
              <w:t>人物传记（阅读）</w:t>
            </w:r>
          </w:p>
        </w:tc>
        <w:tc>
          <w:tcPr>
            <w:tcW w:w="2610" w:type="dxa"/>
          </w:tcPr>
          <w:p w14:paraId="32B4A627">
            <w:pPr>
              <w:spacing w:after="0" w:line="240" w:lineRule="auto"/>
              <w:rPr>
                <w:rFonts w:hint="eastAsia" w:ascii="宋体" w:hAnsi="宋体" w:eastAsia="宋体" w:cs="Segoe UI"/>
                <w:kern w:val="0"/>
                <w:sz w:val="18"/>
                <w:szCs w:val="18"/>
                <w:shd w:val="clear" w:color="auto" w:fill="FFFFFF"/>
                <w14:ligatures w14:val="none"/>
              </w:rPr>
            </w:pPr>
            <w:r>
              <w:rPr>
                <w:rFonts w:hint="eastAsia" w:ascii="宋体" w:hAnsi="宋体" w:eastAsia="宋体" w:cs="Arial"/>
                <w:color w:val="000000" w:themeColor="text1"/>
                <w:sz w:val="18"/>
                <w:szCs w:val="18"/>
                <w14:textFill>
                  <w14:solidFill>
                    <w14:schemeClr w14:val="tx1"/>
                  </w14:solidFill>
                </w14:textFill>
                <w14:ligatures w14:val="none"/>
              </w:rPr>
              <w:t>袁隆平研发杂交水稻的经历</w:t>
            </w:r>
          </w:p>
        </w:tc>
        <w:tc>
          <w:tcPr>
            <w:tcW w:w="2451" w:type="dxa"/>
          </w:tcPr>
          <w:p w14:paraId="5756F4C4">
            <w:pPr>
              <w:spacing w:after="0" w:line="240" w:lineRule="auto"/>
              <w:rPr>
                <w:rFonts w:hint="eastAsia" w:ascii="宋体" w:hAnsi="宋体" w:eastAsia="宋体" w:cs="Segoe UI"/>
                <w:kern w:val="0"/>
                <w:sz w:val="18"/>
                <w:szCs w:val="18"/>
                <w:shd w:val="clear" w:color="auto" w:fill="FFFFFF"/>
                <w14:ligatures w14:val="none"/>
              </w:rPr>
            </w:pPr>
            <w:r>
              <w:rPr>
                <w:rFonts w:hint="eastAsia" w:ascii="宋体" w:hAnsi="宋体" w:eastAsia="宋体" w:cs="Arial"/>
                <w:color w:val="000000" w:themeColor="text1"/>
                <w:sz w:val="18"/>
                <w:szCs w:val="18"/>
                <w14:textFill>
                  <w14:solidFill>
                    <w14:schemeClr w14:val="tx1"/>
                  </w14:solidFill>
                </w14:textFill>
                <w14:ligatures w14:val="none"/>
              </w:rPr>
              <w:t>个人奋斗与社会贡献的统一</w:t>
            </w:r>
          </w:p>
        </w:tc>
      </w:tr>
      <w:tr w14:paraId="34E47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2" w:type="dxa"/>
            <w:shd w:val="clear" w:color="auto" w:fill="EAEFF7"/>
            <w:vAlign w:val="center"/>
          </w:tcPr>
          <w:p w14:paraId="1260FCD9">
            <w:pPr>
              <w:spacing w:after="0" w:line="240" w:lineRule="auto"/>
              <w:rPr>
                <w:rFonts w:ascii="Times New Roman" w:hAnsi="Times New Roman" w:eastAsia="宋体" w:cs="Times New Roman"/>
                <w:kern w:val="0"/>
                <w:sz w:val="18"/>
                <w:szCs w:val="18"/>
                <w:shd w:val="clear" w:color="auto" w:fill="FFFFFF"/>
                <w14:ligatures w14:val="none"/>
              </w:rPr>
            </w:pPr>
            <w:bookmarkStart w:id="7" w:name="OLE_LINK15"/>
            <w:r>
              <w:rPr>
                <w:rFonts w:ascii="Times New Roman" w:hAnsi="Times New Roman" w:eastAsia="宋体" w:cs="Times New Roman"/>
                <w:b/>
                <w:bCs/>
                <w:color w:val="000000" w:themeColor="text1"/>
                <w:sz w:val="18"/>
                <w:szCs w:val="18"/>
                <w14:textFill>
                  <w14:solidFill>
                    <w14:schemeClr w14:val="tx1"/>
                  </w14:solidFill>
                </w14:textFill>
                <w14:ligatures w14:val="none"/>
              </w:rPr>
              <w:t>Great achievements in human history</w:t>
            </w:r>
            <w:bookmarkEnd w:id="7"/>
          </w:p>
        </w:tc>
        <w:tc>
          <w:tcPr>
            <w:tcW w:w="1158" w:type="dxa"/>
            <w:shd w:val="clear" w:color="auto" w:fill="EAEFF7"/>
          </w:tcPr>
          <w:p w14:paraId="2DD0CD3A">
            <w:pPr>
              <w:spacing w:after="0" w:line="240" w:lineRule="auto"/>
              <w:jc w:val="center"/>
              <w:rPr>
                <w:rFonts w:hint="eastAsia" w:ascii="宋体" w:hAnsi="宋体" w:eastAsia="宋体" w:cs="Arial"/>
                <w:color w:val="000000" w:themeColor="text1"/>
                <w:sz w:val="18"/>
                <w:szCs w:val="18"/>
                <w14:textFill>
                  <w14:solidFill>
                    <w14:schemeClr w14:val="tx1"/>
                  </w14:solidFill>
                </w14:textFill>
                <w14:ligatures w14:val="none"/>
              </w:rPr>
            </w:pPr>
            <w:r>
              <w:rPr>
                <w:rFonts w:hint="eastAsia" w:ascii="宋体" w:hAnsi="宋体" w:eastAsia="宋体" w:cs="Arial"/>
                <w:color w:val="000000" w:themeColor="text1"/>
                <w:sz w:val="18"/>
                <w:szCs w:val="18"/>
                <w14:textFill>
                  <w14:solidFill>
                    <w14:schemeClr w14:val="tx1"/>
                  </w14:solidFill>
                </w14:textFill>
                <w14:ligatures w14:val="none"/>
              </w:rPr>
              <w:t>对话</w:t>
            </w:r>
          </w:p>
          <w:p w14:paraId="3E5DECFB">
            <w:pPr>
              <w:spacing w:after="0" w:line="240" w:lineRule="auto"/>
              <w:jc w:val="center"/>
              <w:rPr>
                <w:rFonts w:hint="eastAsia" w:ascii="宋体" w:hAnsi="宋体" w:eastAsia="宋体" w:cs="Segoe UI"/>
                <w:kern w:val="0"/>
                <w:sz w:val="18"/>
                <w:szCs w:val="18"/>
                <w:shd w:val="clear" w:color="auto" w:fill="FFFFFF"/>
                <w14:ligatures w14:val="none"/>
              </w:rPr>
            </w:pPr>
            <w:r>
              <w:rPr>
                <w:rFonts w:hint="eastAsia" w:ascii="宋体" w:hAnsi="宋体" w:eastAsia="宋体" w:cs="Arial"/>
                <w:color w:val="000000" w:themeColor="text1"/>
                <w:sz w:val="18"/>
                <w:szCs w:val="18"/>
                <w14:textFill>
                  <w14:solidFill>
                    <w14:schemeClr w14:val="tx1"/>
                  </w14:solidFill>
                </w14:textFill>
                <w14:ligatures w14:val="none"/>
              </w:rPr>
              <w:t>（听说）</w:t>
            </w:r>
          </w:p>
        </w:tc>
        <w:tc>
          <w:tcPr>
            <w:tcW w:w="2610" w:type="dxa"/>
            <w:shd w:val="clear" w:color="auto" w:fill="EAEFF7"/>
          </w:tcPr>
          <w:p w14:paraId="34593AE4">
            <w:pPr>
              <w:spacing w:after="0" w:line="240" w:lineRule="auto"/>
              <w:rPr>
                <w:rFonts w:hint="eastAsia" w:ascii="宋体" w:hAnsi="宋体" w:eastAsia="宋体" w:cs="Segoe UI"/>
                <w:kern w:val="0"/>
                <w:sz w:val="18"/>
                <w:szCs w:val="18"/>
                <w:shd w:val="clear" w:color="auto" w:fill="FFFFFF"/>
                <w14:ligatures w14:val="none"/>
              </w:rPr>
            </w:pPr>
            <w:r>
              <w:rPr>
                <w:rFonts w:hint="eastAsia" w:ascii="宋体" w:hAnsi="宋体" w:eastAsia="宋体" w:cs="Arial"/>
                <w:color w:val="000000" w:themeColor="text1"/>
                <w:sz w:val="18"/>
                <w:szCs w:val="18"/>
                <w14:textFill>
                  <w14:solidFill>
                    <w14:schemeClr w14:val="tx1"/>
                  </w14:solidFill>
                </w14:textFill>
                <w14:ligatures w14:val="none"/>
              </w:rPr>
              <w:t>人类四大伟大成就的讨论</w:t>
            </w:r>
          </w:p>
        </w:tc>
        <w:tc>
          <w:tcPr>
            <w:tcW w:w="2451" w:type="dxa"/>
            <w:shd w:val="clear" w:color="auto" w:fill="EAEFF7"/>
          </w:tcPr>
          <w:p w14:paraId="5E351145">
            <w:pPr>
              <w:spacing w:after="0" w:line="240" w:lineRule="auto"/>
              <w:rPr>
                <w:rFonts w:hint="eastAsia" w:ascii="宋体" w:hAnsi="宋体" w:eastAsia="宋体" w:cs="Segoe UI"/>
                <w:kern w:val="0"/>
                <w:sz w:val="18"/>
                <w:szCs w:val="18"/>
                <w:shd w:val="clear" w:color="auto" w:fill="FFFFFF"/>
                <w14:ligatures w14:val="none"/>
              </w:rPr>
            </w:pPr>
            <w:r>
              <w:rPr>
                <w:rFonts w:hint="eastAsia" w:ascii="宋体" w:hAnsi="宋体" w:eastAsia="宋体" w:cs="Arial"/>
                <w:color w:val="000000" w:themeColor="text1"/>
                <w:sz w:val="18"/>
                <w:szCs w:val="18"/>
                <w14:textFill>
                  <w14:solidFill>
                    <w14:schemeClr w14:val="tx1"/>
                  </w14:solidFill>
                </w14:textFill>
                <w14:ligatures w14:val="none"/>
              </w:rPr>
              <w:t>伟大成就的社会价值</w:t>
            </w:r>
          </w:p>
        </w:tc>
      </w:tr>
      <w:tr w14:paraId="00A79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2" w:type="dxa"/>
            <w:vAlign w:val="center"/>
          </w:tcPr>
          <w:p w14:paraId="3C06D002">
            <w:pPr>
              <w:spacing w:after="0" w:line="240" w:lineRule="auto"/>
              <w:rPr>
                <w:rFonts w:ascii="Times New Roman" w:hAnsi="Times New Roman" w:eastAsia="宋体" w:cs="Times New Roman"/>
                <w:kern w:val="0"/>
                <w:sz w:val="18"/>
                <w:szCs w:val="18"/>
                <w:shd w:val="clear" w:color="auto" w:fill="FFFFFF"/>
                <w14:ligatures w14:val="none"/>
              </w:rPr>
            </w:pPr>
            <w:r>
              <w:rPr>
                <w:rFonts w:ascii="Times New Roman" w:hAnsi="Times New Roman" w:eastAsia="宋体" w:cs="Times New Roman"/>
                <w:b/>
                <w:bCs/>
                <w:color w:val="000000" w:themeColor="text1"/>
                <w:sz w:val="18"/>
                <w:szCs w:val="18"/>
                <w14:textFill>
                  <w14:solidFill>
                    <w14:schemeClr w14:val="tx1"/>
                  </w14:solidFill>
                </w14:textFill>
                <w14:ligatures w14:val="none"/>
              </w:rPr>
              <w:t>A sample essay</w:t>
            </w:r>
          </w:p>
        </w:tc>
        <w:tc>
          <w:tcPr>
            <w:tcW w:w="1158" w:type="dxa"/>
          </w:tcPr>
          <w:p w14:paraId="6C66B657">
            <w:pPr>
              <w:spacing w:after="0" w:line="240" w:lineRule="auto"/>
              <w:jc w:val="center"/>
              <w:rPr>
                <w:rFonts w:hint="eastAsia" w:ascii="宋体" w:hAnsi="宋体" w:eastAsia="宋体" w:cs="Arial"/>
                <w:color w:val="000000" w:themeColor="text1"/>
                <w:sz w:val="18"/>
                <w:szCs w:val="18"/>
                <w14:textFill>
                  <w14:solidFill>
                    <w14:schemeClr w14:val="tx1"/>
                  </w14:solidFill>
                </w14:textFill>
                <w14:ligatures w14:val="none"/>
              </w:rPr>
            </w:pPr>
            <w:r>
              <w:rPr>
                <w:rFonts w:hint="eastAsia" w:ascii="宋体" w:hAnsi="宋体" w:eastAsia="宋体" w:cs="Arial"/>
                <w:color w:val="000000" w:themeColor="text1"/>
                <w:sz w:val="18"/>
                <w:szCs w:val="18"/>
                <w14:textFill>
                  <w14:solidFill>
                    <w14:schemeClr w14:val="tx1"/>
                  </w14:solidFill>
                </w14:textFill>
                <w14:ligatures w14:val="none"/>
              </w:rPr>
              <w:t>议论文</w:t>
            </w:r>
          </w:p>
          <w:p w14:paraId="3B6E0ABC">
            <w:pPr>
              <w:spacing w:after="0" w:line="240" w:lineRule="auto"/>
              <w:jc w:val="center"/>
              <w:rPr>
                <w:rFonts w:hint="eastAsia" w:ascii="宋体" w:hAnsi="宋体" w:eastAsia="宋体" w:cs="Segoe UI"/>
                <w:kern w:val="0"/>
                <w:sz w:val="18"/>
                <w:szCs w:val="18"/>
                <w:shd w:val="clear" w:color="auto" w:fill="FFFFFF"/>
                <w14:ligatures w14:val="none"/>
              </w:rPr>
            </w:pPr>
            <w:r>
              <w:rPr>
                <w:rFonts w:hint="eastAsia" w:ascii="宋体" w:hAnsi="宋体" w:eastAsia="宋体" w:cs="Arial"/>
                <w:color w:val="000000" w:themeColor="text1"/>
                <w:sz w:val="18"/>
                <w:szCs w:val="18"/>
                <w14:textFill>
                  <w14:solidFill>
                    <w14:schemeClr w14:val="tx1"/>
                  </w14:solidFill>
                </w14:textFill>
                <w14:ligatures w14:val="none"/>
              </w:rPr>
              <w:t>（阅读）</w:t>
            </w:r>
          </w:p>
        </w:tc>
        <w:tc>
          <w:tcPr>
            <w:tcW w:w="2610" w:type="dxa"/>
          </w:tcPr>
          <w:p w14:paraId="079EB421">
            <w:pPr>
              <w:spacing w:after="0" w:line="240" w:lineRule="auto"/>
              <w:rPr>
                <w:rFonts w:hint="eastAsia" w:ascii="宋体" w:hAnsi="宋体" w:eastAsia="宋体" w:cs="Segoe UI"/>
                <w:kern w:val="0"/>
                <w:sz w:val="18"/>
                <w:szCs w:val="18"/>
                <w:shd w:val="clear" w:color="auto" w:fill="FFFFFF"/>
                <w14:ligatures w14:val="none"/>
              </w:rPr>
            </w:pPr>
            <w:r>
              <w:rPr>
                <w:rFonts w:hint="eastAsia" w:ascii="宋体" w:hAnsi="宋体" w:eastAsia="宋体" w:cs="Arial"/>
                <w:color w:val="000000" w:themeColor="text1"/>
                <w:sz w:val="18"/>
                <w:szCs w:val="18"/>
                <w14:textFill>
                  <w14:solidFill>
                    <w14:schemeClr w14:val="tx1"/>
                  </w14:solidFill>
                </w14:textFill>
                <w14:ligatures w14:val="none"/>
              </w:rPr>
              <w:t>比赛胜负与参与意义的辩论</w:t>
            </w:r>
          </w:p>
        </w:tc>
        <w:tc>
          <w:tcPr>
            <w:tcW w:w="2451" w:type="dxa"/>
          </w:tcPr>
          <w:p w14:paraId="6E7103B1">
            <w:pPr>
              <w:spacing w:after="0" w:line="240" w:lineRule="auto"/>
              <w:rPr>
                <w:rFonts w:hint="eastAsia" w:ascii="宋体" w:hAnsi="宋体" w:eastAsia="宋体" w:cs="Segoe UI"/>
                <w:kern w:val="0"/>
                <w:sz w:val="18"/>
                <w:szCs w:val="18"/>
                <w:shd w:val="clear" w:color="auto" w:fill="FFFFFF"/>
                <w14:ligatures w14:val="none"/>
              </w:rPr>
            </w:pPr>
            <w:r>
              <w:rPr>
                <w:rFonts w:hint="eastAsia" w:ascii="宋体" w:hAnsi="宋体" w:eastAsia="宋体" w:cs="Arial"/>
                <w:color w:val="000000" w:themeColor="text1"/>
                <w:sz w:val="18"/>
                <w:szCs w:val="18"/>
                <w14:textFill>
                  <w14:solidFill>
                    <w14:schemeClr w14:val="tx1"/>
                  </w14:solidFill>
                </w14:textFill>
                <w14:ligatures w14:val="none"/>
              </w:rPr>
              <w:t>过程比结果更重要</w:t>
            </w:r>
          </w:p>
        </w:tc>
      </w:tr>
      <w:tr w14:paraId="74D8F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2" w:type="dxa"/>
            <w:shd w:val="clear" w:color="auto" w:fill="EAEFF7"/>
            <w:vAlign w:val="center"/>
          </w:tcPr>
          <w:p w14:paraId="382CFCCD">
            <w:pPr>
              <w:spacing w:after="0" w:line="240" w:lineRule="auto"/>
              <w:rPr>
                <w:rFonts w:ascii="Times New Roman" w:hAnsi="Times New Roman" w:eastAsia="宋体" w:cs="Times New Roman"/>
                <w:kern w:val="0"/>
                <w:sz w:val="18"/>
                <w:szCs w:val="18"/>
                <w:shd w:val="clear" w:color="auto" w:fill="FFFFFF"/>
                <w14:ligatures w14:val="none"/>
              </w:rPr>
            </w:pPr>
            <w:r>
              <w:rPr>
                <w:rFonts w:hint="eastAsia" w:ascii="Times New Roman" w:hAnsi="Times New Roman" w:eastAsia="宋体" w:cs="Times New Roman"/>
                <w:b/>
                <w:bCs/>
                <w:color w:val="000000" w:themeColor="text1"/>
                <w:sz w:val="18"/>
                <w:szCs w:val="18"/>
                <w14:textFill>
                  <w14:solidFill>
                    <w14:schemeClr w14:val="tx1"/>
                  </w14:solidFill>
                </w14:textFill>
                <w14:ligatures w14:val="none"/>
              </w:rPr>
              <w:t>A False Start</w:t>
            </w:r>
          </w:p>
        </w:tc>
        <w:tc>
          <w:tcPr>
            <w:tcW w:w="1158" w:type="dxa"/>
            <w:shd w:val="clear" w:color="auto" w:fill="EAEFF7"/>
          </w:tcPr>
          <w:p w14:paraId="30EB232F">
            <w:pPr>
              <w:spacing w:after="0" w:line="240" w:lineRule="auto"/>
              <w:jc w:val="center"/>
              <w:rPr>
                <w:rFonts w:hint="eastAsia" w:ascii="宋体" w:hAnsi="宋体" w:eastAsia="宋体" w:cs="Segoe UI"/>
                <w:kern w:val="0"/>
                <w:sz w:val="18"/>
                <w:szCs w:val="18"/>
                <w:shd w:val="clear" w:color="auto" w:fill="FFFFFF"/>
                <w14:ligatures w14:val="none"/>
              </w:rPr>
            </w:pPr>
            <w:r>
              <w:rPr>
                <w:rFonts w:hint="eastAsia" w:ascii="宋体" w:hAnsi="宋体" w:eastAsia="宋体" w:cs="Arial"/>
                <w:color w:val="000000" w:themeColor="text1"/>
                <w:sz w:val="18"/>
                <w:szCs w:val="18"/>
                <w14:textFill>
                  <w14:solidFill>
                    <w14:schemeClr w14:val="tx1"/>
                  </w14:solidFill>
                </w14:textFill>
                <w14:ligatures w14:val="none"/>
              </w:rPr>
              <w:t>人物传记（阅读）</w:t>
            </w:r>
          </w:p>
        </w:tc>
        <w:tc>
          <w:tcPr>
            <w:tcW w:w="2610" w:type="dxa"/>
            <w:shd w:val="clear" w:color="auto" w:fill="EAEFF7"/>
          </w:tcPr>
          <w:p w14:paraId="47B197CB">
            <w:pPr>
              <w:spacing w:after="0" w:line="240" w:lineRule="auto"/>
              <w:rPr>
                <w:rFonts w:hint="eastAsia" w:ascii="宋体" w:hAnsi="宋体" w:eastAsia="宋体" w:cs="Segoe UI"/>
                <w:kern w:val="0"/>
                <w:sz w:val="18"/>
                <w:szCs w:val="18"/>
                <w:shd w:val="clear" w:color="auto" w:fill="FFFFFF"/>
                <w14:ligatures w14:val="none"/>
              </w:rPr>
            </w:pPr>
            <w:r>
              <w:rPr>
                <w:rFonts w:hint="eastAsia" w:ascii="宋体" w:hAnsi="宋体" w:eastAsia="宋体" w:cs="Arial"/>
                <w:color w:val="000000" w:themeColor="text1"/>
                <w:sz w:val="18"/>
                <w:szCs w:val="18"/>
                <w14:textFill>
                  <w14:solidFill>
                    <w14:schemeClr w14:val="tx1"/>
                  </w14:solidFill>
                </w14:textFill>
                <w14:ligatures w14:val="none"/>
              </w:rPr>
              <w:t>爱因斯坦等名人的早期挫折</w:t>
            </w:r>
          </w:p>
        </w:tc>
        <w:tc>
          <w:tcPr>
            <w:tcW w:w="2451" w:type="dxa"/>
            <w:shd w:val="clear" w:color="auto" w:fill="EAEFF7"/>
          </w:tcPr>
          <w:p w14:paraId="031918CC">
            <w:pPr>
              <w:spacing w:after="0" w:line="240" w:lineRule="auto"/>
              <w:rPr>
                <w:rFonts w:hint="eastAsia" w:ascii="宋体" w:hAnsi="宋体" w:eastAsia="宋体" w:cs="Segoe UI"/>
                <w:kern w:val="0"/>
                <w:sz w:val="18"/>
                <w:szCs w:val="18"/>
                <w:shd w:val="clear" w:color="auto" w:fill="FFFFFF"/>
                <w14:ligatures w14:val="none"/>
              </w:rPr>
            </w:pPr>
            <w:r>
              <w:rPr>
                <w:rFonts w:hint="eastAsia" w:ascii="宋体" w:hAnsi="宋体" w:eastAsia="宋体" w:cs="Arial"/>
                <w:color w:val="000000" w:themeColor="text1"/>
                <w:sz w:val="18"/>
                <w:szCs w:val="18"/>
                <w14:textFill>
                  <w14:solidFill>
                    <w14:schemeClr w14:val="tx1"/>
                  </w14:solidFill>
                </w14:textFill>
                <w14:ligatures w14:val="none"/>
              </w:rPr>
              <w:t>成功源于逆境中的坚持</w:t>
            </w:r>
          </w:p>
        </w:tc>
      </w:tr>
      <w:tr w14:paraId="21922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2072" w:type="dxa"/>
            <w:vAlign w:val="center"/>
          </w:tcPr>
          <w:p w14:paraId="42ECDC05">
            <w:pPr>
              <w:spacing w:after="0" w:line="240" w:lineRule="auto"/>
              <w:rPr>
                <w:rFonts w:ascii="Times New Roman" w:hAnsi="Times New Roman" w:eastAsia="宋体" w:cs="Times New Roman"/>
                <w:kern w:val="0"/>
                <w:sz w:val="18"/>
                <w:szCs w:val="18"/>
                <w:shd w:val="clear" w:color="auto" w:fill="FFFFFF"/>
                <w14:ligatures w14:val="none"/>
              </w:rPr>
            </w:pPr>
            <w:r>
              <w:rPr>
                <w:rFonts w:ascii="Times New Roman" w:hAnsi="Times New Roman" w:eastAsia="宋体" w:cs="Times New Roman"/>
                <w:b/>
                <w:bCs/>
                <w:color w:val="000000" w:themeColor="text1"/>
                <w:sz w:val="18"/>
                <w:szCs w:val="18"/>
                <w14:textFill>
                  <w14:solidFill>
                    <w14:schemeClr w14:val="tx1"/>
                  </w14:solidFill>
                </w14:textFill>
                <w14:ligatures w14:val="none"/>
              </w:rPr>
              <w:t>Top spin</w:t>
            </w:r>
          </w:p>
        </w:tc>
        <w:tc>
          <w:tcPr>
            <w:tcW w:w="1158" w:type="dxa"/>
          </w:tcPr>
          <w:p w14:paraId="13C19073">
            <w:pPr>
              <w:spacing w:after="0" w:line="240" w:lineRule="auto"/>
              <w:jc w:val="center"/>
              <w:rPr>
                <w:rFonts w:hint="eastAsia" w:ascii="宋体" w:hAnsi="宋体" w:eastAsia="宋体" w:cs="Arial"/>
                <w:color w:val="000000" w:themeColor="text1"/>
                <w:sz w:val="18"/>
                <w:szCs w:val="18"/>
                <w14:textFill>
                  <w14:solidFill>
                    <w14:schemeClr w14:val="tx1"/>
                  </w14:solidFill>
                </w14:textFill>
                <w14:ligatures w14:val="none"/>
              </w:rPr>
            </w:pPr>
            <w:r>
              <w:rPr>
                <w:rFonts w:hint="eastAsia" w:ascii="宋体" w:hAnsi="宋体" w:eastAsia="宋体" w:cs="Arial"/>
                <w:color w:val="000000" w:themeColor="text1"/>
                <w:sz w:val="18"/>
                <w:szCs w:val="18"/>
                <w14:textFill>
                  <w14:solidFill>
                    <w14:schemeClr w14:val="tx1"/>
                  </w14:solidFill>
                </w14:textFill>
                <w14:ligatures w14:val="none"/>
              </w:rPr>
              <w:t>视频</w:t>
            </w:r>
          </w:p>
          <w:p w14:paraId="03CF3D16">
            <w:pPr>
              <w:spacing w:after="0" w:line="240" w:lineRule="auto"/>
              <w:jc w:val="center"/>
              <w:rPr>
                <w:rFonts w:hint="eastAsia" w:ascii="宋体" w:hAnsi="宋体" w:eastAsia="宋体" w:cs="Arial"/>
                <w:kern w:val="0"/>
                <w:sz w:val="18"/>
                <w:szCs w:val="18"/>
                <w14:ligatures w14:val="none"/>
              </w:rPr>
            </w:pPr>
            <w:r>
              <w:rPr>
                <w:rFonts w:hint="eastAsia" w:ascii="宋体" w:hAnsi="宋体" w:eastAsia="宋体" w:cs="Arial"/>
                <w:color w:val="000000" w:themeColor="text1"/>
                <w:sz w:val="18"/>
                <w:szCs w:val="18"/>
                <w14:textFill>
                  <w14:solidFill>
                    <w14:schemeClr w14:val="tx1"/>
                  </w14:solidFill>
                </w14:textFill>
                <w14:ligatures w14:val="none"/>
              </w:rPr>
              <w:t>（视听）</w:t>
            </w:r>
          </w:p>
        </w:tc>
        <w:tc>
          <w:tcPr>
            <w:tcW w:w="2610" w:type="dxa"/>
          </w:tcPr>
          <w:p w14:paraId="40671609">
            <w:pPr>
              <w:spacing w:after="0" w:line="240" w:lineRule="auto"/>
              <w:rPr>
                <w:rFonts w:hint="eastAsia" w:ascii="宋体" w:hAnsi="宋体" w:eastAsia="宋体" w:cs="Segoe UI"/>
                <w:kern w:val="0"/>
                <w:sz w:val="18"/>
                <w:szCs w:val="18"/>
                <w:shd w:val="clear" w:color="auto" w:fill="FFFFFF"/>
                <w14:ligatures w14:val="none"/>
              </w:rPr>
            </w:pPr>
            <w:r>
              <w:rPr>
                <w:rFonts w:hint="eastAsia" w:ascii="宋体" w:hAnsi="宋体" w:eastAsia="宋体" w:cs="Arial"/>
                <w:color w:val="000000" w:themeColor="text1"/>
                <w:sz w:val="18"/>
                <w:szCs w:val="18"/>
                <w14:textFill>
                  <w14:solidFill>
                    <w14:schemeClr w14:val="tx1"/>
                  </w14:solidFill>
                </w14:textFill>
                <w14:ligatures w14:val="none"/>
              </w:rPr>
              <w:t>乒乓球运动员的成长历程</w:t>
            </w:r>
          </w:p>
        </w:tc>
        <w:tc>
          <w:tcPr>
            <w:tcW w:w="2451" w:type="dxa"/>
          </w:tcPr>
          <w:p w14:paraId="4DC53514">
            <w:pPr>
              <w:spacing w:after="0" w:line="240" w:lineRule="auto"/>
              <w:rPr>
                <w:rFonts w:hint="eastAsia" w:ascii="宋体" w:hAnsi="宋体" w:eastAsia="宋体" w:cs="Segoe UI"/>
                <w:kern w:val="0"/>
                <w:sz w:val="18"/>
                <w:szCs w:val="18"/>
                <w:shd w:val="clear" w:color="auto" w:fill="FFFFFF"/>
                <w14:ligatures w14:val="none"/>
              </w:rPr>
            </w:pPr>
            <w:r>
              <w:rPr>
                <w:rFonts w:hint="eastAsia" w:ascii="宋体" w:hAnsi="宋体" w:eastAsia="宋体" w:cs="Arial"/>
                <w:color w:val="000000" w:themeColor="text1"/>
                <w:sz w:val="18"/>
                <w:szCs w:val="18"/>
                <w14:textFill>
                  <w14:solidFill>
                    <w14:schemeClr w14:val="tx1"/>
                  </w14:solidFill>
                </w14:textFill>
                <w14:ligatures w14:val="none"/>
              </w:rPr>
              <w:t>天赋、努力与支持成就卓越</w:t>
            </w:r>
          </w:p>
        </w:tc>
      </w:tr>
    </w:tbl>
    <w:p w14:paraId="7F61B40F">
      <w:pPr>
        <w:spacing w:after="0" w:line="240" w:lineRule="auto"/>
        <w:rPr>
          <w:rFonts w:hint="eastAsia" w:ascii="宋体" w:hAnsi="宋体" w:eastAsia="宋体" w:cs="Segoe UI"/>
          <w:sz w:val="21"/>
          <w:szCs w:val="21"/>
          <w:shd w:val="clear" w:color="auto" w:fill="FFFFFF"/>
        </w:rPr>
      </w:pPr>
    </w:p>
    <w:p w14:paraId="6245ABE4">
      <w:pPr>
        <w:pStyle w:val="41"/>
        <w:numPr>
          <w:ilvl w:val="0"/>
          <w:numId w:val="2"/>
        </w:numPr>
        <w:spacing w:after="0" w:line="360" w:lineRule="auto"/>
        <w:rPr>
          <w:rFonts w:hint="eastAsia" w:ascii="黑体" w:hAnsi="黑体" w:eastAsia="黑体" w:cs="Segoe UI"/>
          <w:b/>
          <w:bCs/>
          <w:szCs w:val="22"/>
          <w:shd w:val="clear" w:color="auto" w:fill="FFFFFF"/>
        </w:rPr>
      </w:pPr>
      <w:r>
        <w:rPr>
          <w:rFonts w:hint="eastAsia" w:ascii="黑体" w:hAnsi="黑体" w:eastAsia="黑体" w:cs="Segoe UI"/>
          <w:b/>
          <w:bCs/>
          <w:szCs w:val="22"/>
          <w:shd w:val="clear" w:color="auto" w:fill="FFFFFF"/>
        </w:rPr>
        <w:t>单元育人主线与目标体系建构</w:t>
      </w:r>
    </w:p>
    <w:p w14:paraId="2F3AAD94">
      <w:pPr>
        <w:spacing w:line="240" w:lineRule="auto"/>
        <w:ind w:firstLine="420" w:firstLineChars="200"/>
        <w:rPr>
          <w:rFonts w:hint="eastAsia" w:ascii="宋体" w:hAnsi="宋体" w:eastAsia="宋体" w:cs="Segoe UI"/>
          <w:sz w:val="21"/>
          <w:szCs w:val="21"/>
          <w:shd w:val="clear" w:color="auto" w:fill="FFFFFF"/>
        </w:rPr>
      </w:pPr>
      <w:r>
        <w:rPr>
          <w:rFonts w:ascii="宋体" w:hAnsi="宋体" w:eastAsia="宋体" w:cs="Segoe UI"/>
          <w:sz w:val="21"/>
          <w:szCs w:val="21"/>
          <w:shd w:val="clear" w:color="auto" w:fill="FFFFFF"/>
        </w:rPr>
        <w:t>正如王蔷等（2021）所指出，大观念是教学设计的“核心与基础”，单元整体教学正是通过提炼一个能够统领全局的“单元大观念”，并将育人目标分解至各个课时，实现课时之间的逻辑递进与内容衔接。</w:t>
      </w:r>
      <w:r>
        <w:rPr>
          <w:rFonts w:hint="eastAsia" w:ascii="宋体" w:hAnsi="宋体" w:eastAsia="宋体" w:cs="Segoe UI"/>
          <w:sz w:val="21"/>
          <w:szCs w:val="21"/>
          <w:shd w:val="clear" w:color="auto" w:fill="FFFFFF"/>
        </w:rPr>
        <w:t>对于该单元，笔者通过对多模态语篇的深入解读，建构起从“大观念提炼”到“分层目标设定”再到“</w:t>
      </w:r>
      <w:r>
        <w:rPr>
          <w:rFonts w:hint="eastAsia" w:ascii="宋体" w:hAnsi="宋体" w:eastAsia="宋体" w:cs="Segoe UI"/>
          <w:sz w:val="21"/>
          <w:szCs w:val="21"/>
          <w:shd w:val="clear" w:color="auto" w:fill="FFFFFF"/>
          <w:lang w:val="en-US" w:eastAsia="zh-CN"/>
        </w:rPr>
        <w:t>单元教学流程设计</w:t>
      </w:r>
      <w:r>
        <w:rPr>
          <w:rFonts w:hint="eastAsia" w:ascii="宋体" w:hAnsi="宋体" w:eastAsia="宋体" w:cs="Segoe UI"/>
          <w:sz w:val="21"/>
          <w:szCs w:val="21"/>
          <w:shd w:val="clear" w:color="auto" w:fill="FFFFFF"/>
        </w:rPr>
        <w:t>”的完整育人主线。</w:t>
      </w:r>
    </w:p>
    <w:p w14:paraId="6DED5249">
      <w:pPr>
        <w:spacing w:after="0" w:line="240" w:lineRule="auto"/>
        <w:ind w:firstLine="422" w:firstLineChars="200"/>
        <w:rPr>
          <w:rFonts w:hint="eastAsia" w:ascii="黑体" w:hAnsi="黑体" w:eastAsia="黑体" w:cs="Segoe UI"/>
          <w:b/>
          <w:bCs/>
          <w:sz w:val="21"/>
          <w:szCs w:val="21"/>
          <w:shd w:val="clear" w:color="auto" w:fill="FFFFFF"/>
        </w:rPr>
      </w:pPr>
      <w:r>
        <w:rPr>
          <w:rFonts w:hint="eastAsia" w:ascii="黑体" w:hAnsi="黑体" w:eastAsia="黑体" w:cs="Segoe UI"/>
          <w:b/>
          <w:bCs/>
          <w:sz w:val="21"/>
          <w:szCs w:val="21"/>
          <w:shd w:val="clear" w:color="auto" w:fill="FFFFFF"/>
        </w:rPr>
        <w:t>1.单元大观念的提炼：“成就”的多元内涵</w:t>
      </w:r>
    </w:p>
    <w:p w14:paraId="626DD0AA">
      <w:pPr>
        <w:spacing w:line="240" w:lineRule="auto"/>
        <w:ind w:firstLine="420"/>
        <w:rPr>
          <w:rFonts w:hint="eastAsia" w:ascii="宋体" w:hAnsi="宋体" w:eastAsia="宋体" w:cs="Segoe UI"/>
          <w:sz w:val="21"/>
          <w:szCs w:val="21"/>
          <w:shd w:val="clear" w:color="auto" w:fill="FFFFFF"/>
        </w:rPr>
      </w:pPr>
      <w:r>
        <w:rPr>
          <w:rFonts w:hint="eastAsia" w:ascii="宋体" w:hAnsi="宋体" w:eastAsia="宋体" w:cs="Segoe UI"/>
          <w:sz w:val="21"/>
          <w:szCs w:val="21"/>
          <w:shd w:val="clear" w:color="auto" w:fill="FFFFFF"/>
        </w:rPr>
        <w:t>单元大观念的提炼需要基于对单元内所有语篇育人价值的统整性解读。本单元共包含五个语篇，一个视频材料，涵盖文学选段、人物传记、对话、议论文、视频等多种体裁，从不同维度呈现了“成就”这一主题（见表1）。通过对这些语篇的深度分析，可以发现它们共同指向对“成就”内涵的多维度理解：如《老人与海》选段呈现成就的个人品格维度——成就在于坚韧的品格；《Top Spin》视频揭示成就的发展维度——天赋、努力与外部支持共同造就卓越。基于以上分析，笔者将本单元的大观念提炼为：</w:t>
      </w:r>
      <w:bookmarkStart w:id="8" w:name="OLE_LINK4"/>
      <w:r>
        <w:rPr>
          <w:rFonts w:hint="eastAsia" w:ascii="宋体" w:hAnsi="宋体" w:eastAsia="宋体" w:cs="Segoe UI"/>
          <w:sz w:val="21"/>
          <w:szCs w:val="21"/>
          <w:shd w:val="clear" w:color="auto" w:fill="FFFFFF"/>
        </w:rPr>
        <w:t>“成就”的内涵是多元的，</w:t>
      </w:r>
      <w:bookmarkEnd w:id="8"/>
      <w:r>
        <w:rPr>
          <w:rFonts w:hint="eastAsia" w:ascii="宋体" w:hAnsi="宋体" w:eastAsia="宋体" w:cs="Segoe UI"/>
          <w:sz w:val="21"/>
          <w:szCs w:val="21"/>
          <w:shd w:val="clear" w:color="auto" w:fill="FFFFFF"/>
        </w:rPr>
        <w:t>其关乎个人的内在品质和实现成就的过程意义。这一大观念贯穿单元始终，统领所有教学活动，使学生在语言学习过程中逐步建构起对“成就”的立体认知，实现从世俗的功利化的成就观向多元价值的成就观的转变。</w:t>
      </w:r>
    </w:p>
    <w:p w14:paraId="002DFC04">
      <w:pPr>
        <w:spacing w:after="0" w:line="240" w:lineRule="auto"/>
        <w:ind w:firstLine="422" w:firstLineChars="200"/>
        <w:rPr>
          <w:rFonts w:hint="eastAsia" w:ascii="黑体" w:hAnsi="黑体" w:eastAsia="黑体" w:cs="Segoe UI"/>
          <w:b/>
          <w:bCs/>
          <w:sz w:val="21"/>
          <w:szCs w:val="21"/>
          <w:shd w:val="clear" w:color="auto" w:fill="FFFFFF"/>
        </w:rPr>
      </w:pPr>
      <w:r>
        <w:rPr>
          <w:rFonts w:hint="eastAsia" w:ascii="黑体" w:hAnsi="黑体" w:eastAsia="黑体" w:cs="Segoe UI"/>
          <w:b/>
          <w:bCs/>
          <w:sz w:val="21"/>
          <w:szCs w:val="21"/>
          <w:shd w:val="clear" w:color="auto" w:fill="FFFFFF"/>
        </w:rPr>
        <w:t>2.分层价值观目标的设定</w:t>
      </w:r>
    </w:p>
    <w:p w14:paraId="73CF2A89">
      <w:pPr>
        <w:spacing w:line="240" w:lineRule="auto"/>
        <w:ind w:firstLine="420" w:firstLineChars="200"/>
        <w:rPr>
          <w:rFonts w:hint="eastAsia" w:ascii="宋体" w:hAnsi="宋体" w:eastAsia="宋体" w:cs="Segoe UI"/>
          <w:sz w:val="21"/>
          <w:szCs w:val="21"/>
          <w:shd w:val="clear" w:color="auto" w:fill="FFFFFF"/>
        </w:rPr>
      </w:pPr>
      <w:r>
        <w:rPr>
          <w:rFonts w:hint="eastAsia" w:ascii="宋体" w:hAnsi="宋体" w:eastAsia="宋体" w:cs="Segoe UI"/>
          <w:sz w:val="21"/>
          <w:szCs w:val="21"/>
          <w:shd w:val="clear" w:color="auto" w:fill="FFFFFF"/>
        </w:rPr>
        <w:t>基于已提出的单元大观念，本文将价值观目标分解为四个层层递进的维度，每个维度对应具体的语篇载体，确保价值观教育源于文本、融入情境、引发共鸣（见表2）。这四层目标呈现出从“个人品格”到“社会责任”，到“价值判断”，再回到个体的“认知发展”的逻辑。第一层聚焦内在品质，是理解成就的起点；第二层拓展至个体与社会的关系，引导学生思考成就的社会意义；第三层上升到价值判断层面，引导学生反思“何为真正的成就”；第四层回归认知发展，帮助学生将前三个层次的认知内化为自我成长的动力。</w:t>
      </w:r>
    </w:p>
    <w:p w14:paraId="4BC5F3CB">
      <w:pPr>
        <w:spacing w:after="0" w:line="240" w:lineRule="auto"/>
        <w:jc w:val="center"/>
        <w:rPr>
          <w:rFonts w:hint="eastAsia" w:ascii="宋体" w:hAnsi="宋体" w:eastAsia="宋体" w:cs="Segoe UI"/>
          <w:sz w:val="21"/>
          <w:szCs w:val="21"/>
          <w:shd w:val="clear" w:color="auto" w:fill="FFFFFF"/>
        </w:rPr>
      </w:pPr>
      <w:r>
        <w:rPr>
          <w:rFonts w:hint="eastAsia" w:ascii="黑体" w:hAnsi="黑体" w:eastAsia="黑体"/>
          <w:sz w:val="18"/>
          <w:szCs w:val="18"/>
        </w:rPr>
        <w:t>表</w:t>
      </w:r>
      <w:r>
        <w:rPr>
          <w:rFonts w:ascii="Times New Roman" w:hAnsi="Times New Roman" w:eastAsia="黑体" w:cs="Times New Roman"/>
          <w:sz w:val="18"/>
          <w:szCs w:val="18"/>
        </w:rPr>
        <w:t>2 Unit 4 Achievements</w:t>
      </w:r>
      <w:r>
        <w:rPr>
          <w:rFonts w:ascii="黑体" w:hAnsi="黑体" w:eastAsia="黑体"/>
          <w:sz w:val="18"/>
          <w:szCs w:val="18"/>
        </w:rPr>
        <w:t xml:space="preserve"> </w:t>
      </w:r>
      <w:r>
        <w:rPr>
          <w:rFonts w:hint="eastAsia" w:ascii="黑体" w:hAnsi="黑体" w:eastAsia="黑体"/>
          <w:sz w:val="18"/>
          <w:szCs w:val="18"/>
        </w:rPr>
        <w:t>单元</w:t>
      </w:r>
      <w:r>
        <w:rPr>
          <w:rFonts w:ascii="黑体" w:hAnsi="黑体" w:eastAsia="黑体"/>
          <w:sz w:val="18"/>
          <w:szCs w:val="18"/>
        </w:rPr>
        <w:t>价值观目标</w:t>
      </w:r>
      <w:r>
        <w:rPr>
          <w:rFonts w:hint="eastAsia" w:ascii="黑体" w:hAnsi="黑体" w:eastAsia="黑体"/>
          <w:sz w:val="18"/>
          <w:szCs w:val="18"/>
        </w:rPr>
        <w:t>设计</w:t>
      </w:r>
    </w:p>
    <w:tbl>
      <w:tblPr>
        <w:tblStyle w:val="58"/>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075"/>
        <w:gridCol w:w="1542"/>
        <w:gridCol w:w="2515"/>
        <w:gridCol w:w="3159"/>
      </w:tblGrid>
      <w:tr w14:paraId="7CCAFAC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26" w:hRule="atLeast"/>
        </w:trPr>
        <w:tc>
          <w:tcPr>
            <w:tcW w:w="1075" w:type="dxa"/>
          </w:tcPr>
          <w:p w14:paraId="4EA9DC62">
            <w:pPr>
              <w:spacing w:after="0" w:line="240" w:lineRule="auto"/>
              <w:jc w:val="center"/>
              <w:rPr>
                <w:rFonts w:hint="eastAsia" w:ascii="宋体" w:hAnsi="宋体" w:eastAsia="宋体"/>
                <w:b/>
                <w:bCs/>
                <w:sz w:val="18"/>
                <w:szCs w:val="18"/>
                <w14:ligatures w14:val="none"/>
              </w:rPr>
            </w:pPr>
            <w:r>
              <w:rPr>
                <w:rFonts w:hint="eastAsia" w:ascii="宋体" w:hAnsi="宋体" w:eastAsia="宋体"/>
                <w:b/>
                <w:bCs/>
                <w:sz w:val="20"/>
                <w:szCs w:val="20"/>
                <w14:ligatures w14:val="none"/>
              </w:rPr>
              <w:t>价值维度</w:t>
            </w:r>
          </w:p>
        </w:tc>
        <w:tc>
          <w:tcPr>
            <w:tcW w:w="1542" w:type="dxa"/>
          </w:tcPr>
          <w:p w14:paraId="04269881">
            <w:pPr>
              <w:spacing w:after="0" w:line="240" w:lineRule="auto"/>
              <w:jc w:val="center"/>
              <w:rPr>
                <w:rFonts w:hint="eastAsia" w:ascii="宋体" w:hAnsi="宋体" w:eastAsia="宋体" w:cs="Segoe UI"/>
                <w:b w:val="0"/>
                <w:bCs w:val="0"/>
                <w:kern w:val="0"/>
                <w:sz w:val="18"/>
                <w:szCs w:val="18"/>
                <w:shd w:val="clear" w:color="auto" w:fill="FFFFFF"/>
                <w14:ligatures w14:val="none"/>
              </w:rPr>
            </w:pPr>
            <w:r>
              <w:rPr>
                <w:rFonts w:hint="eastAsia" w:ascii="宋体" w:hAnsi="宋体" w:eastAsia="宋体"/>
                <w:b/>
                <w:bCs/>
                <w:sz w:val="18"/>
                <w:szCs w:val="18"/>
                <w14:ligatures w14:val="none"/>
              </w:rPr>
              <w:t>单元价值观目标</w:t>
            </w:r>
          </w:p>
        </w:tc>
        <w:tc>
          <w:tcPr>
            <w:tcW w:w="2515" w:type="dxa"/>
          </w:tcPr>
          <w:p w14:paraId="57B5339A">
            <w:pPr>
              <w:spacing w:after="0" w:line="240" w:lineRule="auto"/>
              <w:jc w:val="center"/>
              <w:rPr>
                <w:rFonts w:hint="eastAsia" w:ascii="宋体" w:hAnsi="宋体" w:eastAsia="宋体" w:cs="Segoe UI"/>
                <w:b w:val="0"/>
                <w:bCs w:val="0"/>
                <w:kern w:val="0"/>
                <w:sz w:val="18"/>
                <w:szCs w:val="18"/>
                <w:shd w:val="clear" w:color="auto" w:fill="FFFFFF"/>
                <w14:ligatures w14:val="none"/>
              </w:rPr>
            </w:pPr>
            <w:r>
              <w:rPr>
                <w:rFonts w:hint="eastAsia" w:ascii="宋体" w:hAnsi="宋体" w:eastAsia="宋体" w:cs="Segoe UI"/>
                <w:b/>
                <w:bCs/>
                <w:sz w:val="18"/>
                <w:szCs w:val="18"/>
                <w:shd w:val="clear" w:color="auto" w:fill="FFFFFF"/>
                <w14:ligatures w14:val="none"/>
              </w:rPr>
              <w:t>对应语篇</w:t>
            </w:r>
          </w:p>
        </w:tc>
        <w:tc>
          <w:tcPr>
            <w:tcW w:w="3159" w:type="dxa"/>
          </w:tcPr>
          <w:p w14:paraId="5D897143">
            <w:pPr>
              <w:spacing w:after="0" w:line="240" w:lineRule="auto"/>
              <w:jc w:val="center"/>
              <w:rPr>
                <w:rFonts w:hint="eastAsia" w:ascii="宋体" w:hAnsi="宋体" w:eastAsia="宋体" w:cs="Segoe UI"/>
                <w:b w:val="0"/>
                <w:bCs w:val="0"/>
                <w:kern w:val="0"/>
                <w:sz w:val="18"/>
                <w:szCs w:val="18"/>
                <w:shd w:val="clear" w:color="auto" w:fill="FFFFFF"/>
                <w14:ligatures w14:val="none"/>
              </w:rPr>
            </w:pPr>
            <w:r>
              <w:rPr>
                <w:rFonts w:hint="eastAsia" w:ascii="宋体" w:hAnsi="宋体" w:eastAsia="宋体" w:cs="Segoe UI"/>
                <w:b/>
                <w:bCs/>
                <w:sz w:val="18"/>
                <w:szCs w:val="18"/>
                <w:shd w:val="clear" w:color="auto" w:fill="FFFFFF"/>
                <w14:ligatures w14:val="none"/>
              </w:rPr>
              <w:t>育人指向</w:t>
            </w:r>
          </w:p>
        </w:tc>
      </w:tr>
      <w:tr w14:paraId="62C53A4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449" w:hRule="atLeast"/>
        </w:trPr>
        <w:tc>
          <w:tcPr>
            <w:tcW w:w="1075" w:type="dxa"/>
            <w:shd w:val="clear" w:color="auto" w:fill="D9E2F3" w:themeFill="accent1" w:themeFillTint="33"/>
          </w:tcPr>
          <w:p w14:paraId="58F0B0AD">
            <w:pPr>
              <w:spacing w:after="0" w:line="240" w:lineRule="auto"/>
              <w:jc w:val="center"/>
              <w:rPr>
                <w:rFonts w:hint="eastAsia" w:ascii="宋体" w:hAnsi="宋体" w:eastAsia="宋体"/>
                <w:b/>
                <w:bCs/>
                <w:sz w:val="16"/>
                <w:szCs w:val="16"/>
                <w14:ligatures w14:val="none"/>
              </w:rPr>
            </w:pPr>
            <w:r>
              <w:rPr>
                <w:rFonts w:hint="eastAsia" w:ascii="宋体" w:hAnsi="宋体" w:eastAsia="宋体"/>
                <w:b w:val="0"/>
                <w:bCs w:val="0"/>
                <w:sz w:val="16"/>
                <w:szCs w:val="16"/>
                <w14:ligatures w14:val="none"/>
              </w:rPr>
              <w:t>个人品格</w:t>
            </w:r>
          </w:p>
        </w:tc>
        <w:tc>
          <w:tcPr>
            <w:tcW w:w="1542" w:type="dxa"/>
            <w:shd w:val="clear" w:color="auto" w:fill="D9E2F3" w:themeFill="accent1" w:themeFillTint="33"/>
          </w:tcPr>
          <w:p w14:paraId="120332D5">
            <w:pPr>
              <w:spacing w:after="0" w:line="240" w:lineRule="auto"/>
              <w:rPr>
                <w:rFonts w:hint="eastAsia" w:ascii="宋体" w:hAnsi="宋体" w:eastAsia="宋体"/>
                <w:sz w:val="16"/>
                <w:szCs w:val="16"/>
                <w14:ligatures w14:val="none"/>
              </w:rPr>
            </w:pPr>
            <w:bookmarkStart w:id="9" w:name="OLE_LINK7"/>
            <w:r>
              <w:rPr>
                <w:rFonts w:hint="eastAsia" w:ascii="宋体" w:hAnsi="宋体" w:eastAsia="宋体"/>
                <w:sz w:val="16"/>
                <w:szCs w:val="16"/>
                <w14:ligatures w14:val="none"/>
              </w:rPr>
              <w:t>培养坚韧不拔的意志品质</w:t>
            </w:r>
            <w:bookmarkEnd w:id="9"/>
          </w:p>
        </w:tc>
        <w:tc>
          <w:tcPr>
            <w:tcW w:w="2515" w:type="dxa"/>
            <w:shd w:val="clear" w:color="auto" w:fill="D9E2F3" w:themeFill="accent1" w:themeFillTint="33"/>
          </w:tcPr>
          <w:p w14:paraId="1FC1D226">
            <w:pPr>
              <w:spacing w:after="0" w:line="240" w:lineRule="auto"/>
              <w:rPr>
                <w:rFonts w:hint="eastAsia" w:ascii="宋体" w:hAnsi="宋体" w:eastAsia="宋体"/>
                <w:sz w:val="16"/>
                <w:szCs w:val="16"/>
                <w14:ligatures w14:val="none"/>
              </w:rPr>
            </w:pPr>
            <w:r>
              <w:rPr>
                <w:rFonts w:hint="eastAsia" w:ascii="宋体" w:hAnsi="宋体" w:eastAsia="宋体"/>
                <w:sz w:val="16"/>
                <w:szCs w:val="16"/>
                <w14:ligatures w14:val="none"/>
              </w:rPr>
              <w:t>《老人与海》战胜鲨鱼选段</w:t>
            </w:r>
          </w:p>
        </w:tc>
        <w:tc>
          <w:tcPr>
            <w:tcW w:w="3159" w:type="dxa"/>
            <w:shd w:val="clear" w:color="auto" w:fill="D9E2F3" w:themeFill="accent1" w:themeFillTint="33"/>
          </w:tcPr>
          <w:p w14:paraId="69A7BB31">
            <w:pPr>
              <w:spacing w:after="0" w:line="240" w:lineRule="auto"/>
              <w:rPr>
                <w:rFonts w:hint="eastAsia" w:ascii="宋体" w:hAnsi="宋体" w:eastAsia="宋体"/>
                <w:sz w:val="16"/>
                <w:szCs w:val="16"/>
                <w14:ligatures w14:val="none"/>
              </w:rPr>
            </w:pPr>
            <w:r>
              <w:rPr>
                <w:rFonts w:hint="eastAsia" w:ascii="宋体" w:hAnsi="宋体" w:eastAsia="宋体"/>
                <w:sz w:val="16"/>
                <w:szCs w:val="16"/>
                <w14:ligatures w14:val="none"/>
              </w:rPr>
              <w:t>真正的成就需要面对困境时的坚韧精神</w:t>
            </w:r>
          </w:p>
        </w:tc>
      </w:tr>
      <w:tr w14:paraId="34C5A8C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449" w:hRule="atLeast"/>
        </w:trPr>
        <w:tc>
          <w:tcPr>
            <w:tcW w:w="1075" w:type="dxa"/>
          </w:tcPr>
          <w:p w14:paraId="1473A29B">
            <w:pPr>
              <w:spacing w:after="0" w:line="240" w:lineRule="auto"/>
              <w:jc w:val="center"/>
              <w:rPr>
                <w:rFonts w:hint="eastAsia" w:ascii="宋体" w:hAnsi="宋体" w:eastAsia="宋体"/>
                <w:b/>
                <w:bCs/>
                <w:sz w:val="16"/>
                <w:szCs w:val="16"/>
                <w14:ligatures w14:val="none"/>
              </w:rPr>
            </w:pPr>
            <w:r>
              <w:rPr>
                <w:rFonts w:hint="eastAsia" w:ascii="宋体" w:hAnsi="宋体" w:eastAsia="宋体"/>
                <w:b w:val="0"/>
                <w:bCs w:val="0"/>
                <w:sz w:val="16"/>
                <w:szCs w:val="16"/>
                <w14:ligatures w14:val="none"/>
              </w:rPr>
              <w:t>社会责任</w:t>
            </w:r>
          </w:p>
        </w:tc>
        <w:tc>
          <w:tcPr>
            <w:tcW w:w="1542" w:type="dxa"/>
          </w:tcPr>
          <w:p w14:paraId="43591905">
            <w:pPr>
              <w:spacing w:after="0" w:line="240" w:lineRule="auto"/>
              <w:rPr>
                <w:rFonts w:hint="eastAsia" w:ascii="宋体" w:hAnsi="宋体" w:eastAsia="宋体"/>
                <w:sz w:val="16"/>
                <w:szCs w:val="16"/>
                <w14:ligatures w14:val="none"/>
              </w:rPr>
            </w:pPr>
            <w:r>
              <w:rPr>
                <w:rFonts w:hint="eastAsia" w:ascii="宋体" w:hAnsi="宋体" w:eastAsia="宋体"/>
                <w:sz w:val="16"/>
                <w:szCs w:val="16"/>
                <w14:ligatures w14:val="none"/>
              </w:rPr>
              <w:t>增强家国情怀与社会责任感</w:t>
            </w:r>
          </w:p>
        </w:tc>
        <w:tc>
          <w:tcPr>
            <w:tcW w:w="2515" w:type="dxa"/>
          </w:tcPr>
          <w:p w14:paraId="3F49A1FB">
            <w:pPr>
              <w:pStyle w:val="17"/>
              <w:spacing w:beforeAutospacing="0" w:after="160" w:afterAutospacing="0"/>
              <w:rPr>
                <w:rFonts w:hint="eastAsia" w:ascii="宋体" w:hAnsi="宋体" w:eastAsia="宋体" w:cstheme="minorBidi"/>
                <w:kern w:val="2"/>
                <w:sz w:val="16"/>
                <w:szCs w:val="16"/>
                <w:lang w:eastAsia="zh-CN"/>
              </w:rPr>
            </w:pPr>
            <w:r>
              <w:rPr>
                <w:rFonts w:hint="eastAsia" w:ascii="宋体" w:hAnsi="宋体" w:eastAsia="宋体" w:cstheme="minorBidi"/>
                <w:kern w:val="2"/>
                <w:sz w:val="16"/>
                <w:szCs w:val="16"/>
              </w:rPr>
              <w:t>袁隆平研发杂交水稻的经历</w:t>
            </w:r>
            <w:r>
              <w:rPr>
                <w:rFonts w:hint="eastAsia" w:ascii="宋体" w:hAnsi="宋体" w:eastAsia="宋体" w:cstheme="minorBidi"/>
                <w:kern w:val="2"/>
                <w:sz w:val="16"/>
                <w:szCs w:val="16"/>
                <w:lang w:eastAsia="zh-CN"/>
              </w:rPr>
              <w:t>；</w:t>
            </w:r>
          </w:p>
          <w:p w14:paraId="4C21B83F">
            <w:pPr>
              <w:spacing w:after="0" w:line="240" w:lineRule="auto"/>
              <w:rPr>
                <w:rFonts w:hint="eastAsia" w:ascii="宋体" w:hAnsi="宋体" w:eastAsia="宋体"/>
                <w:sz w:val="16"/>
                <w:szCs w:val="16"/>
                <w14:ligatures w14:val="none"/>
              </w:rPr>
            </w:pPr>
            <w:r>
              <w:rPr>
                <w:rFonts w:hint="eastAsia" w:ascii="宋体" w:hAnsi="宋体" w:eastAsia="宋体"/>
                <w:sz w:val="16"/>
                <w:szCs w:val="16"/>
                <w14:ligatures w14:val="none"/>
              </w:rPr>
              <w:t>人类四大伟大成就的讨论</w:t>
            </w:r>
          </w:p>
        </w:tc>
        <w:tc>
          <w:tcPr>
            <w:tcW w:w="3159" w:type="dxa"/>
          </w:tcPr>
          <w:p w14:paraId="44A62426">
            <w:pPr>
              <w:spacing w:after="0" w:line="240" w:lineRule="auto"/>
              <w:rPr>
                <w:rFonts w:hint="eastAsia" w:ascii="宋体" w:hAnsi="宋体" w:eastAsia="宋体"/>
                <w:sz w:val="16"/>
                <w:szCs w:val="16"/>
                <w14:ligatures w14:val="none"/>
              </w:rPr>
            </w:pPr>
            <w:r>
              <w:rPr>
                <w:rFonts w:hint="eastAsia" w:ascii="宋体" w:hAnsi="宋体" w:eastAsia="宋体"/>
                <w:sz w:val="16"/>
                <w:szCs w:val="16"/>
                <w14:ligatures w14:val="none"/>
              </w:rPr>
              <w:t>个人成就与社会贡献的辩证统一</w:t>
            </w:r>
          </w:p>
        </w:tc>
      </w:tr>
      <w:tr w14:paraId="7972423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41" w:hRule="atLeast"/>
        </w:trPr>
        <w:tc>
          <w:tcPr>
            <w:tcW w:w="1075" w:type="dxa"/>
            <w:shd w:val="clear" w:color="auto" w:fill="D9E2F3" w:themeFill="accent1" w:themeFillTint="33"/>
          </w:tcPr>
          <w:p w14:paraId="1B45539A">
            <w:pPr>
              <w:spacing w:after="0" w:line="240" w:lineRule="auto"/>
              <w:jc w:val="center"/>
              <w:rPr>
                <w:rFonts w:hint="eastAsia" w:ascii="宋体" w:hAnsi="宋体" w:eastAsia="宋体"/>
                <w:b/>
                <w:bCs/>
                <w:sz w:val="16"/>
                <w:szCs w:val="16"/>
                <w14:ligatures w14:val="none"/>
              </w:rPr>
            </w:pPr>
            <w:r>
              <w:rPr>
                <w:rFonts w:hint="eastAsia" w:ascii="宋体" w:hAnsi="宋体" w:eastAsia="宋体"/>
                <w:b w:val="0"/>
                <w:bCs w:val="0"/>
                <w:sz w:val="16"/>
                <w:szCs w:val="16"/>
                <w14:ligatures w14:val="none"/>
              </w:rPr>
              <w:t>价值判断</w:t>
            </w:r>
          </w:p>
        </w:tc>
        <w:tc>
          <w:tcPr>
            <w:tcW w:w="1542" w:type="dxa"/>
            <w:shd w:val="clear" w:color="auto" w:fill="D9E2F3" w:themeFill="accent1" w:themeFillTint="33"/>
          </w:tcPr>
          <w:p w14:paraId="1DE8FED7">
            <w:pPr>
              <w:spacing w:after="0" w:line="240" w:lineRule="auto"/>
              <w:rPr>
                <w:rFonts w:hint="eastAsia" w:ascii="宋体" w:hAnsi="宋体" w:eastAsia="宋体"/>
                <w:sz w:val="16"/>
                <w:szCs w:val="16"/>
                <w14:ligatures w14:val="none"/>
              </w:rPr>
            </w:pPr>
            <w:bookmarkStart w:id="10" w:name="OLE_LINK10"/>
            <w:r>
              <w:rPr>
                <w:rFonts w:hint="eastAsia" w:ascii="宋体" w:hAnsi="宋体" w:eastAsia="宋体"/>
                <w:sz w:val="16"/>
                <w:szCs w:val="16"/>
                <w14:ligatures w14:val="none"/>
              </w:rPr>
              <w:t>树立正确的成功观</w:t>
            </w:r>
            <w:bookmarkEnd w:id="10"/>
          </w:p>
        </w:tc>
        <w:tc>
          <w:tcPr>
            <w:tcW w:w="2515" w:type="dxa"/>
            <w:shd w:val="clear" w:color="auto" w:fill="D9E2F3" w:themeFill="accent1" w:themeFillTint="33"/>
          </w:tcPr>
          <w:p w14:paraId="261F7A90">
            <w:pPr>
              <w:spacing w:after="0" w:line="240" w:lineRule="auto"/>
              <w:rPr>
                <w:rFonts w:hint="eastAsia" w:ascii="宋体" w:hAnsi="宋体" w:eastAsia="宋体"/>
                <w:sz w:val="16"/>
                <w:szCs w:val="16"/>
                <w14:ligatures w14:val="none"/>
              </w:rPr>
            </w:pPr>
            <w:r>
              <w:rPr>
                <w:rFonts w:hint="eastAsia" w:ascii="宋体" w:hAnsi="宋体" w:eastAsia="宋体"/>
                <w:sz w:val="16"/>
                <w:szCs w:val="16"/>
                <w14:ligatures w14:val="none"/>
              </w:rPr>
              <w:t>比赛胜负与参与意义的辩论</w:t>
            </w:r>
          </w:p>
        </w:tc>
        <w:tc>
          <w:tcPr>
            <w:tcW w:w="3159" w:type="dxa"/>
            <w:shd w:val="clear" w:color="auto" w:fill="D9E2F3" w:themeFill="accent1" w:themeFillTint="33"/>
          </w:tcPr>
          <w:p w14:paraId="416FCF58">
            <w:pPr>
              <w:spacing w:after="0" w:line="240" w:lineRule="auto"/>
              <w:rPr>
                <w:rFonts w:hint="eastAsia" w:ascii="宋体" w:hAnsi="宋体" w:eastAsia="宋体"/>
                <w:sz w:val="16"/>
                <w:szCs w:val="16"/>
                <w14:ligatures w14:val="none"/>
              </w:rPr>
            </w:pPr>
            <w:r>
              <w:rPr>
                <w:rFonts w:hint="eastAsia" w:ascii="宋体" w:hAnsi="宋体" w:eastAsia="宋体"/>
                <w:sz w:val="16"/>
                <w:szCs w:val="16"/>
                <w14:ligatures w14:val="none"/>
              </w:rPr>
              <w:t>参与过程与个人成长本身即是成就</w:t>
            </w:r>
          </w:p>
        </w:tc>
      </w:tr>
      <w:tr w14:paraId="6C92B61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449" w:hRule="atLeast"/>
        </w:trPr>
        <w:tc>
          <w:tcPr>
            <w:tcW w:w="1075" w:type="dxa"/>
          </w:tcPr>
          <w:p w14:paraId="4F4F4962">
            <w:pPr>
              <w:spacing w:after="0" w:line="240" w:lineRule="auto"/>
              <w:jc w:val="center"/>
              <w:rPr>
                <w:rFonts w:hint="eastAsia" w:ascii="宋体" w:hAnsi="宋体" w:eastAsia="宋体"/>
                <w:b/>
                <w:bCs/>
                <w:sz w:val="16"/>
                <w:szCs w:val="16"/>
                <w14:ligatures w14:val="none"/>
              </w:rPr>
            </w:pPr>
            <w:r>
              <w:rPr>
                <w:rFonts w:hint="eastAsia" w:ascii="宋体" w:hAnsi="宋体" w:eastAsia="宋体"/>
                <w:b w:val="0"/>
                <w:bCs w:val="0"/>
                <w:sz w:val="16"/>
                <w:szCs w:val="16"/>
                <w14:ligatures w14:val="none"/>
              </w:rPr>
              <w:t>认知发展</w:t>
            </w:r>
          </w:p>
        </w:tc>
        <w:tc>
          <w:tcPr>
            <w:tcW w:w="1542" w:type="dxa"/>
          </w:tcPr>
          <w:p w14:paraId="2F629990">
            <w:pPr>
              <w:spacing w:after="0" w:line="240" w:lineRule="auto"/>
              <w:rPr>
                <w:rFonts w:hint="eastAsia" w:ascii="宋体" w:hAnsi="宋体" w:eastAsia="宋体"/>
                <w:sz w:val="16"/>
                <w:szCs w:val="16"/>
                <w14:ligatures w14:val="none"/>
              </w:rPr>
            </w:pPr>
            <w:r>
              <w:rPr>
                <w:rFonts w:hint="eastAsia" w:ascii="宋体" w:hAnsi="宋体" w:eastAsia="宋体"/>
                <w:sz w:val="16"/>
                <w:szCs w:val="16"/>
                <w14:ligatures w14:val="none"/>
              </w:rPr>
              <w:t>理解个人成就与人类进步的关联</w:t>
            </w:r>
          </w:p>
        </w:tc>
        <w:tc>
          <w:tcPr>
            <w:tcW w:w="2515" w:type="dxa"/>
          </w:tcPr>
          <w:p w14:paraId="350371FC">
            <w:pPr>
              <w:spacing w:after="0" w:line="240" w:lineRule="auto"/>
              <w:rPr>
                <w:rFonts w:hint="eastAsia" w:ascii="宋体" w:hAnsi="宋体" w:eastAsia="宋体"/>
                <w:sz w:val="16"/>
                <w:szCs w:val="16"/>
                <w:lang w:eastAsia="zh-CN"/>
              </w:rPr>
            </w:pPr>
            <w:r>
              <w:rPr>
                <w:rFonts w:hint="eastAsia" w:ascii="宋体" w:hAnsi="宋体" w:eastAsia="宋体"/>
                <w:sz w:val="16"/>
                <w:szCs w:val="16"/>
              </w:rPr>
              <w:t>爱因斯坦等名人的早期挫折</w:t>
            </w:r>
            <w:r>
              <w:rPr>
                <w:rFonts w:hint="eastAsia" w:ascii="宋体" w:hAnsi="宋体" w:eastAsia="宋体"/>
                <w:sz w:val="16"/>
                <w:szCs w:val="16"/>
                <w:lang w:eastAsia="zh-CN"/>
              </w:rPr>
              <w:t>；</w:t>
            </w:r>
          </w:p>
          <w:p w14:paraId="103E8D17">
            <w:pPr>
              <w:spacing w:after="0" w:line="240" w:lineRule="auto"/>
              <w:rPr>
                <w:rFonts w:hint="eastAsia" w:ascii="宋体" w:hAnsi="宋体" w:eastAsia="宋体"/>
                <w:sz w:val="16"/>
                <w:szCs w:val="16"/>
              </w:rPr>
            </w:pPr>
            <w:r>
              <w:rPr>
                <w:rFonts w:hint="eastAsia" w:ascii="宋体" w:hAnsi="宋体" w:eastAsia="宋体"/>
                <w:sz w:val="16"/>
                <w:szCs w:val="16"/>
              </w:rPr>
              <w:t>乒乓球运动员的成长历程</w:t>
            </w:r>
          </w:p>
        </w:tc>
        <w:tc>
          <w:tcPr>
            <w:tcW w:w="3159" w:type="dxa"/>
          </w:tcPr>
          <w:p w14:paraId="77D9760D">
            <w:pPr>
              <w:spacing w:after="0" w:line="240" w:lineRule="auto"/>
              <w:rPr>
                <w:rFonts w:hint="eastAsia" w:ascii="宋体" w:hAnsi="宋体" w:eastAsia="宋体"/>
                <w:sz w:val="16"/>
                <w:szCs w:val="16"/>
                <w14:ligatures w14:val="none"/>
              </w:rPr>
            </w:pPr>
            <w:r>
              <w:rPr>
                <w:rFonts w:hint="eastAsia" w:ascii="宋体" w:hAnsi="宋体" w:eastAsia="宋体"/>
                <w:sz w:val="16"/>
                <w:szCs w:val="16"/>
                <w14:ligatures w14:val="none"/>
              </w:rPr>
              <w:t>成就是逆境中坚持的结果，成就的取得需要多重因素的共同作用</w:t>
            </w:r>
          </w:p>
        </w:tc>
      </w:tr>
    </w:tbl>
    <w:p w14:paraId="2731B5D7">
      <w:pPr>
        <w:spacing w:after="0" w:line="240" w:lineRule="auto"/>
        <w:rPr>
          <w:rFonts w:hint="eastAsia" w:ascii="宋体" w:hAnsi="宋体" w:eastAsia="宋体" w:cs="Segoe UI"/>
          <w:sz w:val="21"/>
          <w:szCs w:val="21"/>
          <w:shd w:val="clear" w:color="auto" w:fill="FFFFFF"/>
        </w:rPr>
      </w:pPr>
      <w:bookmarkStart w:id="11" w:name="OLE_LINK5"/>
    </w:p>
    <w:p w14:paraId="2324535E">
      <w:pPr>
        <w:spacing w:after="0" w:line="240" w:lineRule="auto"/>
        <w:ind w:firstLine="422" w:firstLineChars="200"/>
        <w:rPr>
          <w:rFonts w:hint="eastAsia" w:ascii="黑体" w:hAnsi="黑体" w:eastAsia="黑体" w:cs="Segoe UI"/>
          <w:b/>
          <w:bCs/>
          <w:sz w:val="21"/>
          <w:szCs w:val="21"/>
          <w:shd w:val="clear" w:color="auto" w:fill="FFFFFF"/>
        </w:rPr>
      </w:pPr>
      <w:r>
        <w:rPr>
          <w:rFonts w:hint="eastAsia" w:ascii="黑体" w:hAnsi="黑体" w:eastAsia="黑体" w:cs="Segoe UI"/>
          <w:b/>
          <w:bCs/>
          <w:sz w:val="21"/>
          <w:szCs w:val="21"/>
          <w:shd w:val="clear" w:color="auto" w:fill="FFFFFF"/>
        </w:rPr>
        <w:t>3.单元教学流程的设计</w:t>
      </w:r>
    </w:p>
    <w:p w14:paraId="2CE1B543">
      <w:pPr>
        <w:spacing w:after="0" w:line="240" w:lineRule="auto"/>
        <w:ind w:firstLine="420"/>
        <w:rPr>
          <w:rFonts w:hint="eastAsia" w:ascii="宋体" w:hAnsi="宋体" w:eastAsia="宋体" w:cs="Segoe UI"/>
          <w:sz w:val="21"/>
          <w:szCs w:val="21"/>
          <w:shd w:val="clear" w:color="auto" w:fill="FFFFFF"/>
        </w:rPr>
      </w:pPr>
      <w:r>
        <w:rPr>
          <w:rFonts w:ascii="宋体" w:hAnsi="宋体" w:eastAsia="宋体" w:cs="Segoe UI"/>
          <w:sz w:val="21"/>
          <w:szCs w:val="21"/>
          <w:shd w:val="clear" w:color="auto" w:fill="FFFFFF"/>
        </w:rPr>
        <w:t>上述分层价值观目标为单元教学提供了清晰的育人“路标”</w:t>
      </w:r>
      <w:r>
        <w:rPr>
          <w:rFonts w:hint="eastAsia" w:ascii="宋体" w:hAnsi="宋体" w:eastAsia="宋体" w:cs="Segoe UI"/>
          <w:sz w:val="21"/>
          <w:szCs w:val="21"/>
          <w:shd w:val="clear" w:color="auto" w:fill="FFFFFF"/>
        </w:rPr>
        <w:t>,</w:t>
      </w:r>
      <w:r>
        <w:rPr>
          <w:rFonts w:ascii="宋体" w:hAnsi="宋体" w:eastAsia="宋体" w:cs="Segoe UI"/>
          <w:sz w:val="21"/>
          <w:szCs w:val="21"/>
          <w:shd w:val="clear" w:color="auto" w:fill="FFFFFF"/>
        </w:rPr>
        <w:t>如何将这些静态目标转化为学生可经历、可进阶的学习活动，是本单元流程设计的核心。依据</w:t>
      </w:r>
      <w:r>
        <w:rPr>
          <w:rFonts w:hint="eastAsia" w:ascii="宋体" w:hAnsi="宋体" w:eastAsia="宋体" w:cs="Segoe UI"/>
          <w:sz w:val="21"/>
          <w:szCs w:val="21"/>
          <w:shd w:val="clear" w:color="auto" w:fill="FFFFFF"/>
        </w:rPr>
        <w:t>以上单元价值观目标</w:t>
      </w:r>
      <w:r>
        <w:rPr>
          <w:rFonts w:ascii="宋体" w:hAnsi="宋体" w:eastAsia="宋体" w:cs="Segoe UI"/>
          <w:sz w:val="21"/>
          <w:szCs w:val="21"/>
          <w:shd w:val="clear" w:color="auto" w:fill="FFFFFF"/>
        </w:rPr>
        <w:t>，</w:t>
      </w:r>
      <w:r>
        <w:rPr>
          <w:rFonts w:hint="eastAsia" w:ascii="宋体" w:hAnsi="宋体" w:eastAsia="宋体" w:cs="Segoe UI"/>
          <w:sz w:val="21"/>
          <w:szCs w:val="21"/>
          <w:shd w:val="clear" w:color="auto" w:fill="FFFFFF"/>
        </w:rPr>
        <w:t>挖掘单元语篇</w:t>
      </w:r>
      <w:r>
        <w:rPr>
          <w:rFonts w:hint="eastAsia" w:ascii="宋体" w:hAnsi="宋体" w:eastAsia="宋体" w:cs="Segoe UI"/>
          <w:sz w:val="21"/>
          <w:szCs w:val="21"/>
          <w:shd w:val="clear" w:color="auto" w:fill="FFFFFF"/>
          <w:lang w:eastAsia="zh-CN"/>
        </w:rPr>
        <w:t>的</w:t>
      </w:r>
      <w:r>
        <w:rPr>
          <w:rFonts w:hint="eastAsia" w:ascii="宋体" w:hAnsi="宋体" w:eastAsia="宋体" w:cs="Segoe UI"/>
          <w:sz w:val="21"/>
          <w:szCs w:val="21"/>
          <w:shd w:val="clear" w:color="auto" w:fill="FFFFFF"/>
        </w:rPr>
        <w:t>育人指向，设计</w:t>
      </w:r>
      <w:r>
        <w:rPr>
          <w:rFonts w:ascii="宋体" w:hAnsi="宋体" w:eastAsia="宋体" w:cs="Segoe UI"/>
          <w:sz w:val="21"/>
          <w:szCs w:val="21"/>
          <w:shd w:val="clear" w:color="auto" w:fill="FFFFFF"/>
        </w:rPr>
        <w:t>教学活动，</w:t>
      </w:r>
      <w:r>
        <w:rPr>
          <w:rFonts w:hint="eastAsia" w:ascii="宋体" w:hAnsi="宋体" w:eastAsia="宋体" w:cs="Segoe UI"/>
          <w:sz w:val="21"/>
          <w:szCs w:val="21"/>
          <w:shd w:val="clear" w:color="auto" w:fill="FFFFFF"/>
        </w:rPr>
        <w:t>确保</w:t>
      </w:r>
      <w:r>
        <w:rPr>
          <w:rFonts w:ascii="宋体" w:hAnsi="宋体" w:eastAsia="宋体" w:cs="Segoe UI"/>
          <w:sz w:val="21"/>
          <w:szCs w:val="21"/>
          <w:shd w:val="clear" w:color="auto" w:fill="FFFFFF"/>
        </w:rPr>
        <w:t>每一阶段承载对应的目标层级，前后衔接、螺旋上升，具体如</w:t>
      </w:r>
      <w:r>
        <w:rPr>
          <w:rFonts w:hint="eastAsia" w:ascii="宋体" w:hAnsi="宋体" w:eastAsia="宋体" w:cs="Segoe UI"/>
          <w:sz w:val="21"/>
          <w:szCs w:val="21"/>
          <w:shd w:val="clear" w:color="auto" w:fill="FFFFFF"/>
        </w:rPr>
        <w:t>图1</w:t>
      </w:r>
      <w:r>
        <w:rPr>
          <w:rFonts w:ascii="宋体" w:hAnsi="宋体" w:eastAsia="宋体" w:cs="Segoe UI"/>
          <w:sz w:val="21"/>
          <w:szCs w:val="21"/>
          <w:shd w:val="clear" w:color="auto" w:fill="FFFFFF"/>
        </w:rPr>
        <w:t>所示。</w:t>
      </w:r>
      <w:r>
        <w:rPr>
          <w:rFonts w:hint="eastAsia" w:ascii="宋体" w:hAnsi="宋体" w:eastAsia="宋体" w:cs="Segoe UI"/>
          <w:sz w:val="21"/>
          <w:szCs w:val="21"/>
          <w:shd w:val="clear" w:color="auto" w:fill="FFFFFF"/>
        </w:rPr>
        <w:t>该</w:t>
      </w:r>
      <w:r>
        <w:rPr>
          <w:rFonts w:hint="eastAsia" w:ascii="宋体" w:hAnsi="宋体" w:eastAsia="宋体" w:cs="Segoe UI"/>
          <w:sz w:val="21"/>
          <w:szCs w:val="21"/>
          <w:shd w:val="clear" w:color="auto" w:fill="FFFFFF"/>
          <w:lang w:val="en-US" w:eastAsia="zh-CN"/>
        </w:rPr>
        <w:t>图</w:t>
      </w:r>
      <w:r>
        <w:rPr>
          <w:rFonts w:hint="eastAsia" w:ascii="宋体" w:hAnsi="宋体" w:eastAsia="宋体" w:cs="Segoe UI"/>
          <w:sz w:val="21"/>
          <w:szCs w:val="21"/>
          <w:shd w:val="clear" w:color="auto" w:fill="FFFFFF"/>
        </w:rPr>
        <w:t>与表2互为补充：表2呈现“目标是什么</w:t>
      </w:r>
      <w:r>
        <w:rPr>
          <w:rFonts w:hint="eastAsia" w:ascii="宋体" w:hAnsi="宋体" w:eastAsia="宋体" w:cs="Segoe UI"/>
          <w:sz w:val="21"/>
          <w:szCs w:val="21"/>
          <w:shd w:val="clear" w:color="auto" w:fill="FFFFFF"/>
          <w:lang w:eastAsia="zh-CN"/>
        </w:rPr>
        <w:t>”</w:t>
      </w:r>
      <w:r>
        <w:rPr>
          <w:rFonts w:hint="eastAsia" w:ascii="宋体" w:hAnsi="宋体" w:eastAsia="宋体" w:cs="Segoe UI"/>
          <w:sz w:val="21"/>
          <w:szCs w:val="21"/>
          <w:shd w:val="clear" w:color="auto" w:fill="FFFFFF"/>
        </w:rPr>
        <w:t>，本图则呈现“目标如何通过活动逐层实现”。教学顺序遵循育人目标的递进逻辑：从个人品格到社会责任，到价值判断，最后到认知发展。学生活动的认知要求逐步丰富</w:t>
      </w:r>
      <w:r>
        <w:rPr>
          <w:rFonts w:hint="eastAsia" w:ascii="宋体" w:hAnsi="宋体" w:eastAsia="宋体" w:cs="Segoe UI"/>
          <w:sz w:val="21"/>
          <w:szCs w:val="21"/>
          <w:shd w:val="clear" w:color="auto" w:fill="FFFFFF"/>
          <w:lang w:eastAsia="zh-CN"/>
        </w:rPr>
        <w:t>，</w:t>
      </w:r>
      <w:r>
        <w:rPr>
          <w:rFonts w:hint="eastAsia" w:ascii="宋体" w:hAnsi="宋体" w:eastAsia="宋体" w:cs="Segoe UI"/>
          <w:sz w:val="21"/>
          <w:szCs w:val="21"/>
          <w:shd w:val="clear" w:color="auto" w:fill="FFFFFF"/>
          <w:lang w:val="en-US" w:eastAsia="zh-CN"/>
        </w:rPr>
        <w:t>具体体现为</w:t>
      </w:r>
      <w:r>
        <w:rPr>
          <w:rFonts w:hint="eastAsia" w:ascii="宋体" w:hAnsi="宋体" w:eastAsia="宋体" w:cs="Segoe UI"/>
          <w:sz w:val="21"/>
          <w:szCs w:val="21"/>
          <w:shd w:val="clear" w:color="auto" w:fill="FFFFFF"/>
        </w:rPr>
        <w:t>：文本信息提取，分析比较destroyed和defeated</w:t>
      </w:r>
      <w:r>
        <w:rPr>
          <w:rFonts w:hint="eastAsia" w:ascii="宋体" w:hAnsi="宋体" w:eastAsia="宋体" w:cs="Segoe UI"/>
          <w:sz w:val="21"/>
          <w:szCs w:val="21"/>
          <w:shd w:val="clear" w:color="auto" w:fill="FFFFFF"/>
          <w:lang w:val="en-US" w:eastAsia="zh-CN"/>
        </w:rPr>
        <w:t>的</w:t>
      </w:r>
      <w:r>
        <w:rPr>
          <w:rFonts w:hint="eastAsia" w:ascii="宋体" w:hAnsi="宋体" w:eastAsia="宋体" w:cs="Segoe UI"/>
          <w:sz w:val="21"/>
          <w:szCs w:val="21"/>
          <w:shd w:val="clear" w:color="auto" w:fill="FFFFFF"/>
        </w:rPr>
        <w:t>差异,辩论判断成功与过程的意义，总结成就的多因素</w:t>
      </w:r>
      <w:r>
        <w:rPr>
          <w:rFonts w:hint="eastAsia" w:ascii="宋体" w:hAnsi="宋体" w:eastAsia="宋体" w:cs="Segoe UI"/>
          <w:sz w:val="21"/>
          <w:szCs w:val="21"/>
          <w:shd w:val="clear" w:color="auto" w:fill="FFFFFF"/>
          <w:lang w:val="en-US" w:eastAsia="zh-CN"/>
        </w:rPr>
        <w:t>等</w:t>
      </w:r>
      <w:r>
        <w:rPr>
          <w:rFonts w:hint="eastAsia" w:ascii="宋体" w:hAnsi="宋体" w:eastAsia="宋体" w:cs="Segoe UI"/>
          <w:sz w:val="21"/>
          <w:szCs w:val="21"/>
          <w:shd w:val="clear" w:color="auto" w:fill="FFFFFF"/>
        </w:rPr>
        <w:t>，在学习中体现能力进阶。</w:t>
      </w:r>
    </w:p>
    <w:p w14:paraId="7E3AACA5">
      <w:pPr>
        <w:spacing w:after="0" w:line="240" w:lineRule="auto"/>
        <w:ind w:firstLine="420"/>
        <w:rPr>
          <w:rFonts w:hint="eastAsia" w:ascii="宋体" w:hAnsi="宋体" w:eastAsia="宋体" w:cs="Segoe UI"/>
          <w:sz w:val="21"/>
          <w:szCs w:val="21"/>
          <w:shd w:val="clear" w:color="auto" w:fill="FFFFFF"/>
        </w:rPr>
      </w:pPr>
    </w:p>
    <w:p w14:paraId="158630F7">
      <w:pPr>
        <w:spacing w:after="0" w:line="240" w:lineRule="auto"/>
        <w:rPr>
          <w:rFonts w:hint="eastAsia" w:ascii="宋体" w:hAnsi="宋体" w:eastAsia="宋体" w:cs="Segoe UI"/>
          <w:sz w:val="21"/>
          <w:szCs w:val="21"/>
          <w:shd w:val="clear" w:color="auto" w:fill="FFFFFF"/>
        </w:rPr>
      </w:pPr>
      <w:r>
        <w:rPr>
          <w14:ligatures w14:val="none"/>
        </w:rPr>
        <w:drawing>
          <wp:inline distT="0" distB="0" distL="0" distR="0">
            <wp:extent cx="5274310" cy="3225800"/>
            <wp:effectExtent l="0" t="0" r="2540" b="0"/>
            <wp:docPr id="19476750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675034" name="图片 1"/>
                    <pic:cNvPicPr>
                      <a:picLocks noChangeAspect="1"/>
                    </pic:cNvPicPr>
                  </pic:nvPicPr>
                  <pic:blipFill>
                    <a:blip r:embed="rId7"/>
                    <a:stretch>
                      <a:fillRect/>
                    </a:stretch>
                  </pic:blipFill>
                  <pic:spPr>
                    <a:xfrm>
                      <a:off x="0" y="0"/>
                      <a:ext cx="5274310" cy="3225800"/>
                    </a:xfrm>
                    <a:prstGeom prst="rect">
                      <a:avLst/>
                    </a:prstGeom>
                  </pic:spPr>
                </pic:pic>
              </a:graphicData>
            </a:graphic>
          </wp:inline>
        </w:drawing>
      </w:r>
    </w:p>
    <w:p w14:paraId="34236ED6">
      <w:pPr>
        <w:spacing w:after="0" w:line="240" w:lineRule="auto"/>
        <w:jc w:val="center"/>
        <w:rPr>
          <w:rFonts w:hint="eastAsia" w:ascii="黑体" w:hAnsi="黑体" w:eastAsia="黑体" w:cs="Segoe UI"/>
          <w:sz w:val="18"/>
          <w:szCs w:val="18"/>
          <w:shd w:val="clear" w:color="auto" w:fill="FFFFFF"/>
        </w:rPr>
      </w:pPr>
      <w:r>
        <w:rPr>
          <w:rFonts w:hint="eastAsia" w:ascii="黑体" w:hAnsi="黑体" w:eastAsia="黑体" w:cs="Segoe UI"/>
          <w:sz w:val="18"/>
          <w:szCs w:val="18"/>
          <w:shd w:val="clear" w:color="auto" w:fill="FFFFFF"/>
        </w:rPr>
        <w:t>图1 单元教学流程设计</w:t>
      </w:r>
    </w:p>
    <w:p w14:paraId="3485DA7C">
      <w:pPr>
        <w:spacing w:after="0" w:line="240" w:lineRule="auto"/>
        <w:rPr>
          <w:rFonts w:hint="eastAsia" w:ascii="宋体" w:hAnsi="宋体" w:eastAsia="宋体" w:cs="Segoe UI"/>
          <w:sz w:val="21"/>
          <w:szCs w:val="21"/>
          <w:shd w:val="clear" w:color="auto" w:fill="FFFFFF"/>
        </w:rPr>
      </w:pPr>
    </w:p>
    <w:bookmarkEnd w:id="11"/>
    <w:p w14:paraId="3919C60F">
      <w:pPr>
        <w:pStyle w:val="41"/>
        <w:numPr>
          <w:ilvl w:val="0"/>
          <w:numId w:val="2"/>
        </w:numPr>
        <w:spacing w:after="0" w:line="360" w:lineRule="auto"/>
        <w:rPr>
          <w:rFonts w:hint="eastAsia" w:ascii="黑体" w:hAnsi="黑体" w:eastAsia="黑体" w:cs="Segoe UI"/>
          <w:b/>
          <w:bCs/>
          <w:szCs w:val="22"/>
          <w:shd w:val="clear" w:color="auto" w:fill="FFFFFF"/>
        </w:rPr>
      </w:pPr>
      <w:r>
        <w:rPr>
          <w:rFonts w:hint="eastAsia" w:ascii="黑体" w:hAnsi="黑体" w:eastAsia="黑体" w:cs="Segoe UI"/>
          <w:b/>
          <w:bCs/>
          <w:szCs w:val="22"/>
          <w:shd w:val="clear" w:color="auto" w:fill="FFFFFF"/>
        </w:rPr>
        <w:t>语言素养与价值塑造的融合实践</w:t>
      </w:r>
    </w:p>
    <w:p w14:paraId="25F727E5">
      <w:pPr>
        <w:pStyle w:val="41"/>
        <w:spacing w:after="0" w:line="240" w:lineRule="auto"/>
        <w:ind w:left="0" w:firstLine="420" w:firstLineChars="200"/>
        <w:rPr>
          <w:rFonts w:hint="eastAsia" w:ascii="宋体" w:hAnsi="宋体" w:eastAsia="宋体" w:cs="Segoe UI"/>
          <w:sz w:val="21"/>
          <w:szCs w:val="21"/>
          <w:shd w:val="clear" w:color="auto" w:fill="FFFFFF"/>
        </w:rPr>
      </w:pPr>
      <w:r>
        <w:rPr>
          <w:rFonts w:hint="eastAsia" w:ascii="宋体" w:hAnsi="宋体" w:eastAsia="宋体" w:cs="Segoe UI"/>
          <w:sz w:val="21"/>
          <w:szCs w:val="21"/>
          <w:shd w:val="clear" w:color="auto" w:fill="FFFFFF"/>
        </w:rPr>
        <w:t>学科育人的落地，关键在于找到恰当的“融合点”——既能承载语言学习的任务，又能自然进行价值引领。本单元教学主要采用以下两种做法：一是通过“问题链驱动”，在文本解读中引导学生从语言理解走向价值内化；二是通过“文化对比”，在跨文化比较中培养学生的文化意识与价值判断能力。这分别对应单元教学的前两个阶段，共同服务于单元大观念的达成。</w:t>
      </w:r>
    </w:p>
    <w:p w14:paraId="15C24BC5">
      <w:pPr>
        <w:spacing w:after="0" w:line="240" w:lineRule="auto"/>
        <w:ind w:firstLine="422" w:firstLineChars="200"/>
        <w:rPr>
          <w:rFonts w:hint="eastAsia" w:ascii="黑体" w:hAnsi="黑体" w:eastAsia="黑体" w:cs="Segoe UI"/>
          <w:b/>
          <w:bCs/>
          <w:sz w:val="21"/>
          <w:szCs w:val="21"/>
          <w:shd w:val="clear" w:color="auto" w:fill="FFFFFF"/>
        </w:rPr>
      </w:pPr>
      <w:bookmarkStart w:id="12" w:name="OLE_LINK9"/>
      <w:r>
        <w:rPr>
          <w:rFonts w:hint="eastAsia" w:ascii="黑体" w:hAnsi="黑体" w:eastAsia="黑体" w:cs="Segoe UI"/>
          <w:b/>
          <w:bCs/>
          <w:sz w:val="21"/>
          <w:szCs w:val="21"/>
          <w:shd w:val="clear" w:color="auto" w:fill="FFFFFF"/>
        </w:rPr>
        <w:t>1.问题链驱动：从文本解读到价值内化</w:t>
      </w:r>
    </w:p>
    <w:p w14:paraId="59E1744B">
      <w:pPr>
        <w:spacing w:after="0" w:line="240" w:lineRule="auto"/>
        <w:ind w:firstLine="420" w:firstLineChars="200"/>
        <w:rPr>
          <w:rFonts w:hint="eastAsia" w:ascii="宋体" w:hAnsi="宋体" w:eastAsia="宋体" w:cs="Segoe UI"/>
          <w:sz w:val="21"/>
          <w:szCs w:val="21"/>
          <w:shd w:val="clear" w:color="auto" w:fill="FFFFFF"/>
        </w:rPr>
      </w:pPr>
      <w:r>
        <w:rPr>
          <w:rFonts w:hint="eastAsia" w:ascii="宋体" w:hAnsi="宋体" w:eastAsia="宋体" w:cs="Segoe UI"/>
          <w:sz w:val="21"/>
          <w:szCs w:val="21"/>
          <w:shd w:val="clear" w:color="auto" w:fill="FFFFFF"/>
        </w:rPr>
        <w:t>作为单元教学的起点，本课时旨在通过《老人与海》的文本解读，让学生初步感知实现成就所需的个人品质（如坚韧）。这不仅是一次语言学习活动，更是为后续第二阶段深入探讨文化差异下的“失败观”奠定认知基础。在《老人与海》的阅读教学中，教师通过“问题链”设计，引导学生从文本分析走向价值内化，实现语言能力与品德教育的有机融合。问题链设计如图</w:t>
      </w:r>
      <w:r>
        <w:rPr>
          <w:rFonts w:hint="eastAsia" w:ascii="宋体" w:hAnsi="宋体" w:eastAsia="宋体" w:cs="Segoe UI"/>
          <w:sz w:val="21"/>
          <w:szCs w:val="21"/>
          <w:shd w:val="clear" w:color="auto" w:fill="FFFFFF"/>
          <w:lang w:val="en-US" w:eastAsia="zh-CN"/>
        </w:rPr>
        <w:t>2</w:t>
      </w:r>
      <w:r>
        <w:rPr>
          <w:rFonts w:hint="eastAsia" w:ascii="宋体" w:hAnsi="宋体" w:eastAsia="宋体" w:cs="Segoe UI"/>
          <w:sz w:val="21"/>
          <w:szCs w:val="21"/>
          <w:shd w:val="clear" w:color="auto" w:fill="FFFFFF"/>
        </w:rPr>
        <w:t>所示：</w:t>
      </w:r>
    </w:p>
    <w:p w14:paraId="39375623">
      <w:pPr>
        <w:spacing w:after="0" w:line="240" w:lineRule="auto"/>
        <w:rPr>
          <w:rFonts w:hint="eastAsia" w:ascii="宋体" w:hAnsi="宋体" w:eastAsia="宋体" w:cs="Segoe UI"/>
          <w:sz w:val="21"/>
          <w:szCs w:val="21"/>
          <w:shd w:val="clear" w:color="auto" w:fill="FFFFFF"/>
        </w:rPr>
      </w:pPr>
      <w:r>
        <w:drawing>
          <wp:inline distT="0" distB="0" distL="0" distR="0">
            <wp:extent cx="5274310" cy="2258695"/>
            <wp:effectExtent l="0" t="0" r="2540" b="8255"/>
            <wp:docPr id="20559989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998946" name="图片 1"/>
                    <pic:cNvPicPr>
                      <a:picLocks noChangeAspect="1"/>
                    </pic:cNvPicPr>
                  </pic:nvPicPr>
                  <pic:blipFill>
                    <a:blip r:embed="rId8"/>
                    <a:stretch>
                      <a:fillRect/>
                    </a:stretch>
                  </pic:blipFill>
                  <pic:spPr>
                    <a:xfrm>
                      <a:off x="0" y="0"/>
                      <a:ext cx="5274310" cy="2258695"/>
                    </a:xfrm>
                    <a:prstGeom prst="rect">
                      <a:avLst/>
                    </a:prstGeom>
                  </pic:spPr>
                </pic:pic>
              </a:graphicData>
            </a:graphic>
          </wp:inline>
        </w:drawing>
      </w:r>
    </w:p>
    <w:p w14:paraId="1AF03DFB">
      <w:pPr>
        <w:spacing w:after="0" w:line="240" w:lineRule="auto"/>
        <w:jc w:val="center"/>
        <w:rPr>
          <w:rFonts w:ascii="Times New Roman" w:hAnsi="Times New Roman" w:eastAsia="黑体" w:cs="Times New Roman"/>
          <w:sz w:val="18"/>
          <w:szCs w:val="18"/>
          <w:shd w:val="clear" w:color="auto" w:fill="FFFFFF"/>
        </w:rPr>
      </w:pPr>
      <w:r>
        <w:rPr>
          <w:rFonts w:hint="eastAsia" w:ascii="黑体" w:hAnsi="黑体" w:eastAsia="黑体" w:cs="Segoe UI"/>
          <w:sz w:val="18"/>
          <w:szCs w:val="18"/>
          <w:shd w:val="clear" w:color="auto" w:fill="FFFFFF"/>
        </w:rPr>
        <w:t>图2 《老人与海》问题链设计示例</w:t>
      </w:r>
    </w:p>
    <w:p w14:paraId="0D8681AE">
      <w:pPr>
        <w:spacing w:after="0" w:line="240" w:lineRule="auto"/>
        <w:ind w:firstLine="420" w:firstLineChars="200"/>
        <w:rPr>
          <w:rFonts w:hint="eastAsia" w:ascii="宋体" w:hAnsi="宋体" w:eastAsia="宋体" w:cs="Times New Roman"/>
          <w:sz w:val="21"/>
          <w:szCs w:val="21"/>
          <w:shd w:val="clear" w:color="auto" w:fill="FFFFFF"/>
        </w:rPr>
      </w:pPr>
      <w:r>
        <w:rPr>
          <w:rFonts w:ascii="Times New Roman" w:hAnsi="Times New Roman" w:eastAsia="宋体" w:cs="Times New Roman"/>
          <w:color w:val="404040"/>
          <w:sz w:val="21"/>
          <w:szCs w:val="21"/>
          <w:shd w:val="clear" w:color="auto" w:fill="FFFFFF"/>
        </w:rPr>
        <w:t>通过回答问题1，学生在梳理老人与鲨鱼搏斗、体力透支等细节的过程中（如“His hands were bleeding”），学习如何用英语描述困境，同时感知人物面临的外部冲突。回答问题2时，教师引导学生对比“destroyed”（肉体毁灭）与“defeated”（精神屈服）的词义差异，结合文中“He fought the sharks with his fishing spear until he had nothing left”等句子，分析老人的精神胜利，理解“坚韧”的深层含义。回答问题3时，学生联系实际，用英语分享个人经历（如“I kept practicing basketball every day to improve my skills, even after failures”），教师适时引入“成长型思维”这一概念，强调通过努力，个人能力是可以发展的，在该过程中实现学生语言输出与价值观的同步建构。</w:t>
      </w:r>
      <w:r>
        <w:rPr>
          <w:rFonts w:hint="eastAsia" w:ascii="Times New Roman" w:hAnsi="Times New Roman" w:eastAsia="宋体" w:cs="Times New Roman"/>
          <w:sz w:val="21"/>
          <w:szCs w:val="21"/>
          <w:shd w:val="clear" w:color="auto" w:fill="FFFFFF"/>
          <w:lang w:val="en-US" w:eastAsia="zh-CN"/>
        </w:rPr>
        <w:t>整个</w:t>
      </w:r>
      <w:r>
        <w:rPr>
          <w:rFonts w:ascii="Times New Roman" w:hAnsi="Times New Roman" w:eastAsia="宋体" w:cs="Times New Roman"/>
          <w:sz w:val="21"/>
          <w:szCs w:val="21"/>
          <w:shd w:val="clear" w:color="auto" w:fill="FFFFFF"/>
        </w:rPr>
        <w:t>教学过程中，问题链梯度从“what—why—how”逐层递进，符合学生认知逻</w:t>
      </w:r>
      <w:r>
        <w:rPr>
          <w:rFonts w:ascii="宋体" w:hAnsi="宋体" w:eastAsia="宋体" w:cs="Times New Roman"/>
          <w:sz w:val="21"/>
          <w:szCs w:val="21"/>
          <w:shd w:val="clear" w:color="auto" w:fill="FFFFFF"/>
        </w:rPr>
        <w:t>辑，且语言学习（词汇、修辞分析）与品格教育（坚韧、成长型思维）自然融合，双线并行。</w:t>
      </w:r>
    </w:p>
    <w:bookmarkEnd w:id="12"/>
    <w:p w14:paraId="00CEA974">
      <w:pPr>
        <w:spacing w:after="0" w:line="240" w:lineRule="auto"/>
        <w:ind w:firstLine="422" w:firstLineChars="200"/>
        <w:rPr>
          <w:rFonts w:hint="eastAsia" w:ascii="黑体" w:hAnsi="黑体" w:eastAsia="黑体" w:cs="Segoe UI"/>
          <w:b/>
          <w:bCs/>
          <w:sz w:val="21"/>
          <w:szCs w:val="21"/>
          <w:shd w:val="clear" w:color="auto" w:fill="FFFFFF"/>
        </w:rPr>
      </w:pPr>
      <w:r>
        <w:rPr>
          <w:rFonts w:hint="eastAsia" w:ascii="黑体" w:hAnsi="黑体" w:eastAsia="黑体" w:cs="Segoe UI"/>
          <w:b/>
          <w:bCs/>
          <w:sz w:val="21"/>
          <w:szCs w:val="21"/>
          <w:shd w:val="clear" w:color="auto" w:fill="FFFFFF"/>
        </w:rPr>
        <w:t>2.文化对比：从差异认知到文化自信</w:t>
      </w:r>
    </w:p>
    <w:p w14:paraId="4F10CDB8">
      <w:pPr>
        <w:spacing w:after="0" w:line="240" w:lineRule="auto"/>
        <w:ind w:firstLine="420" w:firstLineChars="200"/>
        <w:rPr>
          <w:rFonts w:hint="eastAsia" w:ascii="Times New Roman" w:hAnsi="Times New Roman" w:eastAsia="宋体" w:cs="Times New Roman"/>
          <w:sz w:val="21"/>
          <w:szCs w:val="21"/>
          <w:shd w:val="clear" w:color="auto" w:fill="FFFFFF"/>
        </w:rPr>
      </w:pPr>
      <w:bookmarkStart w:id="13" w:name="OLE_LINK17"/>
      <w:r>
        <w:rPr>
          <w:rFonts w:hint="eastAsia" w:ascii="Times New Roman" w:hAnsi="Times New Roman" w:eastAsia="宋体" w:cs="Times New Roman"/>
          <w:sz w:val="21"/>
          <w:szCs w:val="21"/>
          <w:shd w:val="clear" w:color="auto" w:fill="FFFFFF"/>
        </w:rPr>
        <w:t>通过第一阶段的《老人与海》教学，学生初步感知了实现成就所需的</w:t>
      </w:r>
      <w:r>
        <w:rPr>
          <w:rFonts w:ascii="Times New Roman" w:hAnsi="Times New Roman" w:eastAsia="宋体" w:cs="Times New Roman"/>
          <w:sz w:val="21"/>
          <w:szCs w:val="21"/>
          <w:shd w:val="clear" w:color="auto" w:fill="FFFFFF"/>
        </w:rPr>
        <w:t>“</w:t>
      </w:r>
      <w:r>
        <w:rPr>
          <w:rFonts w:hint="eastAsia" w:ascii="Times New Roman" w:hAnsi="Times New Roman" w:eastAsia="宋体" w:cs="Times New Roman"/>
          <w:sz w:val="21"/>
          <w:szCs w:val="21"/>
          <w:shd w:val="clear" w:color="auto" w:fill="FFFFFF"/>
        </w:rPr>
        <w:t>坚韧</w:t>
      </w:r>
      <w:r>
        <w:rPr>
          <w:rFonts w:ascii="Times New Roman" w:hAnsi="Times New Roman" w:eastAsia="宋体" w:cs="Times New Roman"/>
          <w:sz w:val="21"/>
          <w:szCs w:val="21"/>
          <w:shd w:val="clear" w:color="auto" w:fill="FFFFFF"/>
        </w:rPr>
        <w:t>”</w:t>
      </w:r>
      <w:r>
        <w:rPr>
          <w:rFonts w:hint="eastAsia" w:ascii="Times New Roman" w:hAnsi="Times New Roman" w:eastAsia="宋体" w:cs="Times New Roman"/>
          <w:sz w:val="21"/>
          <w:szCs w:val="21"/>
          <w:shd w:val="clear" w:color="auto" w:fill="FFFFFF"/>
        </w:rPr>
        <w:t>这一个人品质。然而，成就的内涵不仅取决于个人努力，还受到社会文化观念的深刻影响。因此，在第二阶段的</w:t>
      </w:r>
      <w:r>
        <w:rPr>
          <w:rFonts w:ascii="Times New Roman" w:hAnsi="Times New Roman" w:eastAsia="宋体" w:cs="Times New Roman"/>
          <w:sz w:val="21"/>
          <w:szCs w:val="21"/>
          <w:shd w:val="clear" w:color="auto" w:fill="FFFFFF"/>
        </w:rPr>
        <w:t>“</w:t>
      </w:r>
      <w:r>
        <w:rPr>
          <w:rFonts w:hint="eastAsia" w:ascii="Times New Roman" w:hAnsi="Times New Roman" w:eastAsia="宋体" w:cs="Times New Roman"/>
          <w:sz w:val="21"/>
          <w:szCs w:val="21"/>
          <w:shd w:val="clear" w:color="auto" w:fill="FFFFFF"/>
        </w:rPr>
        <w:t>A False Start</w:t>
      </w:r>
      <w:r>
        <w:rPr>
          <w:rFonts w:ascii="Times New Roman" w:hAnsi="Times New Roman" w:eastAsia="宋体" w:cs="Times New Roman"/>
          <w:sz w:val="21"/>
          <w:szCs w:val="21"/>
          <w:shd w:val="clear" w:color="auto" w:fill="FFFFFF"/>
        </w:rPr>
        <w:t>”</w:t>
      </w:r>
      <w:r>
        <w:rPr>
          <w:rFonts w:hint="eastAsia" w:ascii="Times New Roman" w:hAnsi="Times New Roman" w:eastAsia="宋体" w:cs="Times New Roman"/>
          <w:sz w:val="21"/>
          <w:szCs w:val="21"/>
          <w:shd w:val="clear" w:color="auto" w:fill="FFFFFF"/>
        </w:rPr>
        <w:t>教学中，引导学生从文化层面理解不同社会对</w:t>
      </w:r>
      <w:r>
        <w:rPr>
          <w:rFonts w:ascii="Times New Roman" w:hAnsi="Times New Roman" w:eastAsia="宋体" w:cs="Times New Roman"/>
          <w:sz w:val="21"/>
          <w:szCs w:val="21"/>
          <w:shd w:val="clear" w:color="auto" w:fill="FFFFFF"/>
        </w:rPr>
        <w:t>“</w:t>
      </w:r>
      <w:r>
        <w:rPr>
          <w:rFonts w:hint="eastAsia" w:ascii="Times New Roman" w:hAnsi="Times New Roman" w:eastAsia="宋体" w:cs="Times New Roman"/>
          <w:sz w:val="21"/>
          <w:szCs w:val="21"/>
          <w:shd w:val="clear" w:color="auto" w:fill="FFFFFF"/>
        </w:rPr>
        <w:t>失败</w:t>
      </w:r>
      <w:r>
        <w:rPr>
          <w:rFonts w:ascii="Times New Roman" w:hAnsi="Times New Roman" w:eastAsia="宋体" w:cs="Times New Roman"/>
          <w:sz w:val="21"/>
          <w:szCs w:val="21"/>
          <w:shd w:val="clear" w:color="auto" w:fill="FFFFFF"/>
        </w:rPr>
        <w:t>”</w:t>
      </w:r>
      <w:r>
        <w:rPr>
          <w:rFonts w:hint="eastAsia" w:ascii="Times New Roman" w:hAnsi="Times New Roman" w:eastAsia="宋体" w:cs="Times New Roman"/>
          <w:sz w:val="21"/>
          <w:szCs w:val="21"/>
          <w:shd w:val="clear" w:color="auto" w:fill="FFFFFF"/>
        </w:rPr>
        <w:t>与</w:t>
      </w:r>
      <w:r>
        <w:rPr>
          <w:rFonts w:ascii="Times New Roman" w:hAnsi="Times New Roman" w:eastAsia="宋体" w:cs="Times New Roman"/>
          <w:sz w:val="21"/>
          <w:szCs w:val="21"/>
          <w:shd w:val="clear" w:color="auto" w:fill="FFFFFF"/>
        </w:rPr>
        <w:t>“</w:t>
      </w:r>
      <w:r>
        <w:rPr>
          <w:rFonts w:hint="eastAsia" w:ascii="Times New Roman" w:hAnsi="Times New Roman" w:eastAsia="宋体" w:cs="Times New Roman"/>
          <w:sz w:val="21"/>
          <w:szCs w:val="21"/>
          <w:shd w:val="clear" w:color="auto" w:fill="FFFFFF"/>
        </w:rPr>
        <w:t>成就</w:t>
      </w:r>
      <w:r>
        <w:rPr>
          <w:rFonts w:ascii="Times New Roman" w:hAnsi="Times New Roman" w:eastAsia="宋体" w:cs="Times New Roman"/>
          <w:sz w:val="21"/>
          <w:szCs w:val="21"/>
          <w:shd w:val="clear" w:color="auto" w:fill="FFFFFF"/>
        </w:rPr>
        <w:t>”</w:t>
      </w:r>
      <w:r>
        <w:rPr>
          <w:rFonts w:hint="eastAsia" w:ascii="Times New Roman" w:hAnsi="Times New Roman" w:eastAsia="宋体" w:cs="Times New Roman"/>
          <w:sz w:val="21"/>
          <w:szCs w:val="21"/>
          <w:shd w:val="clear" w:color="auto" w:fill="FFFFFF"/>
        </w:rPr>
        <w:t>的解读差异，从而实现从个人品质到社会文化的认知拓展。</w:t>
      </w:r>
      <w:bookmarkEnd w:id="13"/>
    </w:p>
    <w:p w14:paraId="3A9375EA">
      <w:pPr>
        <w:spacing w:after="0" w:line="240" w:lineRule="auto"/>
        <w:ind w:firstLine="420" w:firstLineChars="200"/>
        <w:rPr>
          <w:rFonts w:ascii="Times New Roman" w:hAnsi="Times New Roman" w:eastAsia="宋体" w:cs="Times New Roman"/>
          <w:sz w:val="21"/>
          <w:szCs w:val="21"/>
          <w:shd w:val="clear" w:color="auto" w:fill="FFFFFF"/>
        </w:rPr>
      </w:pPr>
      <w:r>
        <w:rPr>
          <w:rFonts w:ascii="Times New Roman" w:hAnsi="Times New Roman" w:eastAsia="宋体" w:cs="Times New Roman"/>
          <w:sz w:val="21"/>
          <w:szCs w:val="21"/>
          <w:shd w:val="clear" w:color="auto" w:fill="FFFFFF"/>
        </w:rPr>
        <w:t>首先，教师引导学生基于文本细节，撰写人物评语。如基于文本中“Einstein was considered slow in childhood”等细节，学生可能会使用“a genius ahead of his time”等典型表达；而根据“He loved maths and studied so hard that he managed to win a national abacus competition.”有关华罗庚的描述，学生可能会给出 “Hua Luogeng persisted in self-study”等评价。这个环节</w:t>
      </w:r>
      <w:r>
        <w:rPr>
          <w:rFonts w:hint="eastAsia" w:ascii="Times New Roman" w:hAnsi="Times New Roman" w:eastAsia="宋体" w:cs="Times New Roman"/>
          <w:sz w:val="21"/>
          <w:szCs w:val="21"/>
          <w:shd w:val="clear" w:color="auto" w:fill="FFFFFF"/>
        </w:rPr>
        <w:t>既提升了</w:t>
      </w:r>
      <w:r>
        <w:rPr>
          <w:rFonts w:hint="eastAsia" w:ascii="Times New Roman" w:hAnsi="Times New Roman" w:eastAsia="宋体" w:cs="Times New Roman"/>
          <w:sz w:val="21"/>
          <w:szCs w:val="21"/>
          <w:shd w:val="clear" w:color="auto" w:fill="FFFFFF"/>
          <w:lang w:val="en-US" w:eastAsia="zh-CN"/>
        </w:rPr>
        <w:t>学生的</w:t>
      </w:r>
      <w:r>
        <w:rPr>
          <w:rFonts w:hint="eastAsia" w:ascii="Times New Roman" w:hAnsi="Times New Roman" w:eastAsia="宋体" w:cs="Times New Roman"/>
          <w:sz w:val="21"/>
          <w:szCs w:val="21"/>
          <w:shd w:val="clear" w:color="auto" w:fill="FFFFFF"/>
        </w:rPr>
        <w:t>文本细读能力，也</w:t>
      </w:r>
      <w:r>
        <w:rPr>
          <w:rFonts w:hint="eastAsia" w:ascii="Times New Roman" w:hAnsi="Times New Roman" w:eastAsia="宋体" w:cs="Times New Roman"/>
          <w:sz w:val="21"/>
          <w:szCs w:val="21"/>
          <w:shd w:val="clear" w:color="auto" w:fill="FFFFFF"/>
          <w:lang w:val="en-US" w:eastAsia="zh-CN"/>
        </w:rPr>
        <w:t>让他们</w:t>
      </w:r>
      <w:r>
        <w:rPr>
          <w:rFonts w:hint="eastAsia" w:ascii="Times New Roman" w:hAnsi="Times New Roman" w:eastAsia="宋体" w:cs="Times New Roman"/>
          <w:sz w:val="21"/>
          <w:szCs w:val="21"/>
          <w:shd w:val="clear" w:color="auto" w:fill="FFFFFF"/>
        </w:rPr>
        <w:t>初步感知了文化差异</w:t>
      </w:r>
      <w:r>
        <w:rPr>
          <w:rFonts w:ascii="Times New Roman" w:hAnsi="Times New Roman" w:eastAsia="宋体" w:cs="Times New Roman"/>
          <w:sz w:val="21"/>
          <w:szCs w:val="21"/>
          <w:shd w:val="clear" w:color="auto" w:fill="FFFFFF"/>
        </w:rPr>
        <w:t>。接着，学生通过对比分析两组评语，发现差异现象：对于爱因斯坦的评价，西方评语强调“天才早期不被理解”的悲剧性，而中国评语则突出“在逆境中坚持”的励志性。</w:t>
      </w:r>
      <w:r>
        <w:rPr>
          <w:rFonts w:hint="eastAsia" w:ascii="Times New Roman" w:hAnsi="Times New Roman" w:eastAsia="宋体" w:cs="Times New Roman"/>
          <w:sz w:val="21"/>
          <w:szCs w:val="21"/>
          <w:shd w:val="clear" w:color="auto" w:fill="FFFFFF"/>
        </w:rPr>
        <w:t>教师引导学生发现：西方文化倾向于将早期失败归因于“未被理解的天赋”，而中国文化更强调“逆境中的坚持与努力”。这背后反映了个人主义与集体主义价值观的差异</w:t>
      </w:r>
      <w:r>
        <w:rPr>
          <w:rFonts w:ascii="Times New Roman" w:hAnsi="Times New Roman" w:eastAsia="宋体" w:cs="Times New Roman"/>
          <w:sz w:val="21"/>
          <w:szCs w:val="21"/>
          <w:shd w:val="clear" w:color="auto" w:fill="FFFFFF"/>
        </w:rPr>
        <w:t>。最后，为了内化学生对不同文化价值观的理解，设计小组演讲活动：学生需要以三位名人的口吻撰写演讲稿。在该环节适当引导学生，如：爱因斯坦的演讲可能包含“My early ‘slowness’</w:t>
      </w:r>
      <w:r>
        <w:rPr>
          <w:rFonts w:hint="eastAsia" w:ascii="Times New Roman" w:hAnsi="Times New Roman" w:eastAsia="宋体" w:cs="Times New Roman"/>
          <w:sz w:val="21"/>
          <w:szCs w:val="21"/>
          <w:shd w:val="clear" w:color="auto" w:fill="FFFFFF"/>
        </w:rPr>
        <w:t xml:space="preserve"> </w:t>
      </w:r>
      <w:r>
        <w:rPr>
          <w:rFonts w:ascii="Times New Roman" w:hAnsi="Times New Roman" w:eastAsia="宋体" w:cs="Times New Roman"/>
          <w:sz w:val="21"/>
          <w:szCs w:val="21"/>
          <w:shd w:val="clear" w:color="auto" w:fill="FFFFFF"/>
        </w:rPr>
        <w:t>actually allowed me to think differently”等体现西方创新价值观的表述</w:t>
      </w:r>
      <w:r>
        <w:rPr>
          <w:rFonts w:hint="eastAsia" w:ascii="Times New Roman" w:hAnsi="Times New Roman" w:eastAsia="宋体" w:cs="Times New Roman"/>
          <w:sz w:val="21"/>
          <w:szCs w:val="21"/>
          <w:shd w:val="clear" w:color="auto" w:fill="FFFFFF"/>
        </w:rPr>
        <w:t>；</w:t>
      </w:r>
      <w:r>
        <w:rPr>
          <w:rFonts w:ascii="Times New Roman" w:hAnsi="Times New Roman" w:eastAsia="宋体" w:cs="Times New Roman"/>
          <w:sz w:val="21"/>
          <w:szCs w:val="21"/>
          <w:shd w:val="clear" w:color="auto" w:fill="FFFFFF"/>
        </w:rPr>
        <w:t>梵高的演讲</w:t>
      </w:r>
      <w:r>
        <w:rPr>
          <w:rFonts w:hint="eastAsia" w:ascii="Times New Roman" w:hAnsi="Times New Roman" w:eastAsia="宋体" w:cs="Times New Roman"/>
          <w:sz w:val="21"/>
          <w:szCs w:val="21"/>
          <w:shd w:val="clear" w:color="auto" w:fill="FFFFFF"/>
        </w:rPr>
        <w:t>也许能通过</w:t>
      </w:r>
      <w:r>
        <w:rPr>
          <w:rFonts w:ascii="Times New Roman" w:hAnsi="Times New Roman" w:eastAsia="宋体" w:cs="Times New Roman"/>
          <w:sz w:val="21"/>
          <w:szCs w:val="21"/>
          <w:shd w:val="clear" w:color="auto" w:fill="FFFFFF"/>
        </w:rPr>
        <w:t>“I never knew commercial success, but I never stopped painting. Today, my work speaks for itself.”</w:t>
      </w:r>
      <w:r>
        <w:rPr>
          <w:rFonts w:hint="eastAsia" w:ascii="Times New Roman" w:hAnsi="Times New Roman" w:eastAsia="宋体" w:cs="Times New Roman"/>
          <w:sz w:val="21"/>
          <w:szCs w:val="21"/>
          <w:shd w:val="clear" w:color="auto" w:fill="FFFFFF"/>
        </w:rPr>
        <w:t>类似话语体现</w:t>
      </w:r>
      <w:r>
        <w:rPr>
          <w:rFonts w:ascii="Times New Roman" w:hAnsi="Times New Roman" w:eastAsia="宋体" w:cs="Times New Roman"/>
          <w:sz w:val="21"/>
          <w:szCs w:val="21"/>
          <w:shd w:val="clear" w:color="auto" w:fill="FFFFFF"/>
        </w:rPr>
        <w:t>西方价值观中对艺术本体与内在驱动的尊崇</w:t>
      </w:r>
      <w:r>
        <w:rPr>
          <w:rFonts w:hint="eastAsia" w:ascii="Times New Roman" w:hAnsi="Times New Roman" w:eastAsia="宋体" w:cs="Times New Roman"/>
          <w:sz w:val="21"/>
          <w:szCs w:val="21"/>
          <w:shd w:val="clear" w:color="auto" w:fill="FFFFFF"/>
        </w:rPr>
        <w:t>；</w:t>
      </w:r>
      <w:r>
        <w:rPr>
          <w:rFonts w:ascii="Times New Roman" w:hAnsi="Times New Roman" w:eastAsia="宋体" w:cs="Times New Roman"/>
          <w:sz w:val="21"/>
          <w:szCs w:val="21"/>
          <w:shd w:val="clear" w:color="auto" w:fill="FFFFFF"/>
        </w:rPr>
        <w:t>华罗庚的演讲则更偏向“My perseverance came from the desire to serve my country”等反映中国集体意识的表达</w:t>
      </w:r>
      <w:r>
        <w:rPr>
          <w:rFonts w:hint="eastAsia" w:ascii="Times New Roman" w:hAnsi="Times New Roman" w:eastAsia="宋体" w:cs="Times New Roman"/>
          <w:sz w:val="21"/>
          <w:szCs w:val="21"/>
          <w:shd w:val="clear" w:color="auto" w:fill="FFFFFF"/>
        </w:rPr>
        <w:t>。</w:t>
      </w:r>
    </w:p>
    <w:p w14:paraId="3CEB1774">
      <w:pPr>
        <w:spacing w:after="0" w:line="240" w:lineRule="auto"/>
        <w:ind w:firstLine="420" w:firstLineChars="200"/>
        <w:rPr>
          <w:rFonts w:hint="eastAsia" w:ascii="宋体" w:hAnsi="宋体" w:eastAsia="宋体" w:cs="Times New Roman"/>
          <w:sz w:val="21"/>
          <w:szCs w:val="21"/>
          <w:shd w:val="clear" w:color="auto" w:fill="FFFFFF"/>
        </w:rPr>
      </w:pPr>
      <w:r>
        <w:rPr>
          <w:rFonts w:ascii="Times New Roman" w:hAnsi="Times New Roman" w:eastAsia="宋体" w:cs="Times New Roman"/>
          <w:sz w:val="21"/>
          <w:szCs w:val="21"/>
          <w:shd w:val="clear" w:color="auto" w:fill="FFFFFF"/>
        </w:rPr>
        <w:t>整个教学过程呈现出清晰的递进轨迹：“文本分析——文化对比——创造性输出”。学生在语言实践中不仅掌握了“late developer”，“self-taught”等词汇表达，还建立起跨文化理解的认知框架。通过该阅读课，学生可以领悟到：西方文化将早期失败视为个性成长的必经阶段，中国文化则将其看作厚积薄发的准备期</w:t>
      </w:r>
      <w:r>
        <w:rPr>
          <w:rFonts w:ascii="宋体" w:hAnsi="宋体" w:eastAsia="宋体" w:cs="Times New Roman"/>
          <w:sz w:val="21"/>
          <w:szCs w:val="21"/>
          <w:shd w:val="clear" w:color="auto" w:fill="FFFFFF"/>
        </w:rPr>
        <w:t>——这种认知差异恰恰构成了人类文明的多样性。</w:t>
      </w:r>
    </w:p>
    <w:p w14:paraId="21EF9555">
      <w:pPr>
        <w:pStyle w:val="41"/>
        <w:numPr>
          <w:ilvl w:val="0"/>
          <w:numId w:val="2"/>
        </w:numPr>
        <w:spacing w:after="0" w:line="360" w:lineRule="auto"/>
        <w:rPr>
          <w:rFonts w:hint="eastAsia" w:ascii="黑体" w:hAnsi="黑体" w:eastAsia="黑体" w:cs="Segoe UI"/>
          <w:b/>
          <w:bCs/>
          <w:szCs w:val="22"/>
          <w:shd w:val="clear" w:color="auto" w:fill="FFFFFF"/>
        </w:rPr>
      </w:pPr>
      <w:r>
        <w:rPr>
          <w:rFonts w:hint="eastAsia" w:ascii="黑体" w:hAnsi="黑体" w:eastAsia="黑体" w:cs="Segoe UI"/>
          <w:b/>
          <w:bCs/>
          <w:szCs w:val="22"/>
          <w:shd w:val="clear" w:color="auto" w:fill="FFFFFF"/>
        </w:rPr>
        <w:t>育人成效的评价反馈机制</w:t>
      </w:r>
    </w:p>
    <w:p w14:paraId="6FA14D5A">
      <w:pPr>
        <w:spacing w:after="0" w:line="240" w:lineRule="auto"/>
        <w:ind w:firstLine="420" w:firstLineChars="200"/>
        <w:rPr>
          <w:rFonts w:hint="eastAsia" w:ascii="宋体" w:hAnsi="宋体" w:eastAsia="宋体" w:cs="Times New Roman"/>
          <w:sz w:val="21"/>
          <w:szCs w:val="21"/>
          <w:shd w:val="clear" w:color="auto" w:fill="FFFFFF"/>
        </w:rPr>
      </w:pPr>
      <w:r>
        <w:rPr>
          <w:rFonts w:hint="eastAsia" w:ascii="宋体" w:hAnsi="宋体" w:eastAsia="宋体" w:cs="Times New Roman"/>
          <w:sz w:val="21"/>
          <w:szCs w:val="21"/>
          <w:shd w:val="clear" w:color="auto" w:fill="FFFFFF"/>
        </w:rPr>
        <w:t>在单元教学的框架下，评价反馈不再是对单课时知识的碎片化检测，而是对单元整体育人目标达成度的系统性追踪。《</w:t>
      </w:r>
      <w:r>
        <w:rPr>
          <w:rFonts w:hint="eastAsia" w:ascii="宋体" w:hAnsi="宋体" w:eastAsia="宋体" w:cs="Times New Roman"/>
          <w:kern w:val="0"/>
          <w:sz w:val="21"/>
          <w:szCs w:val="21"/>
          <w:lang w:val="en-US" w:eastAsia="zh-CN"/>
          <w14:ligatures w14:val="none"/>
        </w:rPr>
        <w:t>课程标准</w:t>
      </w:r>
      <w:r>
        <w:rPr>
          <w:rFonts w:hint="eastAsia" w:ascii="宋体" w:hAnsi="宋体" w:eastAsia="宋体" w:cs="Times New Roman"/>
          <w:sz w:val="21"/>
          <w:szCs w:val="21"/>
          <w:shd w:val="clear" w:color="auto" w:fill="FFFFFF"/>
        </w:rPr>
        <w:t>》指出，评价“形成性评价为主、终结性评价为辅的原则”（教育部，2025，第52页）。在该单元教学实践中，以形成性评价为教学理念与导向，构建“过程性——表现性——反思性”三维评价体系，确保学生在“感知理解——分析比较——迁移创造”的学习过程中，其价值观与核心素养的发展可诊断、可改进。</w:t>
      </w:r>
    </w:p>
    <w:p w14:paraId="1A21621F">
      <w:pPr>
        <w:spacing w:after="0" w:line="240" w:lineRule="auto"/>
        <w:ind w:firstLine="422" w:firstLineChars="200"/>
        <w:rPr>
          <w:rFonts w:hint="eastAsia" w:ascii="黑体" w:hAnsi="黑体" w:eastAsia="黑体" w:cs="Segoe UI"/>
          <w:b/>
          <w:bCs/>
          <w:sz w:val="21"/>
          <w:szCs w:val="21"/>
          <w:shd w:val="clear" w:color="auto" w:fill="FFFFFF"/>
        </w:rPr>
      </w:pPr>
      <w:r>
        <w:rPr>
          <w:rFonts w:hint="eastAsia" w:ascii="黑体" w:hAnsi="黑体" w:eastAsia="黑体" w:cs="Segoe UI"/>
          <w:b/>
          <w:bCs/>
          <w:sz w:val="21"/>
          <w:szCs w:val="21"/>
          <w:shd w:val="clear" w:color="auto" w:fill="FFFFFF"/>
        </w:rPr>
        <w:t>1.过程性评价：嵌入教学全环节的动态监测</w:t>
      </w:r>
    </w:p>
    <w:p w14:paraId="4A249932">
      <w:pPr>
        <w:spacing w:after="0" w:line="240" w:lineRule="auto"/>
        <w:ind w:firstLine="420" w:firstLineChars="200"/>
        <w:rPr>
          <w:rFonts w:hint="eastAsia" w:ascii="宋体" w:hAnsi="宋体" w:eastAsia="宋体" w:cs="Times New Roman"/>
          <w:sz w:val="21"/>
          <w:szCs w:val="21"/>
          <w:shd w:val="clear" w:color="auto" w:fill="FFFFFF"/>
        </w:rPr>
      </w:pPr>
      <w:r>
        <w:rPr>
          <w:rFonts w:hint="eastAsia" w:ascii="宋体" w:hAnsi="宋体" w:eastAsia="宋体" w:cs="Segoe UI"/>
          <w:sz w:val="21"/>
          <w:szCs w:val="21"/>
          <w:shd w:val="clear" w:color="auto" w:fill="FFFFFF"/>
        </w:rPr>
        <w:t>过程性评价聚焦学生学习过程中的价值观内化与语言能力发展，如，可以通过问题链驱动的即时反馈策略实现动态调控。</w:t>
      </w:r>
      <w:r>
        <w:rPr>
          <w:rFonts w:ascii="宋体" w:hAnsi="宋体" w:eastAsia="宋体" w:cs="Times New Roman"/>
          <w:sz w:val="21"/>
          <w:szCs w:val="21"/>
          <w:shd w:val="clear" w:color="auto" w:fill="FFFFFF"/>
        </w:rPr>
        <w:t>在《老人与海》的</w:t>
      </w:r>
      <w:r>
        <w:rPr>
          <w:rFonts w:hint="eastAsia" w:ascii="宋体" w:hAnsi="宋体" w:eastAsia="宋体" w:cs="Times New Roman"/>
          <w:sz w:val="21"/>
          <w:szCs w:val="21"/>
          <w:shd w:val="clear" w:color="auto" w:fill="FFFFFF"/>
        </w:rPr>
        <w:t>“</w:t>
      </w:r>
      <w:r>
        <w:rPr>
          <w:rFonts w:ascii="宋体" w:hAnsi="宋体" w:eastAsia="宋体" w:cs="Times New Roman"/>
          <w:sz w:val="21"/>
          <w:szCs w:val="21"/>
          <w:shd w:val="clear" w:color="auto" w:fill="FFFFFF"/>
        </w:rPr>
        <w:t>坚韧精神</w:t>
      </w:r>
      <w:r>
        <w:rPr>
          <w:rFonts w:hint="eastAsia" w:ascii="宋体" w:hAnsi="宋体" w:eastAsia="宋体" w:cs="Times New Roman"/>
          <w:sz w:val="21"/>
          <w:szCs w:val="21"/>
          <w:shd w:val="clear" w:color="auto" w:fill="FFFFFF"/>
        </w:rPr>
        <w:t>”</w:t>
      </w:r>
      <w:r>
        <w:rPr>
          <w:rFonts w:ascii="宋体" w:hAnsi="宋体" w:eastAsia="宋体" w:cs="Times New Roman"/>
          <w:sz w:val="21"/>
          <w:szCs w:val="21"/>
          <w:shd w:val="clear" w:color="auto" w:fill="FFFFFF"/>
        </w:rPr>
        <w:t>探究中，教师通过分层问题链实时监测学生的思维发展</w:t>
      </w:r>
      <w:r>
        <w:rPr>
          <w:rFonts w:hint="eastAsia" w:ascii="宋体" w:hAnsi="宋体" w:eastAsia="宋体" w:cs="Times New Roman"/>
          <w:sz w:val="21"/>
          <w:szCs w:val="21"/>
          <w:shd w:val="clear" w:color="auto" w:fill="FFFFFF"/>
          <w:lang w:eastAsia="zh-CN"/>
        </w:rPr>
        <w:t>，</w:t>
      </w:r>
      <w:r>
        <w:rPr>
          <w:rFonts w:hint="eastAsia" w:ascii="宋体" w:hAnsi="宋体" w:eastAsia="宋体" w:cs="Times New Roman"/>
          <w:sz w:val="21"/>
          <w:szCs w:val="21"/>
          <w:shd w:val="clear" w:color="auto" w:fill="FFFFFF"/>
          <w:lang w:val="en-US" w:eastAsia="zh-CN"/>
        </w:rPr>
        <w:t>实现及时反馈。</w:t>
      </w:r>
      <w:r>
        <w:rPr>
          <w:rFonts w:ascii="宋体" w:hAnsi="宋体" w:eastAsia="宋体" w:cs="Times New Roman"/>
          <w:sz w:val="21"/>
          <w:szCs w:val="21"/>
          <w:shd w:val="clear" w:color="auto" w:fill="FFFFFF"/>
        </w:rPr>
        <w:t>当学生回答问</w:t>
      </w:r>
      <w:r>
        <w:rPr>
          <w:rFonts w:ascii="Times New Roman" w:hAnsi="Times New Roman" w:eastAsia="宋体" w:cs="Times New Roman"/>
          <w:sz w:val="21"/>
          <w:szCs w:val="21"/>
          <w:shd w:val="clear" w:color="auto" w:fill="FFFFFF"/>
        </w:rPr>
        <w:t>题2（见图</w:t>
      </w:r>
      <w:r>
        <w:rPr>
          <w:rFonts w:hint="eastAsia" w:ascii="Times New Roman" w:hAnsi="Times New Roman" w:eastAsia="宋体" w:cs="Times New Roman"/>
          <w:sz w:val="21"/>
          <w:szCs w:val="21"/>
          <w:shd w:val="clear" w:color="auto" w:fill="FFFFFF"/>
          <w:lang w:val="en-US" w:eastAsia="zh-CN"/>
        </w:rPr>
        <w:t>2</w:t>
      </w:r>
      <w:r>
        <w:rPr>
          <w:rFonts w:ascii="Times New Roman" w:hAnsi="Times New Roman" w:eastAsia="宋体" w:cs="Times New Roman"/>
          <w:sz w:val="21"/>
          <w:szCs w:val="21"/>
          <w:shd w:val="clear" w:color="auto" w:fill="FFFFFF"/>
        </w:rPr>
        <w:t>）时，若仅停留在字面解释（如“Because he didn’t give up”），教师可通过追问“How does this reflect the cultural value of perseverance?”引导学生关联中国文化中自强不息的精神内核，加强其思维深度，实现对学生思考的及时反馈。</w:t>
      </w:r>
      <w:r>
        <w:rPr>
          <w:rFonts w:hint="eastAsia" w:ascii="Times New Roman" w:hAnsi="Times New Roman" w:eastAsia="宋体" w:cs="Times New Roman"/>
          <w:sz w:val="21"/>
          <w:szCs w:val="21"/>
          <w:shd w:val="clear" w:color="auto" w:fill="FFFFFF"/>
        </w:rPr>
        <w:t>过程性评价贯穿单元教学的始终，但在不同阶段各有侧重。在第一阶段“感知与理解”中，它侧重于监测学生对“坚韧”等核心品质的初步理解；在第二阶段“分析与比较”中，它关注学生在文化对比过程中思维深度的即时发展；在第三阶段“迁移与创造”中，它则聚焦于学生在项目任务推进中语言与价值的协同建构。通过这种全程嵌入的动态监测，过程性评价为单元整体育人目标的达成提供了持续性的诊断与调控支持。</w:t>
      </w:r>
    </w:p>
    <w:p w14:paraId="7915ED73">
      <w:pPr>
        <w:spacing w:after="0" w:line="240" w:lineRule="auto"/>
        <w:ind w:firstLine="422" w:firstLineChars="200"/>
        <w:rPr>
          <w:rFonts w:hint="eastAsia" w:ascii="黑体" w:hAnsi="黑体" w:eastAsia="黑体" w:cs="Segoe UI"/>
          <w:b/>
          <w:bCs/>
          <w:sz w:val="21"/>
          <w:szCs w:val="21"/>
          <w:shd w:val="clear" w:color="auto" w:fill="FFFFFF"/>
        </w:rPr>
      </w:pPr>
      <w:r>
        <w:rPr>
          <w:rFonts w:hint="eastAsia" w:ascii="黑体" w:hAnsi="黑体" w:eastAsia="黑体" w:cs="Segoe UI"/>
          <w:b/>
          <w:bCs/>
          <w:sz w:val="21"/>
          <w:szCs w:val="21"/>
          <w:shd w:val="clear" w:color="auto" w:fill="FFFFFF"/>
        </w:rPr>
        <w:t>2.表现性评价：基于真实情境的能力验证</w:t>
      </w:r>
    </w:p>
    <w:p w14:paraId="536FB1E5">
      <w:pPr>
        <w:spacing w:after="0" w:line="240" w:lineRule="auto"/>
        <w:ind w:firstLine="420" w:firstLineChars="200"/>
        <w:rPr>
          <w:rFonts w:hint="eastAsia" w:ascii="宋体" w:hAnsi="宋体" w:eastAsia="宋体" w:cs="Times New Roman"/>
          <w:sz w:val="21"/>
          <w:szCs w:val="21"/>
          <w:shd w:val="clear" w:color="auto" w:fill="FFFFFF"/>
        </w:rPr>
      </w:pPr>
      <w:r>
        <w:rPr>
          <w:rFonts w:ascii="宋体" w:hAnsi="宋体" w:eastAsia="宋体" w:cs="Times New Roman"/>
          <w:sz w:val="21"/>
          <w:szCs w:val="21"/>
          <w:shd w:val="clear" w:color="auto" w:fill="FFFFFF"/>
        </w:rPr>
        <w:t>表现性评价通过互动型任务检验学生综合素养，重点考察价值观与语言能力的协同发展。以“A False Start”文化差异教学为例，学生需以爱因斯坦、梵高或华罗庚的口吻撰写演讲稿并展示。教师可从内容、语言、演讲表现三方面设计自查表（checklist），具体评价标准如下：内容维度</w:t>
      </w:r>
      <w:r>
        <w:rPr>
          <w:rFonts w:hint="eastAsia" w:ascii="宋体" w:hAnsi="宋体" w:eastAsia="宋体" w:cs="Times New Roman"/>
          <w:sz w:val="21"/>
          <w:szCs w:val="21"/>
          <w:shd w:val="clear" w:color="auto" w:fill="FFFFFF"/>
        </w:rPr>
        <w:t>要求学生</w:t>
      </w:r>
      <w:r>
        <w:rPr>
          <w:rFonts w:ascii="宋体" w:hAnsi="宋体" w:eastAsia="宋体" w:cs="Times New Roman"/>
          <w:sz w:val="21"/>
          <w:szCs w:val="21"/>
          <w:shd w:val="clear" w:color="auto" w:fill="FFFFFF"/>
        </w:rPr>
        <w:t>准确描述名人的成长经历</w:t>
      </w:r>
      <w:r>
        <w:rPr>
          <w:rFonts w:hint="eastAsia" w:ascii="宋体" w:hAnsi="宋体" w:eastAsia="宋体" w:cs="Times New Roman"/>
          <w:sz w:val="21"/>
          <w:szCs w:val="21"/>
          <w:shd w:val="clear" w:color="auto" w:fill="FFFFFF"/>
        </w:rPr>
        <w:t>且提炼该名人的品质</w:t>
      </w:r>
      <w:r>
        <w:rPr>
          <w:rFonts w:ascii="宋体" w:hAnsi="宋体" w:eastAsia="宋体" w:cs="Times New Roman"/>
          <w:sz w:val="21"/>
          <w:szCs w:val="21"/>
          <w:shd w:val="clear" w:color="auto" w:fill="FFFFFF"/>
        </w:rPr>
        <w:t>；语言维度关注</w:t>
      </w:r>
      <w:r>
        <w:rPr>
          <w:rFonts w:hint="eastAsia" w:ascii="宋体" w:hAnsi="宋体" w:eastAsia="宋体" w:cs="Times New Roman"/>
          <w:sz w:val="21"/>
          <w:szCs w:val="21"/>
          <w:shd w:val="clear" w:color="auto" w:fill="FFFFFF"/>
        </w:rPr>
        <w:t>语言的流畅度和</w:t>
      </w:r>
      <w:r>
        <w:rPr>
          <w:rFonts w:ascii="宋体" w:hAnsi="宋体" w:eastAsia="宋体" w:cs="Times New Roman"/>
          <w:sz w:val="21"/>
          <w:szCs w:val="21"/>
          <w:shd w:val="clear" w:color="auto" w:fill="FFFFFF"/>
        </w:rPr>
        <w:t>表达的准确性；演讲表现维度考察语音语调</w:t>
      </w:r>
      <w:r>
        <w:rPr>
          <w:rFonts w:hint="eastAsia" w:ascii="宋体" w:hAnsi="宋体" w:eastAsia="宋体" w:cs="Times New Roman"/>
          <w:sz w:val="21"/>
          <w:szCs w:val="21"/>
          <w:shd w:val="clear" w:color="auto" w:fill="FFFFFF"/>
        </w:rPr>
        <w:t>和感染力</w:t>
      </w:r>
      <w:r>
        <w:rPr>
          <w:rFonts w:ascii="宋体" w:hAnsi="宋体" w:eastAsia="宋体" w:cs="Times New Roman"/>
          <w:sz w:val="21"/>
          <w:szCs w:val="21"/>
          <w:shd w:val="clear" w:color="auto" w:fill="FFFFFF"/>
        </w:rPr>
        <w:t>。自查表的使用有助于学生明确活动目标、监控学习过程、反思自我表现。据此</w:t>
      </w:r>
      <w:r>
        <w:rPr>
          <w:rFonts w:hint="eastAsia" w:ascii="宋体" w:hAnsi="宋体" w:eastAsia="宋体" w:cs="Times New Roman"/>
          <w:sz w:val="21"/>
          <w:szCs w:val="21"/>
          <w:shd w:val="clear" w:color="auto" w:fill="FFFFFF"/>
        </w:rPr>
        <w:t>，</w:t>
      </w:r>
      <w:r>
        <w:rPr>
          <w:rFonts w:ascii="宋体" w:hAnsi="宋体" w:eastAsia="宋体" w:cs="Times New Roman"/>
          <w:sz w:val="21"/>
          <w:szCs w:val="21"/>
          <w:shd w:val="clear" w:color="auto" w:fill="FFFFFF"/>
        </w:rPr>
        <w:t>设置表3所示的自查表。</w:t>
      </w:r>
    </w:p>
    <w:p w14:paraId="066ADB02">
      <w:pPr>
        <w:spacing w:after="0" w:line="240" w:lineRule="auto"/>
        <w:jc w:val="center"/>
        <w:rPr>
          <w:rFonts w:hint="eastAsia" w:ascii="黑体" w:hAnsi="黑体" w:eastAsia="黑体" w:cs="Segoe UI"/>
          <w:sz w:val="18"/>
          <w:szCs w:val="18"/>
          <w:shd w:val="clear" w:color="auto" w:fill="FFFFFF"/>
        </w:rPr>
      </w:pPr>
      <w:r>
        <w:rPr>
          <w:rFonts w:hint="eastAsia" w:ascii="黑体" w:hAnsi="黑体" w:eastAsia="黑体" w:cs="Segoe UI"/>
          <w:sz w:val="18"/>
          <w:szCs w:val="18"/>
          <w:shd w:val="clear" w:color="auto" w:fill="FFFFFF"/>
        </w:rPr>
        <w:t>表3</w:t>
      </w:r>
      <w:r>
        <w:rPr>
          <w:rFonts w:hint="eastAsia" w:ascii="宋体" w:hAnsi="宋体" w:eastAsia="宋体" w:cs="Times New Roman"/>
          <w:sz w:val="21"/>
          <w:szCs w:val="21"/>
          <w:shd w:val="clear" w:color="auto" w:fill="FFFFFF"/>
        </w:rPr>
        <w:t xml:space="preserve"> </w:t>
      </w:r>
      <w:r>
        <w:rPr>
          <w:rFonts w:hint="eastAsia" w:ascii="黑体" w:hAnsi="黑体" w:eastAsia="黑体" w:cs="Segoe UI"/>
          <w:sz w:val="18"/>
          <w:szCs w:val="18"/>
          <w:shd w:val="clear" w:color="auto" w:fill="FFFFFF"/>
        </w:rPr>
        <w:t>学生演讲活动自查表</w:t>
      </w:r>
    </w:p>
    <w:tbl>
      <w:tblPr>
        <w:tblStyle w:val="22"/>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0"/>
        <w:gridCol w:w="4596"/>
        <w:gridCol w:w="1190"/>
        <w:gridCol w:w="1190"/>
      </w:tblGrid>
      <w:tr w14:paraId="78BDF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Align w:val="center"/>
          </w:tcPr>
          <w:p w14:paraId="2DFB3FBB">
            <w:pPr>
              <w:spacing w:after="0" w:line="240" w:lineRule="auto"/>
              <w:jc w:val="center"/>
              <w:rPr>
                <w:rFonts w:hint="eastAsia" w:ascii="宋体" w:hAnsi="宋体" w:eastAsia="宋体" w:cs="Times New Roman"/>
                <w:kern w:val="0"/>
                <w:sz w:val="18"/>
                <w:szCs w:val="18"/>
                <w:shd w:val="clear" w:color="auto" w:fill="FFFFFF"/>
                <w14:ligatures w14:val="none"/>
              </w:rPr>
            </w:pPr>
            <w:bookmarkStart w:id="14" w:name="OLE_LINK2"/>
            <w:r>
              <w:rPr>
                <w:rFonts w:hint="eastAsia" w:ascii="宋体" w:hAnsi="宋体" w:eastAsia="宋体" w:cs="Arial"/>
                <w:b/>
                <w:bCs/>
                <w:color w:val="404040"/>
                <w:kern w:val="24"/>
                <w:sz w:val="18"/>
                <w:szCs w:val="18"/>
                <w14:ligatures w14:val="none"/>
              </w:rPr>
              <w:t>维度</w:t>
            </w:r>
          </w:p>
        </w:tc>
        <w:tc>
          <w:tcPr>
            <w:tcW w:w="4596" w:type="dxa"/>
            <w:vAlign w:val="center"/>
          </w:tcPr>
          <w:p w14:paraId="1AC8AC5F">
            <w:pPr>
              <w:spacing w:after="0" w:line="240" w:lineRule="auto"/>
              <w:jc w:val="center"/>
              <w:rPr>
                <w:rFonts w:hint="eastAsia" w:ascii="宋体" w:hAnsi="宋体" w:eastAsia="宋体" w:cs="Times New Roman"/>
                <w:b/>
                <w:bCs/>
                <w:kern w:val="0"/>
                <w:sz w:val="18"/>
                <w:szCs w:val="18"/>
                <w:shd w:val="clear" w:color="auto" w:fill="FFFFFF"/>
                <w14:ligatures w14:val="none"/>
              </w:rPr>
            </w:pPr>
            <w:r>
              <w:rPr>
                <w:rFonts w:hint="eastAsia" w:ascii="宋体" w:hAnsi="宋体" w:eastAsia="宋体" w:cs="Times New Roman"/>
                <w:b/>
                <w:bCs/>
                <w:kern w:val="0"/>
                <w:sz w:val="18"/>
                <w:szCs w:val="18"/>
                <w:shd w:val="clear" w:color="auto" w:fill="FFFFFF"/>
                <w14:ligatures w14:val="none"/>
              </w:rPr>
              <w:t>自查内容</w:t>
            </w:r>
          </w:p>
        </w:tc>
        <w:tc>
          <w:tcPr>
            <w:tcW w:w="1190" w:type="dxa"/>
            <w:vAlign w:val="center"/>
          </w:tcPr>
          <w:p w14:paraId="1F897E46">
            <w:pPr>
              <w:spacing w:after="0" w:line="240" w:lineRule="auto"/>
              <w:jc w:val="center"/>
              <w:rPr>
                <w:rFonts w:hint="eastAsia" w:ascii="宋体" w:hAnsi="宋体" w:eastAsia="宋体" w:cs="Times New Roman"/>
                <w:b/>
                <w:bCs/>
                <w:kern w:val="0"/>
                <w:sz w:val="18"/>
                <w:szCs w:val="18"/>
                <w:shd w:val="clear" w:color="auto" w:fill="FFFFFF"/>
                <w14:ligatures w14:val="none"/>
              </w:rPr>
            </w:pPr>
            <w:r>
              <w:rPr>
                <w:rFonts w:hint="eastAsia" w:ascii="宋体" w:hAnsi="宋体" w:eastAsia="宋体" w:cs="Times New Roman"/>
                <w:b/>
                <w:bCs/>
                <w:kern w:val="0"/>
                <w:sz w:val="18"/>
                <w:szCs w:val="18"/>
                <w:shd w:val="clear" w:color="auto" w:fill="FFFFFF"/>
                <w14:ligatures w14:val="none"/>
              </w:rPr>
              <w:t>做到</w:t>
            </w:r>
          </w:p>
        </w:tc>
        <w:tc>
          <w:tcPr>
            <w:tcW w:w="1190" w:type="dxa"/>
          </w:tcPr>
          <w:p w14:paraId="3414A82F">
            <w:pPr>
              <w:spacing w:after="0" w:line="240" w:lineRule="auto"/>
              <w:jc w:val="center"/>
              <w:rPr>
                <w:rFonts w:hint="eastAsia" w:ascii="宋体" w:hAnsi="宋体" w:eastAsia="宋体" w:cs="Times New Roman"/>
                <w:b/>
                <w:bCs/>
                <w:kern w:val="0"/>
                <w:sz w:val="18"/>
                <w:szCs w:val="18"/>
                <w:shd w:val="clear" w:color="auto" w:fill="FFFFFF"/>
                <w14:ligatures w14:val="none"/>
              </w:rPr>
            </w:pPr>
            <w:r>
              <w:rPr>
                <w:rFonts w:hint="eastAsia" w:ascii="宋体" w:hAnsi="宋体" w:eastAsia="宋体" w:cs="Times New Roman"/>
                <w:b/>
                <w:bCs/>
                <w:kern w:val="0"/>
                <w:sz w:val="18"/>
                <w:szCs w:val="18"/>
                <w:shd w:val="clear" w:color="auto" w:fill="FFFFFF"/>
                <w14:ligatures w14:val="none"/>
              </w:rPr>
              <w:t>未做到</w:t>
            </w:r>
          </w:p>
        </w:tc>
      </w:tr>
      <w:tr w14:paraId="71809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restart"/>
            <w:shd w:val="clear" w:color="auto" w:fill="D9E2F3" w:themeFill="accent1" w:themeFillTint="33"/>
            <w:vAlign w:val="center"/>
          </w:tcPr>
          <w:p w14:paraId="527D7117">
            <w:pPr>
              <w:spacing w:after="0" w:line="240" w:lineRule="auto"/>
              <w:jc w:val="center"/>
              <w:rPr>
                <w:rFonts w:hint="eastAsia" w:ascii="宋体" w:hAnsi="宋体" w:eastAsia="宋体" w:cs="Times New Roman"/>
                <w:kern w:val="0"/>
                <w:sz w:val="18"/>
                <w:szCs w:val="18"/>
                <w:shd w:val="clear" w:color="auto" w:fill="FFFFFF"/>
                <w14:ligatures w14:val="none"/>
              </w:rPr>
            </w:pPr>
            <w:r>
              <w:rPr>
                <w:rFonts w:hint="eastAsia" w:ascii="宋体" w:hAnsi="宋体" w:eastAsia="宋体" w:cs="Arial"/>
                <w:color w:val="000000" w:themeColor="text1"/>
                <w:kern w:val="24"/>
                <w:sz w:val="18"/>
                <w:szCs w:val="18"/>
                <w14:textFill>
                  <w14:solidFill>
                    <w14:schemeClr w14:val="tx1"/>
                  </w14:solidFill>
                </w14:textFill>
                <w14:ligatures w14:val="none"/>
              </w:rPr>
              <w:t>内容</w:t>
            </w:r>
          </w:p>
        </w:tc>
        <w:tc>
          <w:tcPr>
            <w:tcW w:w="4596" w:type="dxa"/>
            <w:shd w:val="clear" w:color="auto" w:fill="D9E2F3" w:themeFill="accent1" w:themeFillTint="33"/>
            <w:vAlign w:val="center"/>
          </w:tcPr>
          <w:p w14:paraId="31686928">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r>
              <w:rPr>
                <w:rFonts w:ascii="宋体" w:hAnsi="宋体" w:eastAsia="宋体" w:cs="Arial"/>
                <w:color w:val="000000" w:themeColor="text1"/>
                <w:kern w:val="24"/>
                <w:sz w:val="18"/>
                <w:szCs w:val="18"/>
                <w14:textFill>
                  <w14:solidFill>
                    <w14:schemeClr w14:val="tx1"/>
                  </w14:solidFill>
                </w14:textFill>
                <w14:ligatures w14:val="none"/>
              </w:rPr>
              <w:t>我提到了</w:t>
            </w:r>
            <w:r>
              <w:rPr>
                <w:rFonts w:hint="eastAsia" w:ascii="宋体" w:hAnsi="宋体" w:eastAsia="宋体" w:cs="Arial"/>
                <w:color w:val="000000" w:themeColor="text1"/>
                <w:kern w:val="24"/>
                <w:sz w:val="18"/>
                <w:szCs w:val="18"/>
                <w14:textFill>
                  <w14:solidFill>
                    <w14:schemeClr w14:val="tx1"/>
                  </w14:solidFill>
                </w14:textFill>
                <w14:ligatures w14:val="none"/>
              </w:rPr>
              <w:t>他的</w:t>
            </w:r>
            <w:r>
              <w:rPr>
                <w:rFonts w:ascii="宋体" w:hAnsi="宋体" w:eastAsia="宋体" w:cs="Arial"/>
                <w:color w:val="000000" w:themeColor="text1"/>
                <w:kern w:val="24"/>
                <w:sz w:val="18"/>
                <w:szCs w:val="18"/>
                <w14:textFill>
                  <w14:solidFill>
                    <w14:schemeClr w14:val="tx1"/>
                  </w14:solidFill>
                </w14:textFill>
                <w14:ligatures w14:val="none"/>
              </w:rPr>
              <w:t>人生经历</w:t>
            </w:r>
            <w:r>
              <w:rPr>
                <w:rFonts w:hint="eastAsia" w:ascii="宋体" w:hAnsi="宋体" w:eastAsia="宋体" w:cs="Arial"/>
                <w:color w:val="000000" w:themeColor="text1"/>
                <w:kern w:val="24"/>
                <w:sz w:val="18"/>
                <w:szCs w:val="18"/>
                <w14:textFill>
                  <w14:solidFill>
                    <w14:schemeClr w14:val="tx1"/>
                  </w14:solidFill>
                </w14:textFill>
                <w14:ligatures w14:val="none"/>
              </w:rPr>
              <w:t>并补充了细节。</w:t>
            </w:r>
          </w:p>
        </w:tc>
        <w:tc>
          <w:tcPr>
            <w:tcW w:w="1190" w:type="dxa"/>
            <w:shd w:val="clear" w:color="auto" w:fill="D9E2F3" w:themeFill="accent1" w:themeFillTint="33"/>
            <w:vAlign w:val="center"/>
          </w:tcPr>
          <w:p w14:paraId="0D96E94B">
            <w:pPr>
              <w:spacing w:after="0" w:line="240" w:lineRule="auto"/>
              <w:rPr>
                <w:rFonts w:hint="eastAsia" w:ascii="宋体" w:hAnsi="宋体" w:eastAsia="宋体" w:cs="Times New Roman"/>
                <w:kern w:val="0"/>
                <w:sz w:val="18"/>
                <w:szCs w:val="18"/>
                <w:shd w:val="clear" w:color="auto" w:fill="FFFFFF"/>
                <w14:ligatures w14:val="none"/>
              </w:rPr>
            </w:pPr>
          </w:p>
        </w:tc>
        <w:tc>
          <w:tcPr>
            <w:tcW w:w="1190" w:type="dxa"/>
            <w:shd w:val="clear" w:color="auto" w:fill="D9E2F3" w:themeFill="accent1" w:themeFillTint="33"/>
          </w:tcPr>
          <w:p w14:paraId="5FEF30C9">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p>
        </w:tc>
      </w:tr>
      <w:tr w14:paraId="1BA38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shd w:val="clear" w:color="auto" w:fill="D9E2F3" w:themeFill="accent1" w:themeFillTint="33"/>
            <w:vAlign w:val="center"/>
          </w:tcPr>
          <w:p w14:paraId="657B7030">
            <w:pPr>
              <w:spacing w:after="0" w:line="240" w:lineRule="auto"/>
              <w:jc w:val="center"/>
              <w:rPr>
                <w:rFonts w:hint="eastAsia" w:ascii="宋体" w:hAnsi="宋体" w:eastAsia="宋体" w:cs="Times New Roman"/>
                <w:kern w:val="0"/>
                <w:sz w:val="18"/>
                <w:szCs w:val="18"/>
                <w:shd w:val="clear" w:color="auto" w:fill="FFFFFF"/>
                <w14:ligatures w14:val="none"/>
              </w:rPr>
            </w:pPr>
          </w:p>
        </w:tc>
        <w:tc>
          <w:tcPr>
            <w:tcW w:w="4596" w:type="dxa"/>
            <w:shd w:val="clear" w:color="auto" w:fill="D9E2F3" w:themeFill="accent1" w:themeFillTint="33"/>
            <w:vAlign w:val="center"/>
          </w:tcPr>
          <w:p w14:paraId="4B8BCB50">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r>
              <w:rPr>
                <w:rFonts w:ascii="宋体" w:hAnsi="宋体" w:eastAsia="宋体" w:cs="Arial"/>
                <w:color w:val="000000" w:themeColor="text1"/>
                <w:kern w:val="24"/>
                <w:sz w:val="18"/>
                <w:szCs w:val="18"/>
                <w14:textFill>
                  <w14:solidFill>
                    <w14:schemeClr w14:val="tx1"/>
                  </w14:solidFill>
                </w14:textFill>
                <w14:ligatures w14:val="none"/>
              </w:rPr>
              <w:t>我表达了</w:t>
            </w:r>
            <w:r>
              <w:rPr>
                <w:rFonts w:hint="eastAsia" w:ascii="宋体" w:hAnsi="宋体" w:eastAsia="宋体" w:cs="Arial"/>
                <w:color w:val="000000" w:themeColor="text1"/>
                <w:kern w:val="24"/>
                <w:sz w:val="18"/>
                <w:szCs w:val="18"/>
                <w14:textFill>
                  <w14:solidFill>
                    <w14:schemeClr w14:val="tx1"/>
                  </w14:solidFill>
                </w14:textFill>
                <w14:ligatures w14:val="none"/>
              </w:rPr>
              <w:t>他</w:t>
            </w:r>
            <w:r>
              <w:rPr>
                <w:rFonts w:ascii="宋体" w:hAnsi="宋体" w:eastAsia="宋体" w:cs="Arial"/>
                <w:color w:val="000000" w:themeColor="text1"/>
                <w:kern w:val="24"/>
                <w:sz w:val="18"/>
                <w:szCs w:val="18"/>
                <w14:textFill>
                  <w14:solidFill>
                    <w14:schemeClr w14:val="tx1"/>
                  </w14:solidFill>
                </w14:textFill>
                <w14:ligatures w14:val="none"/>
              </w:rPr>
              <w:t>身上体现的</w:t>
            </w:r>
            <w:r>
              <w:rPr>
                <w:rFonts w:hint="eastAsia" w:ascii="宋体" w:hAnsi="宋体" w:eastAsia="宋体" w:cs="Arial"/>
                <w:color w:val="000000" w:themeColor="text1"/>
                <w:kern w:val="24"/>
                <w:sz w:val="18"/>
                <w:szCs w:val="18"/>
                <w14:textFill>
                  <w14:solidFill>
                    <w14:schemeClr w14:val="tx1"/>
                  </w14:solidFill>
                </w14:textFill>
                <w14:ligatures w14:val="none"/>
              </w:rPr>
              <w:t>优良品质。</w:t>
            </w:r>
          </w:p>
        </w:tc>
        <w:tc>
          <w:tcPr>
            <w:tcW w:w="1190" w:type="dxa"/>
            <w:shd w:val="clear" w:color="auto" w:fill="D9E2F3" w:themeFill="accent1" w:themeFillTint="33"/>
            <w:vAlign w:val="center"/>
          </w:tcPr>
          <w:p w14:paraId="4D0388CA">
            <w:pPr>
              <w:spacing w:after="0" w:line="240" w:lineRule="auto"/>
              <w:rPr>
                <w:rFonts w:hint="eastAsia" w:ascii="宋体" w:hAnsi="宋体" w:eastAsia="宋体" w:cs="Times New Roman"/>
                <w:kern w:val="0"/>
                <w:sz w:val="18"/>
                <w:szCs w:val="18"/>
                <w:shd w:val="clear" w:color="auto" w:fill="FFFFFF"/>
                <w14:ligatures w14:val="none"/>
              </w:rPr>
            </w:pPr>
          </w:p>
        </w:tc>
        <w:tc>
          <w:tcPr>
            <w:tcW w:w="1190" w:type="dxa"/>
            <w:shd w:val="clear" w:color="auto" w:fill="D9E2F3" w:themeFill="accent1" w:themeFillTint="33"/>
          </w:tcPr>
          <w:p w14:paraId="13FECFC9">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p>
        </w:tc>
      </w:tr>
      <w:tr w14:paraId="5B12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restart"/>
            <w:vAlign w:val="center"/>
          </w:tcPr>
          <w:p w14:paraId="4495CDA1">
            <w:pPr>
              <w:spacing w:after="0" w:line="240" w:lineRule="auto"/>
              <w:jc w:val="center"/>
              <w:rPr>
                <w:rFonts w:hint="eastAsia" w:ascii="宋体" w:hAnsi="宋体" w:eastAsia="宋体" w:cs="Times New Roman"/>
                <w:kern w:val="0"/>
                <w:sz w:val="18"/>
                <w:szCs w:val="18"/>
                <w:shd w:val="clear" w:color="auto" w:fill="FFFFFF"/>
                <w14:ligatures w14:val="none"/>
              </w:rPr>
            </w:pPr>
            <w:r>
              <w:rPr>
                <w:rFonts w:hint="eastAsia" w:ascii="宋体" w:hAnsi="宋体" w:eastAsia="宋体" w:cs="Arial"/>
                <w:color w:val="000000" w:themeColor="text1"/>
                <w:kern w:val="24"/>
                <w:sz w:val="18"/>
                <w:szCs w:val="18"/>
                <w14:textFill>
                  <w14:solidFill>
                    <w14:schemeClr w14:val="tx1"/>
                  </w14:solidFill>
                </w14:textFill>
                <w14:ligatures w14:val="none"/>
              </w:rPr>
              <w:t>语言</w:t>
            </w:r>
          </w:p>
        </w:tc>
        <w:tc>
          <w:tcPr>
            <w:tcW w:w="4596" w:type="dxa"/>
            <w:vAlign w:val="center"/>
          </w:tcPr>
          <w:p w14:paraId="41FE67CA">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r>
              <w:rPr>
                <w:rFonts w:hint="eastAsia" w:ascii="宋体" w:hAnsi="宋体" w:eastAsia="宋体" w:cs="Arial"/>
                <w:color w:val="000000" w:themeColor="text1"/>
                <w:kern w:val="24"/>
                <w:sz w:val="18"/>
                <w:szCs w:val="18"/>
                <w14:textFill>
                  <w14:solidFill>
                    <w14:schemeClr w14:val="tx1"/>
                  </w14:solidFill>
                </w14:textFill>
                <w14:ligatures w14:val="none"/>
              </w:rPr>
              <w:t>我的演讲句子完整，</w:t>
            </w:r>
            <w:r>
              <w:rPr>
                <w:rFonts w:ascii="宋体" w:hAnsi="宋体" w:eastAsia="宋体" w:cs="Arial"/>
                <w:color w:val="000000" w:themeColor="text1"/>
                <w:kern w:val="24"/>
                <w:sz w:val="18"/>
                <w:szCs w:val="18"/>
                <w14:textFill>
                  <w14:solidFill>
                    <w14:schemeClr w14:val="tx1"/>
                  </w14:solidFill>
                </w14:textFill>
                <w14:ligatures w14:val="none"/>
              </w:rPr>
              <w:t>没有明显的语法错误</w:t>
            </w:r>
            <w:r>
              <w:rPr>
                <w:rFonts w:hint="eastAsia" w:ascii="宋体" w:hAnsi="宋体" w:eastAsia="宋体" w:cs="Arial"/>
                <w:color w:val="000000" w:themeColor="text1"/>
                <w:kern w:val="24"/>
                <w:sz w:val="18"/>
                <w:szCs w:val="18"/>
                <w14:textFill>
                  <w14:solidFill>
                    <w14:schemeClr w14:val="tx1"/>
                  </w14:solidFill>
                </w14:textFill>
                <w14:ligatures w14:val="none"/>
              </w:rPr>
              <w:t>。</w:t>
            </w:r>
          </w:p>
        </w:tc>
        <w:tc>
          <w:tcPr>
            <w:tcW w:w="1190" w:type="dxa"/>
            <w:vAlign w:val="center"/>
          </w:tcPr>
          <w:p w14:paraId="57E0831A">
            <w:pPr>
              <w:spacing w:after="0" w:line="240" w:lineRule="auto"/>
              <w:rPr>
                <w:rFonts w:hint="eastAsia" w:ascii="宋体" w:hAnsi="宋体" w:eastAsia="宋体" w:cs="Times New Roman"/>
                <w:kern w:val="0"/>
                <w:sz w:val="18"/>
                <w:szCs w:val="18"/>
                <w:shd w:val="clear" w:color="auto" w:fill="FFFFFF"/>
                <w14:ligatures w14:val="none"/>
              </w:rPr>
            </w:pPr>
          </w:p>
        </w:tc>
        <w:tc>
          <w:tcPr>
            <w:tcW w:w="1190" w:type="dxa"/>
          </w:tcPr>
          <w:p w14:paraId="1A868ABD">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p>
        </w:tc>
      </w:tr>
      <w:tr w14:paraId="2F45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vMerge w:val="continue"/>
            <w:vAlign w:val="center"/>
          </w:tcPr>
          <w:p w14:paraId="03090B3B">
            <w:pPr>
              <w:spacing w:after="0" w:line="240" w:lineRule="auto"/>
              <w:jc w:val="center"/>
              <w:rPr>
                <w:rFonts w:hint="eastAsia" w:ascii="宋体" w:hAnsi="宋体" w:eastAsia="宋体" w:cs="Arial"/>
                <w:color w:val="000000" w:themeColor="text1"/>
                <w:kern w:val="24"/>
                <w:sz w:val="18"/>
                <w:szCs w:val="18"/>
                <w14:textFill>
                  <w14:solidFill>
                    <w14:schemeClr w14:val="tx1"/>
                  </w14:solidFill>
                </w14:textFill>
                <w14:ligatures w14:val="none"/>
              </w:rPr>
            </w:pPr>
          </w:p>
        </w:tc>
        <w:tc>
          <w:tcPr>
            <w:tcW w:w="4596" w:type="dxa"/>
            <w:vAlign w:val="center"/>
          </w:tcPr>
          <w:p w14:paraId="0D009B72">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r>
              <w:rPr>
                <w:rFonts w:hint="eastAsia" w:ascii="宋体" w:hAnsi="宋体" w:eastAsia="宋体" w:cs="Arial"/>
                <w:color w:val="000000" w:themeColor="text1"/>
                <w:kern w:val="24"/>
                <w:sz w:val="18"/>
                <w:szCs w:val="18"/>
                <w14:textFill>
                  <w14:solidFill>
                    <w14:schemeClr w14:val="tx1"/>
                  </w14:solidFill>
                </w14:textFill>
                <w14:ligatures w14:val="none"/>
              </w:rPr>
              <w:t>我表达流利，用词准确。</w:t>
            </w:r>
          </w:p>
        </w:tc>
        <w:tc>
          <w:tcPr>
            <w:tcW w:w="1190" w:type="dxa"/>
            <w:vAlign w:val="center"/>
          </w:tcPr>
          <w:p w14:paraId="6B58230E">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p>
        </w:tc>
        <w:tc>
          <w:tcPr>
            <w:tcW w:w="1190" w:type="dxa"/>
          </w:tcPr>
          <w:p w14:paraId="2F61415E">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p>
        </w:tc>
      </w:tr>
      <w:tr w14:paraId="5B5CA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dxa"/>
            <w:shd w:val="clear" w:color="auto" w:fill="D9E2F3" w:themeFill="accent1" w:themeFillTint="33"/>
            <w:vAlign w:val="center"/>
          </w:tcPr>
          <w:p w14:paraId="212C6109">
            <w:pPr>
              <w:spacing w:after="0" w:line="240" w:lineRule="auto"/>
              <w:jc w:val="center"/>
              <w:rPr>
                <w:rFonts w:hint="eastAsia" w:ascii="宋体" w:hAnsi="宋体" w:eastAsia="宋体" w:cs="Arial"/>
                <w:color w:val="000000" w:themeColor="text1"/>
                <w:kern w:val="24"/>
                <w:sz w:val="18"/>
                <w:szCs w:val="18"/>
                <w14:textFill>
                  <w14:solidFill>
                    <w14:schemeClr w14:val="tx1"/>
                  </w14:solidFill>
                </w14:textFill>
                <w14:ligatures w14:val="none"/>
              </w:rPr>
            </w:pPr>
            <w:r>
              <w:rPr>
                <w:rFonts w:hint="eastAsia" w:ascii="宋体" w:hAnsi="宋体" w:eastAsia="宋体" w:cs="Arial"/>
                <w:color w:val="000000" w:themeColor="text1"/>
                <w:kern w:val="24"/>
                <w:sz w:val="18"/>
                <w:szCs w:val="18"/>
                <w14:textFill>
                  <w14:solidFill>
                    <w14:schemeClr w14:val="tx1"/>
                  </w14:solidFill>
                </w14:textFill>
                <w14:ligatures w14:val="none"/>
              </w:rPr>
              <w:t>演讲表现</w:t>
            </w:r>
          </w:p>
        </w:tc>
        <w:tc>
          <w:tcPr>
            <w:tcW w:w="4596" w:type="dxa"/>
            <w:shd w:val="clear" w:color="auto" w:fill="D9E2F3" w:themeFill="accent1" w:themeFillTint="33"/>
            <w:vAlign w:val="center"/>
          </w:tcPr>
          <w:p w14:paraId="3E935C41">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r>
              <w:rPr>
                <w:rFonts w:hint="eastAsia" w:ascii="宋体" w:hAnsi="宋体" w:eastAsia="宋体" w:cs="Arial"/>
                <w:color w:val="000000" w:themeColor="text1"/>
                <w:kern w:val="24"/>
                <w:sz w:val="18"/>
                <w:szCs w:val="18"/>
                <w14:textFill>
                  <w14:solidFill>
                    <w14:schemeClr w14:val="tx1"/>
                  </w14:solidFill>
                </w14:textFill>
                <w14:ligatures w14:val="none"/>
              </w:rPr>
              <w:t>我声音响亮，</w:t>
            </w:r>
            <w:r>
              <w:rPr>
                <w:rFonts w:ascii="宋体" w:hAnsi="宋体" w:eastAsia="宋体" w:cs="Arial"/>
                <w:color w:val="000000" w:themeColor="text1"/>
                <w:kern w:val="24"/>
                <w:sz w:val="18"/>
                <w:szCs w:val="18"/>
                <w14:textFill>
                  <w14:solidFill>
                    <w14:schemeClr w14:val="tx1"/>
                  </w14:solidFill>
                </w14:textFill>
                <w14:ligatures w14:val="none"/>
              </w:rPr>
              <w:t>有停顿和语调变化</w:t>
            </w:r>
            <w:r>
              <w:rPr>
                <w:rFonts w:hint="eastAsia" w:ascii="宋体" w:hAnsi="宋体" w:eastAsia="宋体" w:cs="Arial"/>
                <w:color w:val="000000" w:themeColor="text1"/>
                <w:kern w:val="24"/>
                <w:sz w:val="18"/>
                <w:szCs w:val="18"/>
                <w14:textFill>
                  <w14:solidFill>
                    <w14:schemeClr w14:val="tx1"/>
                  </w14:solidFill>
                </w14:textFill>
                <w14:ligatures w14:val="none"/>
              </w:rPr>
              <w:t>。</w:t>
            </w:r>
          </w:p>
        </w:tc>
        <w:tc>
          <w:tcPr>
            <w:tcW w:w="1190" w:type="dxa"/>
            <w:shd w:val="clear" w:color="auto" w:fill="D9E2F3" w:themeFill="accent1" w:themeFillTint="33"/>
            <w:vAlign w:val="center"/>
          </w:tcPr>
          <w:p w14:paraId="3646F61E">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p>
        </w:tc>
        <w:tc>
          <w:tcPr>
            <w:tcW w:w="1190" w:type="dxa"/>
            <w:shd w:val="clear" w:color="auto" w:fill="D9E2F3" w:themeFill="accent1" w:themeFillTint="33"/>
          </w:tcPr>
          <w:p w14:paraId="720B2060">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p>
        </w:tc>
      </w:tr>
      <w:bookmarkEnd w:id="14"/>
    </w:tbl>
    <w:p w14:paraId="3FFE3F97">
      <w:pPr>
        <w:spacing w:after="0" w:line="240" w:lineRule="auto"/>
        <w:rPr>
          <w:rFonts w:hint="eastAsia" w:ascii="宋体" w:hAnsi="宋体" w:eastAsia="宋体" w:cs="Times New Roman"/>
          <w:sz w:val="21"/>
          <w:szCs w:val="21"/>
          <w:shd w:val="clear" w:color="auto" w:fill="FFFFFF"/>
        </w:rPr>
      </w:pPr>
    </w:p>
    <w:p w14:paraId="2EDC0C40">
      <w:pPr>
        <w:spacing w:after="0" w:line="240" w:lineRule="auto"/>
        <w:ind w:firstLine="420" w:firstLineChars="200"/>
        <w:rPr>
          <w:rFonts w:hint="eastAsia" w:ascii="宋体" w:hAnsi="宋体" w:eastAsia="宋体" w:cs="Times New Roman"/>
          <w:sz w:val="21"/>
          <w:szCs w:val="21"/>
          <w:shd w:val="clear" w:color="auto" w:fill="FFFFFF"/>
        </w:rPr>
      </w:pPr>
      <w:bookmarkStart w:id="15" w:name="OLE_LINK21"/>
      <w:r>
        <w:rPr>
          <w:rFonts w:ascii="宋体" w:hAnsi="宋体" w:eastAsia="宋体" w:cs="Times New Roman"/>
          <w:sz w:val="21"/>
          <w:szCs w:val="21"/>
          <w:shd w:val="clear" w:color="auto" w:fill="FFFFFF"/>
        </w:rPr>
        <w:t>在实际操作方面，可采用“双</w:t>
      </w:r>
      <w:r>
        <w:rPr>
          <w:rFonts w:hint="eastAsia" w:ascii="宋体" w:hAnsi="宋体" w:eastAsia="宋体" w:cs="Times New Roman"/>
          <w:sz w:val="21"/>
          <w:szCs w:val="21"/>
          <w:shd w:val="clear" w:color="auto" w:fill="FFFFFF"/>
        </w:rPr>
        <w:t>轨</w:t>
      </w:r>
      <w:r>
        <w:rPr>
          <w:rFonts w:ascii="宋体" w:hAnsi="宋体" w:eastAsia="宋体" w:cs="Times New Roman"/>
          <w:sz w:val="21"/>
          <w:szCs w:val="21"/>
          <w:shd w:val="clear" w:color="auto" w:fill="FFFFFF"/>
        </w:rPr>
        <w:t>”评价模式</w:t>
      </w:r>
      <w:r>
        <w:rPr>
          <w:rFonts w:hint="eastAsia" w:ascii="宋体" w:hAnsi="宋体" w:eastAsia="宋体" w:cs="Times New Roman"/>
          <w:sz w:val="21"/>
          <w:szCs w:val="21"/>
          <w:shd w:val="clear" w:color="auto" w:fill="FFFFFF"/>
        </w:rPr>
        <w:t>，即</w:t>
      </w:r>
      <w:r>
        <w:rPr>
          <w:rFonts w:ascii="宋体" w:hAnsi="宋体" w:eastAsia="宋体" w:cs="Times New Roman"/>
          <w:sz w:val="21"/>
          <w:szCs w:val="21"/>
          <w:shd w:val="clear" w:color="auto" w:fill="FFFFFF"/>
        </w:rPr>
        <w:t>同伴</w:t>
      </w:r>
      <w:r>
        <w:rPr>
          <w:rFonts w:hint="eastAsia" w:ascii="宋体" w:hAnsi="宋体" w:eastAsia="宋体" w:cs="Times New Roman"/>
          <w:sz w:val="21"/>
          <w:szCs w:val="21"/>
          <w:shd w:val="clear" w:color="auto" w:fill="FFFFFF"/>
        </w:rPr>
        <w:t>评分</w:t>
      </w:r>
      <w:r>
        <w:rPr>
          <w:rFonts w:ascii="宋体" w:hAnsi="宋体" w:eastAsia="宋体" w:cs="Times New Roman"/>
          <w:sz w:val="21"/>
          <w:szCs w:val="21"/>
          <w:shd w:val="clear" w:color="auto" w:fill="FFFFFF"/>
        </w:rPr>
        <w:t>与教师</w:t>
      </w:r>
      <w:r>
        <w:rPr>
          <w:rFonts w:hint="eastAsia" w:ascii="宋体" w:hAnsi="宋体" w:eastAsia="宋体" w:cs="Times New Roman"/>
          <w:sz w:val="21"/>
          <w:szCs w:val="21"/>
          <w:shd w:val="clear" w:color="auto" w:fill="FFFFFF"/>
        </w:rPr>
        <w:t>评分</w:t>
      </w:r>
      <w:r>
        <w:rPr>
          <w:rFonts w:ascii="宋体" w:hAnsi="宋体" w:eastAsia="宋体" w:cs="Times New Roman"/>
          <w:sz w:val="21"/>
          <w:szCs w:val="21"/>
          <w:shd w:val="clear" w:color="auto" w:fill="FFFFFF"/>
        </w:rPr>
        <w:t>相结合。如演讲结束后，首先邀请不同组的学生对其表现进行打分，并根据评价标准给出打分依据和修改意见。如关注</w:t>
      </w:r>
      <w:r>
        <w:rPr>
          <w:rFonts w:hint="eastAsia" w:ascii="宋体" w:hAnsi="宋体" w:eastAsia="宋体" w:cs="Times New Roman"/>
          <w:sz w:val="21"/>
          <w:szCs w:val="21"/>
          <w:shd w:val="clear" w:color="auto" w:fill="FFFFFF"/>
        </w:rPr>
        <w:t>演讲表现</w:t>
      </w:r>
      <w:r>
        <w:rPr>
          <w:rFonts w:ascii="宋体" w:hAnsi="宋体" w:eastAsia="宋体" w:cs="Times New Roman"/>
          <w:sz w:val="21"/>
          <w:szCs w:val="21"/>
          <w:shd w:val="clear" w:color="auto" w:fill="FFFFFF"/>
        </w:rPr>
        <w:t>可能会评价道：“你的</w:t>
      </w:r>
      <w:r>
        <w:rPr>
          <w:rFonts w:hint="eastAsia" w:ascii="宋体" w:hAnsi="宋体" w:eastAsia="宋体" w:cs="Times New Roman"/>
          <w:sz w:val="21"/>
          <w:szCs w:val="21"/>
          <w:shd w:val="clear" w:color="auto" w:fill="FFFFFF"/>
        </w:rPr>
        <w:t>语调很自然，但是</w:t>
      </w:r>
      <w:r>
        <w:rPr>
          <w:rFonts w:ascii="宋体" w:hAnsi="宋体" w:eastAsia="宋体" w:cs="Times New Roman"/>
          <w:sz w:val="21"/>
          <w:szCs w:val="21"/>
          <w:shd w:val="clear" w:color="auto" w:fill="FFFFFF"/>
        </w:rPr>
        <w:t>肢体语言</w:t>
      </w:r>
      <w:r>
        <w:rPr>
          <w:rFonts w:hint="eastAsia" w:ascii="宋体" w:hAnsi="宋体" w:eastAsia="宋体" w:cs="Times New Roman"/>
          <w:sz w:val="21"/>
          <w:szCs w:val="21"/>
          <w:shd w:val="clear" w:color="auto" w:fill="FFFFFF"/>
        </w:rPr>
        <w:t>有些僵硬</w:t>
      </w:r>
      <w:r>
        <w:rPr>
          <w:rFonts w:ascii="宋体" w:hAnsi="宋体" w:eastAsia="宋体" w:cs="Times New Roman"/>
          <w:sz w:val="21"/>
          <w:szCs w:val="21"/>
          <w:shd w:val="clear" w:color="auto" w:fill="FFFFFF"/>
        </w:rPr>
        <w:t>”。这种互动不仅培养了学生的批判思维，更</w:t>
      </w:r>
      <w:r>
        <w:rPr>
          <w:rFonts w:hint="eastAsia" w:ascii="宋体" w:hAnsi="宋体" w:eastAsia="宋体" w:cs="Times New Roman"/>
          <w:sz w:val="21"/>
          <w:szCs w:val="21"/>
          <w:shd w:val="clear" w:color="auto" w:fill="FFFFFF"/>
        </w:rPr>
        <w:t>有利于培养学生</w:t>
      </w:r>
      <w:r>
        <w:rPr>
          <w:rFonts w:hint="eastAsia" w:ascii="宋体" w:hAnsi="宋体" w:eastAsia="宋体" w:cs="Times New Roman"/>
          <w:sz w:val="21"/>
          <w:szCs w:val="21"/>
          <w:shd w:val="clear" w:color="auto" w:fill="FFFFFF"/>
          <w:lang w:eastAsia="zh-CN"/>
        </w:rPr>
        <w:t>的</w:t>
      </w:r>
      <w:r>
        <w:rPr>
          <w:rFonts w:hint="eastAsia" w:ascii="宋体" w:hAnsi="宋体" w:eastAsia="宋体" w:cs="Times New Roman"/>
          <w:sz w:val="21"/>
          <w:szCs w:val="21"/>
          <w:shd w:val="clear" w:color="auto" w:fill="FFFFFF"/>
        </w:rPr>
        <w:t>合作精神</w:t>
      </w:r>
      <w:r>
        <w:rPr>
          <w:rFonts w:ascii="宋体" w:hAnsi="宋体" w:eastAsia="宋体" w:cs="Times New Roman"/>
          <w:sz w:val="21"/>
          <w:szCs w:val="21"/>
          <w:shd w:val="clear" w:color="auto" w:fill="FFFFFF"/>
        </w:rPr>
        <w:t>。接着，教师再进行二次评价，如学生虽然准确运用</w:t>
      </w:r>
      <w:r>
        <w:rPr>
          <w:rFonts w:ascii="Times New Roman" w:hAnsi="Times New Roman" w:eastAsia="宋体" w:cs="Times New Roman"/>
          <w:sz w:val="21"/>
          <w:szCs w:val="21"/>
          <w:shd w:val="clear" w:color="auto" w:fill="FFFFFF"/>
        </w:rPr>
        <w:t>了“perseverance”等单元重</w:t>
      </w:r>
      <w:r>
        <w:rPr>
          <w:rFonts w:ascii="宋体" w:hAnsi="宋体" w:eastAsia="宋体" w:cs="Times New Roman"/>
          <w:sz w:val="21"/>
          <w:szCs w:val="21"/>
          <w:shd w:val="clear" w:color="auto" w:fill="FFFFFF"/>
        </w:rPr>
        <w:t>点词汇，但在</w:t>
      </w:r>
      <w:r>
        <w:rPr>
          <w:rFonts w:hint="eastAsia" w:ascii="宋体" w:hAnsi="宋体" w:eastAsia="宋体" w:cs="Times New Roman"/>
          <w:sz w:val="21"/>
          <w:szCs w:val="21"/>
          <w:shd w:val="clear" w:color="auto" w:fill="FFFFFF"/>
        </w:rPr>
        <w:t>表达逻辑</w:t>
      </w:r>
      <w:r>
        <w:rPr>
          <w:rFonts w:ascii="宋体" w:hAnsi="宋体" w:eastAsia="宋体" w:cs="Times New Roman"/>
          <w:sz w:val="21"/>
          <w:szCs w:val="21"/>
          <w:shd w:val="clear" w:color="auto" w:fill="FFFFFF"/>
        </w:rPr>
        <w:t>方面存在问题，并附上具体建议</w:t>
      </w:r>
      <w:r>
        <w:rPr>
          <w:rFonts w:hint="eastAsia" w:ascii="宋体" w:hAnsi="宋体" w:eastAsia="宋体" w:cs="Times New Roman"/>
          <w:sz w:val="21"/>
          <w:szCs w:val="21"/>
          <w:shd w:val="clear" w:color="auto" w:fill="FFFFFF"/>
        </w:rPr>
        <w:t>。这</w:t>
      </w:r>
      <w:r>
        <w:rPr>
          <w:rFonts w:ascii="宋体" w:hAnsi="宋体" w:eastAsia="宋体" w:cs="Times New Roman"/>
          <w:sz w:val="21"/>
          <w:szCs w:val="21"/>
          <w:shd w:val="clear" w:color="auto" w:fill="FFFFFF"/>
        </w:rPr>
        <w:t>种即时专业的反馈为学生指明改进方向。在该环节，教师评价确保教学目标的达成，同伴互评则增强学习共同体的互动，二者相辅相成。</w:t>
      </w:r>
      <w:r>
        <w:rPr>
          <w:rFonts w:hint="eastAsia" w:ascii="宋体" w:hAnsi="宋体" w:eastAsia="宋体" w:cs="Times New Roman"/>
          <w:sz w:val="21"/>
          <w:szCs w:val="21"/>
          <w:shd w:val="clear" w:color="auto" w:fill="FFFFFF"/>
        </w:rPr>
        <w:t>表现性评价集中于单元教学的输出环节，但它的设计本身是对前两个阶段学习成果的综合检验。以名人演讲任务为例，它要求学生将第一阶段习得的“坚韧”品质理解与第二阶段建构的跨文化分析框架进行整合性运用，在真实情境中展现语言能力与价值认同的协同发展。</w:t>
      </w:r>
    </w:p>
    <w:bookmarkEnd w:id="15"/>
    <w:p w14:paraId="4ACECFC9">
      <w:pPr>
        <w:spacing w:after="0" w:line="240" w:lineRule="auto"/>
        <w:ind w:firstLine="422" w:firstLineChars="200"/>
        <w:rPr>
          <w:rFonts w:hint="eastAsia" w:ascii="黑体" w:hAnsi="黑体" w:eastAsia="黑体" w:cs="Segoe UI"/>
          <w:b/>
          <w:bCs/>
          <w:sz w:val="21"/>
          <w:szCs w:val="21"/>
          <w:shd w:val="clear" w:color="auto" w:fill="FFFFFF"/>
        </w:rPr>
      </w:pPr>
      <w:r>
        <w:rPr>
          <w:rFonts w:hint="eastAsia" w:ascii="黑体" w:hAnsi="黑体" w:eastAsia="黑体" w:cs="Segoe UI"/>
          <w:b/>
          <w:bCs/>
          <w:sz w:val="21"/>
          <w:szCs w:val="21"/>
          <w:shd w:val="clear" w:color="auto" w:fill="FFFFFF"/>
        </w:rPr>
        <w:t>3.反思性评价：促进学生元认知发展与自我调控</w:t>
      </w:r>
    </w:p>
    <w:p w14:paraId="7B06385E">
      <w:pPr>
        <w:spacing w:after="0" w:line="240" w:lineRule="auto"/>
        <w:ind w:firstLine="420" w:firstLineChars="200"/>
        <w:rPr>
          <w:rFonts w:hint="eastAsia" w:ascii="宋体" w:hAnsi="宋体" w:eastAsia="宋体" w:cs="Segoe UI"/>
          <w:sz w:val="21"/>
          <w:szCs w:val="21"/>
          <w:shd w:val="clear" w:color="auto" w:fill="FFFFFF"/>
        </w:rPr>
      </w:pPr>
      <w:r>
        <w:rPr>
          <w:rFonts w:hint="eastAsia" w:ascii="宋体" w:hAnsi="宋体" w:eastAsia="宋体" w:cs="Segoe UI"/>
          <w:sz w:val="21"/>
          <w:szCs w:val="21"/>
          <w:shd w:val="clear" w:color="auto" w:fill="FFFFFF"/>
        </w:rPr>
        <w:t>反思性评价旨在培养学生自主评估与改进的能力，在该单元，笔者采用单元学习档案袋进行反思性评价。在单元推进过程中，学生通过档案袋持续积累学习证据，记录各阶段的思考轨迹与成长收获。反思性评价贯穿单元学习的全过程，但在单元结束时集中发力，具体要求为：学生需整理单元学习成果，并完成自评量表（见表4）。单元自评量表设计借鉴王蔷教授团队构建的“英语学科能力表现指标体系”，将评价维度确立为学习理解、应用实践、迁移创新三个渐进层次（王蔷、胡亚琳，2017）。该框架已在评价领域得到大规模实证检验，并解构出包含感知注意、描述阐释、批判评价等九个可观测的二级指标，为设计操作性评价标准提供了理论基础。这种贯穿全程、终期整合的反思性评价，不仅培养了学生的元认知能力，更帮助学生在整体回顾中实现单元育人目标的深度内化与自我建构。</w:t>
      </w:r>
    </w:p>
    <w:p w14:paraId="719C9B6C">
      <w:pPr>
        <w:spacing w:after="0" w:line="240" w:lineRule="auto"/>
        <w:ind w:left="360" w:hanging="360" w:hangingChars="200"/>
        <w:jc w:val="center"/>
        <w:rPr>
          <w:rFonts w:hint="eastAsia" w:ascii="黑体" w:hAnsi="黑体" w:eastAsia="黑体" w:cs="Segoe UI"/>
          <w:sz w:val="18"/>
          <w:szCs w:val="18"/>
          <w:shd w:val="clear" w:color="auto" w:fill="FFFFFF"/>
        </w:rPr>
      </w:pPr>
      <w:r>
        <w:rPr>
          <w:rFonts w:hint="eastAsia" w:ascii="黑体" w:hAnsi="黑体" w:eastAsia="黑体" w:cs="Segoe UI"/>
          <w:sz w:val="18"/>
          <w:szCs w:val="18"/>
          <w:shd w:val="clear" w:color="auto" w:fill="FFFFFF"/>
        </w:rPr>
        <w:t>表4 单元学习自评表</w:t>
      </w:r>
    </w:p>
    <w:p w14:paraId="26CE7677">
      <w:pPr>
        <w:spacing w:after="0" w:line="240" w:lineRule="auto"/>
        <w:rPr>
          <w:rFonts w:hint="eastAsia" w:ascii="宋体" w:hAnsi="宋体" w:eastAsia="宋体" w:cs="Segoe UI"/>
          <w:sz w:val="21"/>
          <w:szCs w:val="21"/>
          <w:shd w:val="clear" w:color="auto" w:fill="FFFFFF"/>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5"/>
        <w:gridCol w:w="5400"/>
        <w:gridCol w:w="810"/>
        <w:gridCol w:w="878"/>
      </w:tblGrid>
      <w:tr w14:paraId="7AE98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165" w:type="dxa"/>
          </w:tcPr>
          <w:p w14:paraId="351F58B8">
            <w:pPr>
              <w:spacing w:after="0" w:line="240" w:lineRule="auto"/>
              <w:jc w:val="center"/>
              <w:rPr>
                <w:rFonts w:hint="eastAsia" w:ascii="宋体" w:hAnsi="宋体" w:eastAsia="宋体" w:cs="Segoe UI"/>
                <w:b/>
                <w:bCs/>
                <w:sz w:val="21"/>
                <w:szCs w:val="21"/>
                <w:shd w:val="clear" w:color="auto" w:fill="FFFFFF"/>
              </w:rPr>
            </w:pPr>
            <w:r>
              <w:rPr>
                <w:rFonts w:ascii="宋体" w:hAnsi="宋体" w:eastAsia="宋体" w:cs="Segoe UI"/>
                <w:b/>
                <w:bCs/>
                <w:sz w:val="21"/>
                <w:szCs w:val="21"/>
                <w:shd w:val="clear" w:color="auto" w:fill="FFFFFF"/>
              </w:rPr>
              <w:t>维度</w:t>
            </w:r>
          </w:p>
        </w:tc>
        <w:tc>
          <w:tcPr>
            <w:tcW w:w="5400" w:type="dxa"/>
          </w:tcPr>
          <w:p w14:paraId="0E9B54CD">
            <w:pPr>
              <w:spacing w:after="0" w:line="240" w:lineRule="auto"/>
              <w:jc w:val="center"/>
              <w:rPr>
                <w:rFonts w:hint="eastAsia" w:ascii="宋体" w:hAnsi="宋体" w:eastAsia="宋体" w:cs="Segoe UI"/>
                <w:b/>
                <w:bCs/>
                <w:sz w:val="21"/>
                <w:szCs w:val="21"/>
                <w:shd w:val="clear" w:color="auto" w:fill="FFFFFF"/>
              </w:rPr>
            </w:pPr>
            <w:r>
              <w:rPr>
                <w:rFonts w:ascii="宋体" w:hAnsi="宋体" w:eastAsia="宋体" w:cs="Segoe UI"/>
                <w:b/>
                <w:bCs/>
                <w:sz w:val="21"/>
                <w:szCs w:val="21"/>
                <w:shd w:val="clear" w:color="auto" w:fill="FFFFFF"/>
              </w:rPr>
              <w:t>具体评价指标</w:t>
            </w:r>
          </w:p>
        </w:tc>
        <w:tc>
          <w:tcPr>
            <w:tcW w:w="810" w:type="dxa"/>
            <w:noWrap/>
          </w:tcPr>
          <w:p w14:paraId="7810FAA9">
            <w:pPr>
              <w:spacing w:after="0" w:line="240" w:lineRule="auto"/>
              <w:jc w:val="center"/>
              <w:rPr>
                <w:rFonts w:hint="eastAsia" w:ascii="宋体" w:hAnsi="宋体" w:eastAsia="宋体" w:cs="Segoe UI"/>
                <w:b/>
                <w:bCs/>
                <w:sz w:val="21"/>
                <w:szCs w:val="21"/>
                <w:shd w:val="clear" w:color="auto" w:fill="FFFFFF"/>
              </w:rPr>
            </w:pPr>
            <w:r>
              <w:rPr>
                <w:rFonts w:ascii="宋体" w:hAnsi="宋体" w:eastAsia="宋体" w:cs="Segoe UI"/>
                <w:b/>
                <w:bCs/>
                <w:sz w:val="21"/>
                <w:szCs w:val="21"/>
                <w:shd w:val="clear" w:color="auto" w:fill="FFFFFF"/>
              </w:rPr>
              <w:t>做到</w:t>
            </w:r>
          </w:p>
        </w:tc>
        <w:tc>
          <w:tcPr>
            <w:tcW w:w="878" w:type="dxa"/>
            <w:noWrap/>
          </w:tcPr>
          <w:p w14:paraId="3E6D1C75">
            <w:pPr>
              <w:spacing w:after="0" w:line="240" w:lineRule="auto"/>
              <w:jc w:val="center"/>
              <w:rPr>
                <w:rFonts w:hint="eastAsia" w:ascii="宋体" w:hAnsi="宋体" w:eastAsia="宋体" w:cs="Segoe UI"/>
                <w:b/>
                <w:bCs/>
                <w:sz w:val="21"/>
                <w:szCs w:val="21"/>
                <w:shd w:val="clear" w:color="auto" w:fill="FFFFFF"/>
              </w:rPr>
            </w:pPr>
            <w:r>
              <w:rPr>
                <w:rFonts w:ascii="宋体" w:hAnsi="宋体" w:eastAsia="宋体" w:cs="Segoe UI"/>
                <w:b/>
                <w:bCs/>
                <w:sz w:val="21"/>
                <w:szCs w:val="21"/>
                <w:shd w:val="clear" w:color="auto" w:fill="FFFFFF"/>
              </w:rPr>
              <w:t>未做到</w:t>
            </w:r>
          </w:p>
        </w:tc>
      </w:tr>
      <w:tr w14:paraId="764E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165" w:type="dxa"/>
            <w:vMerge w:val="restart"/>
            <w:vAlign w:val="center"/>
          </w:tcPr>
          <w:p w14:paraId="5EF10B3D">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r>
              <w:rPr>
                <w:rFonts w:ascii="宋体" w:hAnsi="宋体" w:eastAsia="宋体" w:cs="Arial"/>
                <w:color w:val="000000" w:themeColor="text1"/>
                <w:kern w:val="24"/>
                <w:sz w:val="18"/>
                <w:szCs w:val="18"/>
                <w14:textFill>
                  <w14:solidFill>
                    <w14:schemeClr w14:val="tx1"/>
                  </w14:solidFill>
                </w14:textFill>
                <w14:ligatures w14:val="none"/>
              </w:rPr>
              <w:t>学习理解</w:t>
            </w:r>
          </w:p>
          <w:p w14:paraId="6AE47036">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p>
        </w:tc>
        <w:tc>
          <w:tcPr>
            <w:tcW w:w="5400" w:type="dxa"/>
          </w:tcPr>
          <w:p w14:paraId="58B1B0BE">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r>
              <w:rPr>
                <w:rFonts w:ascii="宋体" w:hAnsi="宋体" w:eastAsia="宋体" w:cs="Arial"/>
                <w:color w:val="000000" w:themeColor="text1"/>
                <w:kern w:val="24"/>
                <w:sz w:val="18"/>
                <w:szCs w:val="18"/>
                <w14:textFill>
                  <w14:solidFill>
                    <w14:schemeClr w14:val="tx1"/>
                  </w14:solidFill>
                </w14:textFill>
                <w14:ligatures w14:val="none"/>
              </w:rPr>
              <w:t>我能从《老人与海》选段中找出描写“坚韧”品质的关键句子并准确理解信息</w:t>
            </w:r>
            <w:r>
              <w:rPr>
                <w:rFonts w:hint="eastAsia" w:ascii="宋体" w:hAnsi="宋体" w:eastAsia="宋体" w:cs="Arial"/>
                <w:color w:val="000000" w:themeColor="text1"/>
                <w:kern w:val="24"/>
                <w:sz w:val="18"/>
                <w:szCs w:val="18"/>
                <w14:textFill>
                  <w14:solidFill>
                    <w14:schemeClr w14:val="tx1"/>
                  </w14:solidFill>
                </w14:textFill>
                <w14:ligatures w14:val="none"/>
              </w:rPr>
              <w:t>。</w:t>
            </w:r>
          </w:p>
        </w:tc>
        <w:tc>
          <w:tcPr>
            <w:tcW w:w="810" w:type="dxa"/>
            <w:noWrap/>
          </w:tcPr>
          <w:p w14:paraId="33D63CDF">
            <w:pPr>
              <w:spacing w:after="0" w:line="240" w:lineRule="auto"/>
              <w:rPr>
                <w:rFonts w:hint="eastAsia" w:ascii="宋体" w:hAnsi="宋体" w:eastAsia="宋体" w:cs="Segoe UI"/>
                <w:sz w:val="21"/>
                <w:szCs w:val="21"/>
                <w:shd w:val="clear" w:color="auto" w:fill="FFFFFF"/>
              </w:rPr>
            </w:pPr>
          </w:p>
        </w:tc>
        <w:tc>
          <w:tcPr>
            <w:tcW w:w="878" w:type="dxa"/>
            <w:noWrap/>
          </w:tcPr>
          <w:p w14:paraId="3CE9F44E">
            <w:pPr>
              <w:spacing w:after="0" w:line="240" w:lineRule="auto"/>
              <w:rPr>
                <w:rFonts w:hint="eastAsia" w:ascii="宋体" w:hAnsi="宋体" w:eastAsia="宋体" w:cs="Segoe UI"/>
                <w:sz w:val="21"/>
                <w:szCs w:val="21"/>
                <w:shd w:val="clear" w:color="auto" w:fill="FFFFFF"/>
              </w:rPr>
            </w:pPr>
          </w:p>
        </w:tc>
      </w:tr>
      <w:tr w14:paraId="6954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165" w:type="dxa"/>
            <w:vMerge w:val="continue"/>
            <w:vAlign w:val="center"/>
          </w:tcPr>
          <w:p w14:paraId="35027996">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p>
        </w:tc>
        <w:tc>
          <w:tcPr>
            <w:tcW w:w="5400" w:type="dxa"/>
          </w:tcPr>
          <w:p w14:paraId="3AFF4C8E">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r>
              <w:rPr>
                <w:rFonts w:ascii="宋体" w:hAnsi="宋体" w:eastAsia="宋体" w:cs="Arial"/>
                <w:color w:val="000000" w:themeColor="text1"/>
                <w:kern w:val="24"/>
                <w:sz w:val="18"/>
                <w:szCs w:val="18"/>
                <w14:textFill>
                  <w14:solidFill>
                    <w14:schemeClr w14:val="tx1"/>
                  </w14:solidFill>
                </w14:textFill>
                <w14:ligatures w14:val="none"/>
              </w:rPr>
              <w:t>我能回忆并复述袁隆平、梵高、华罗庚等名人的关键成长经历</w:t>
            </w:r>
            <w:r>
              <w:rPr>
                <w:rFonts w:hint="eastAsia" w:ascii="宋体" w:hAnsi="宋体" w:eastAsia="宋体" w:cs="Arial"/>
                <w:color w:val="000000" w:themeColor="text1"/>
                <w:kern w:val="24"/>
                <w:sz w:val="18"/>
                <w:szCs w:val="18"/>
                <w14:textFill>
                  <w14:solidFill>
                    <w14:schemeClr w14:val="tx1"/>
                  </w14:solidFill>
                </w14:textFill>
                <w14:ligatures w14:val="none"/>
              </w:rPr>
              <w:t>。</w:t>
            </w:r>
          </w:p>
        </w:tc>
        <w:tc>
          <w:tcPr>
            <w:tcW w:w="810" w:type="dxa"/>
            <w:noWrap/>
          </w:tcPr>
          <w:p w14:paraId="6F28ADFD">
            <w:pPr>
              <w:spacing w:after="0" w:line="240" w:lineRule="auto"/>
              <w:rPr>
                <w:rFonts w:hint="eastAsia" w:ascii="宋体" w:hAnsi="宋体" w:eastAsia="宋体" w:cs="Segoe UI"/>
                <w:sz w:val="21"/>
                <w:szCs w:val="21"/>
                <w:shd w:val="clear" w:color="auto" w:fill="FFFFFF"/>
              </w:rPr>
            </w:pPr>
          </w:p>
        </w:tc>
        <w:tc>
          <w:tcPr>
            <w:tcW w:w="878" w:type="dxa"/>
            <w:noWrap/>
          </w:tcPr>
          <w:p w14:paraId="06A7AAEA">
            <w:pPr>
              <w:spacing w:after="0" w:line="240" w:lineRule="auto"/>
              <w:rPr>
                <w:rFonts w:hint="eastAsia" w:ascii="宋体" w:hAnsi="宋体" w:eastAsia="宋体" w:cs="Segoe UI"/>
                <w:sz w:val="21"/>
                <w:szCs w:val="21"/>
                <w:shd w:val="clear" w:color="auto" w:fill="FFFFFF"/>
              </w:rPr>
            </w:pPr>
          </w:p>
        </w:tc>
      </w:tr>
      <w:tr w14:paraId="3DE59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165" w:type="dxa"/>
            <w:vMerge w:val="continue"/>
            <w:vAlign w:val="center"/>
          </w:tcPr>
          <w:p w14:paraId="6B648CF5">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p>
        </w:tc>
        <w:tc>
          <w:tcPr>
            <w:tcW w:w="5400" w:type="dxa"/>
          </w:tcPr>
          <w:p w14:paraId="0B8081AD">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r>
              <w:rPr>
                <w:rFonts w:ascii="宋体" w:hAnsi="宋体" w:eastAsia="宋体" w:cs="Arial"/>
                <w:color w:val="000000" w:themeColor="text1"/>
                <w:kern w:val="24"/>
                <w:sz w:val="18"/>
                <w:szCs w:val="18"/>
                <w14:textFill>
                  <w14:solidFill>
                    <w14:schemeClr w14:val="tx1"/>
                  </w14:solidFill>
                </w14:textFill>
                <w14:ligatures w14:val="none"/>
              </w:rPr>
              <w:t>我能概括《A False Start》中中西方成功观的差异，并用关键词提取要点</w:t>
            </w:r>
            <w:r>
              <w:rPr>
                <w:rFonts w:hint="eastAsia" w:ascii="宋体" w:hAnsi="宋体" w:eastAsia="宋体" w:cs="Arial"/>
                <w:color w:val="000000" w:themeColor="text1"/>
                <w:kern w:val="24"/>
                <w:sz w:val="18"/>
                <w:szCs w:val="18"/>
                <w14:textFill>
                  <w14:solidFill>
                    <w14:schemeClr w14:val="tx1"/>
                  </w14:solidFill>
                </w14:textFill>
                <w14:ligatures w14:val="none"/>
              </w:rPr>
              <w:t>。</w:t>
            </w:r>
          </w:p>
        </w:tc>
        <w:tc>
          <w:tcPr>
            <w:tcW w:w="810" w:type="dxa"/>
            <w:noWrap/>
          </w:tcPr>
          <w:p w14:paraId="5BFB8843">
            <w:pPr>
              <w:spacing w:after="0" w:line="240" w:lineRule="auto"/>
              <w:rPr>
                <w:rFonts w:hint="eastAsia" w:ascii="宋体" w:hAnsi="宋体" w:eastAsia="宋体" w:cs="Segoe UI"/>
                <w:sz w:val="21"/>
                <w:szCs w:val="21"/>
                <w:shd w:val="clear" w:color="auto" w:fill="FFFFFF"/>
              </w:rPr>
            </w:pPr>
          </w:p>
        </w:tc>
        <w:tc>
          <w:tcPr>
            <w:tcW w:w="878" w:type="dxa"/>
            <w:noWrap/>
          </w:tcPr>
          <w:p w14:paraId="5BA757F1">
            <w:pPr>
              <w:spacing w:after="0" w:line="240" w:lineRule="auto"/>
              <w:rPr>
                <w:rFonts w:hint="eastAsia" w:ascii="宋体" w:hAnsi="宋体" w:eastAsia="宋体" w:cs="Segoe UI"/>
                <w:sz w:val="21"/>
                <w:szCs w:val="21"/>
                <w:shd w:val="clear" w:color="auto" w:fill="FFFFFF"/>
              </w:rPr>
            </w:pPr>
          </w:p>
        </w:tc>
      </w:tr>
      <w:tr w14:paraId="44AEB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1165" w:type="dxa"/>
            <w:vMerge w:val="restart"/>
            <w:vAlign w:val="center"/>
          </w:tcPr>
          <w:p w14:paraId="0D0D235F">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r>
              <w:rPr>
                <w:rFonts w:ascii="宋体" w:hAnsi="宋体" w:eastAsia="宋体" w:cs="Arial"/>
                <w:color w:val="000000" w:themeColor="text1"/>
                <w:kern w:val="24"/>
                <w:sz w:val="18"/>
                <w:szCs w:val="18"/>
                <w14:textFill>
                  <w14:solidFill>
                    <w14:schemeClr w14:val="tx1"/>
                  </w14:solidFill>
                </w14:textFill>
                <w14:ligatures w14:val="none"/>
              </w:rPr>
              <w:t>应用实践</w:t>
            </w:r>
          </w:p>
          <w:p w14:paraId="2CEE43D4">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p>
        </w:tc>
        <w:tc>
          <w:tcPr>
            <w:tcW w:w="5400" w:type="dxa"/>
          </w:tcPr>
          <w:p w14:paraId="4BACD855">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r>
              <w:rPr>
                <w:rFonts w:ascii="宋体" w:hAnsi="宋体" w:eastAsia="宋体" w:cs="Arial"/>
                <w:color w:val="000000" w:themeColor="text1"/>
                <w:kern w:val="24"/>
                <w:sz w:val="18"/>
                <w:szCs w:val="18"/>
                <w14:textFill>
                  <w14:solidFill>
                    <w14:schemeClr w14:val="tx1"/>
                  </w14:solidFill>
                </w14:textFill>
                <w14:ligatures w14:val="none"/>
              </w:rPr>
              <w:t>我能用英语描述个人面对困难时的经历，并能解释该经历与“坚韧品质”的关联</w:t>
            </w:r>
            <w:r>
              <w:rPr>
                <w:rFonts w:hint="eastAsia" w:ascii="宋体" w:hAnsi="宋体" w:eastAsia="宋体" w:cs="Arial"/>
                <w:color w:val="000000" w:themeColor="text1"/>
                <w:kern w:val="24"/>
                <w:sz w:val="18"/>
                <w:szCs w:val="18"/>
                <w14:textFill>
                  <w14:solidFill>
                    <w14:schemeClr w14:val="tx1"/>
                  </w14:solidFill>
                </w14:textFill>
                <w14:ligatures w14:val="none"/>
              </w:rPr>
              <w:t>。</w:t>
            </w:r>
          </w:p>
        </w:tc>
        <w:tc>
          <w:tcPr>
            <w:tcW w:w="810" w:type="dxa"/>
            <w:noWrap/>
          </w:tcPr>
          <w:p w14:paraId="40F4172F">
            <w:pPr>
              <w:spacing w:after="0" w:line="240" w:lineRule="auto"/>
              <w:rPr>
                <w:rFonts w:hint="eastAsia" w:ascii="宋体" w:hAnsi="宋体" w:eastAsia="宋体" w:cs="Segoe UI"/>
                <w:sz w:val="21"/>
                <w:szCs w:val="21"/>
                <w:shd w:val="clear" w:color="auto" w:fill="FFFFFF"/>
              </w:rPr>
            </w:pPr>
          </w:p>
        </w:tc>
        <w:tc>
          <w:tcPr>
            <w:tcW w:w="878" w:type="dxa"/>
            <w:noWrap/>
          </w:tcPr>
          <w:p w14:paraId="6F2A4BE6">
            <w:pPr>
              <w:spacing w:after="0" w:line="240" w:lineRule="auto"/>
              <w:rPr>
                <w:rFonts w:hint="eastAsia" w:ascii="宋体" w:hAnsi="宋体" w:eastAsia="宋体" w:cs="Segoe UI"/>
                <w:sz w:val="21"/>
                <w:szCs w:val="21"/>
                <w:shd w:val="clear" w:color="auto" w:fill="FFFFFF"/>
              </w:rPr>
            </w:pPr>
          </w:p>
        </w:tc>
      </w:tr>
      <w:tr w14:paraId="2AFC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165" w:type="dxa"/>
            <w:vMerge w:val="continue"/>
            <w:vAlign w:val="center"/>
          </w:tcPr>
          <w:p w14:paraId="7251DB97">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p>
        </w:tc>
        <w:tc>
          <w:tcPr>
            <w:tcW w:w="5400" w:type="dxa"/>
          </w:tcPr>
          <w:p w14:paraId="49621529">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r>
              <w:rPr>
                <w:rFonts w:ascii="宋体" w:hAnsi="宋体" w:eastAsia="宋体" w:cs="Arial"/>
                <w:color w:val="000000" w:themeColor="text1"/>
                <w:kern w:val="24"/>
                <w:sz w:val="18"/>
                <w:szCs w:val="18"/>
                <w14:textFill>
                  <w14:solidFill>
                    <w14:schemeClr w14:val="tx1"/>
                  </w14:solidFill>
                </w14:textFill>
                <w14:ligatures w14:val="none"/>
              </w:rPr>
              <w:t>我能对比不同名人的成长路径，并能分析其反映的个体努力、家庭与社会文化差异</w:t>
            </w:r>
            <w:r>
              <w:rPr>
                <w:rFonts w:hint="eastAsia" w:ascii="宋体" w:hAnsi="宋体" w:eastAsia="宋体" w:cs="Arial"/>
                <w:color w:val="000000" w:themeColor="text1"/>
                <w:kern w:val="24"/>
                <w:sz w:val="18"/>
                <w:szCs w:val="18"/>
                <w14:textFill>
                  <w14:solidFill>
                    <w14:schemeClr w14:val="tx1"/>
                  </w14:solidFill>
                </w14:textFill>
                <w14:ligatures w14:val="none"/>
              </w:rPr>
              <w:t>。</w:t>
            </w:r>
          </w:p>
        </w:tc>
        <w:tc>
          <w:tcPr>
            <w:tcW w:w="810" w:type="dxa"/>
            <w:noWrap/>
          </w:tcPr>
          <w:p w14:paraId="52D28F8C">
            <w:pPr>
              <w:spacing w:after="0" w:line="240" w:lineRule="auto"/>
              <w:rPr>
                <w:rFonts w:hint="eastAsia" w:ascii="宋体" w:hAnsi="宋体" w:eastAsia="宋体" w:cs="Segoe UI"/>
                <w:sz w:val="21"/>
                <w:szCs w:val="21"/>
                <w:shd w:val="clear" w:color="auto" w:fill="FFFFFF"/>
              </w:rPr>
            </w:pPr>
          </w:p>
        </w:tc>
        <w:tc>
          <w:tcPr>
            <w:tcW w:w="878" w:type="dxa"/>
            <w:noWrap/>
          </w:tcPr>
          <w:p w14:paraId="72D9DCE6">
            <w:pPr>
              <w:spacing w:after="0" w:line="240" w:lineRule="auto"/>
              <w:rPr>
                <w:rFonts w:hint="eastAsia" w:ascii="宋体" w:hAnsi="宋体" w:eastAsia="宋体" w:cs="Segoe UI"/>
                <w:sz w:val="21"/>
                <w:szCs w:val="21"/>
                <w:shd w:val="clear" w:color="auto" w:fill="FFFFFF"/>
              </w:rPr>
            </w:pPr>
          </w:p>
        </w:tc>
      </w:tr>
      <w:tr w14:paraId="4FE9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165" w:type="dxa"/>
            <w:vMerge w:val="continue"/>
            <w:vAlign w:val="center"/>
          </w:tcPr>
          <w:p w14:paraId="30A58E8D">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p>
        </w:tc>
        <w:tc>
          <w:tcPr>
            <w:tcW w:w="5400" w:type="dxa"/>
          </w:tcPr>
          <w:p w14:paraId="5A5A8359">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r>
              <w:rPr>
                <w:rFonts w:ascii="宋体" w:hAnsi="宋体" w:eastAsia="宋体" w:cs="Arial"/>
                <w:color w:val="000000" w:themeColor="text1"/>
                <w:kern w:val="24"/>
                <w:sz w:val="18"/>
                <w:szCs w:val="18"/>
                <w14:textFill>
                  <w14:solidFill>
                    <w14:schemeClr w14:val="tx1"/>
                  </w14:solidFill>
                </w14:textFill>
                <w14:ligatures w14:val="none"/>
              </w:rPr>
              <w:t>我能整合本单元内容，就“过程与结果”哪个更能定义成就提出自己的论点</w:t>
            </w:r>
            <w:r>
              <w:rPr>
                <w:rFonts w:hint="eastAsia" w:ascii="宋体" w:hAnsi="宋体" w:eastAsia="宋体" w:cs="Arial"/>
                <w:color w:val="000000" w:themeColor="text1"/>
                <w:kern w:val="24"/>
                <w:sz w:val="18"/>
                <w:szCs w:val="18"/>
                <w14:textFill>
                  <w14:solidFill>
                    <w14:schemeClr w14:val="tx1"/>
                  </w14:solidFill>
                </w14:textFill>
                <w14:ligatures w14:val="none"/>
              </w:rPr>
              <w:t>。</w:t>
            </w:r>
          </w:p>
        </w:tc>
        <w:tc>
          <w:tcPr>
            <w:tcW w:w="810" w:type="dxa"/>
            <w:noWrap/>
          </w:tcPr>
          <w:p w14:paraId="5D6DDC26">
            <w:pPr>
              <w:spacing w:after="0" w:line="240" w:lineRule="auto"/>
              <w:rPr>
                <w:rFonts w:hint="eastAsia" w:ascii="宋体" w:hAnsi="宋体" w:eastAsia="宋体" w:cs="Segoe UI"/>
                <w:sz w:val="21"/>
                <w:szCs w:val="21"/>
                <w:shd w:val="clear" w:color="auto" w:fill="FFFFFF"/>
              </w:rPr>
            </w:pPr>
          </w:p>
        </w:tc>
        <w:tc>
          <w:tcPr>
            <w:tcW w:w="878" w:type="dxa"/>
            <w:noWrap/>
          </w:tcPr>
          <w:p w14:paraId="5AA39072">
            <w:pPr>
              <w:spacing w:after="0" w:line="240" w:lineRule="auto"/>
              <w:rPr>
                <w:rFonts w:hint="eastAsia" w:ascii="宋体" w:hAnsi="宋体" w:eastAsia="宋体" w:cs="Segoe UI"/>
                <w:sz w:val="21"/>
                <w:szCs w:val="21"/>
                <w:shd w:val="clear" w:color="auto" w:fill="FFFFFF"/>
              </w:rPr>
            </w:pPr>
          </w:p>
        </w:tc>
      </w:tr>
      <w:tr w14:paraId="1F92F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165" w:type="dxa"/>
            <w:vMerge w:val="restart"/>
            <w:vAlign w:val="center"/>
          </w:tcPr>
          <w:p w14:paraId="15661868">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r>
              <w:rPr>
                <w:rFonts w:ascii="宋体" w:hAnsi="宋体" w:eastAsia="宋体" w:cs="Arial"/>
                <w:color w:val="000000" w:themeColor="text1"/>
                <w:kern w:val="24"/>
                <w:sz w:val="18"/>
                <w:szCs w:val="18"/>
                <w14:textFill>
                  <w14:solidFill>
                    <w14:schemeClr w14:val="tx1"/>
                  </w14:solidFill>
                </w14:textFill>
                <w14:ligatures w14:val="none"/>
              </w:rPr>
              <w:t>迁移创新</w:t>
            </w:r>
          </w:p>
          <w:p w14:paraId="41A8383C">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p>
        </w:tc>
        <w:tc>
          <w:tcPr>
            <w:tcW w:w="5400" w:type="dxa"/>
          </w:tcPr>
          <w:p w14:paraId="6D822CF0">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r>
              <w:rPr>
                <w:rFonts w:ascii="宋体" w:hAnsi="宋体" w:eastAsia="宋体" w:cs="Arial"/>
                <w:color w:val="000000" w:themeColor="text1"/>
                <w:kern w:val="24"/>
                <w:sz w:val="18"/>
                <w:szCs w:val="18"/>
                <w14:textFill>
                  <w14:solidFill>
                    <w14:schemeClr w14:val="tx1"/>
                  </w14:solidFill>
                </w14:textFill>
                <w14:ligatures w14:val="none"/>
              </w:rPr>
              <w:t>我能结合课堂提供的名人事实，推理出“成就”在不同文化背景下的多元定义</w:t>
            </w:r>
            <w:r>
              <w:rPr>
                <w:rFonts w:hint="eastAsia" w:ascii="宋体" w:hAnsi="宋体" w:eastAsia="宋体" w:cs="Arial"/>
                <w:color w:val="000000" w:themeColor="text1"/>
                <w:kern w:val="24"/>
                <w:sz w:val="18"/>
                <w:szCs w:val="18"/>
                <w14:textFill>
                  <w14:solidFill>
                    <w14:schemeClr w14:val="tx1"/>
                  </w14:solidFill>
                </w14:textFill>
                <w14:ligatures w14:val="none"/>
              </w:rPr>
              <w:t>。</w:t>
            </w:r>
          </w:p>
        </w:tc>
        <w:tc>
          <w:tcPr>
            <w:tcW w:w="810" w:type="dxa"/>
            <w:noWrap/>
          </w:tcPr>
          <w:p w14:paraId="3602D68B">
            <w:pPr>
              <w:spacing w:after="0" w:line="240" w:lineRule="auto"/>
              <w:rPr>
                <w:rFonts w:hint="eastAsia" w:ascii="宋体" w:hAnsi="宋体" w:eastAsia="宋体" w:cs="Segoe UI"/>
                <w:sz w:val="21"/>
                <w:szCs w:val="21"/>
                <w:shd w:val="clear" w:color="auto" w:fill="FFFFFF"/>
              </w:rPr>
            </w:pPr>
          </w:p>
        </w:tc>
        <w:tc>
          <w:tcPr>
            <w:tcW w:w="878" w:type="dxa"/>
            <w:noWrap/>
          </w:tcPr>
          <w:p w14:paraId="25ED66F1">
            <w:pPr>
              <w:spacing w:after="0" w:line="240" w:lineRule="auto"/>
              <w:rPr>
                <w:rFonts w:hint="eastAsia" w:ascii="宋体" w:hAnsi="宋体" w:eastAsia="宋体" w:cs="Segoe UI"/>
                <w:sz w:val="21"/>
                <w:szCs w:val="21"/>
                <w:shd w:val="clear" w:color="auto" w:fill="FFFFFF"/>
              </w:rPr>
            </w:pPr>
          </w:p>
        </w:tc>
      </w:tr>
      <w:tr w14:paraId="3674C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165" w:type="dxa"/>
            <w:vMerge w:val="continue"/>
          </w:tcPr>
          <w:p w14:paraId="7DB66209">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p>
        </w:tc>
        <w:tc>
          <w:tcPr>
            <w:tcW w:w="5400" w:type="dxa"/>
          </w:tcPr>
          <w:p w14:paraId="58DBE516">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r>
              <w:rPr>
                <w:rFonts w:ascii="宋体" w:hAnsi="宋体" w:eastAsia="宋体" w:cs="Arial"/>
                <w:color w:val="000000" w:themeColor="text1"/>
                <w:kern w:val="24"/>
                <w:sz w:val="18"/>
                <w:szCs w:val="18"/>
                <w14:textFill>
                  <w14:solidFill>
                    <w14:schemeClr w14:val="tx1"/>
                  </w14:solidFill>
                </w14:textFill>
                <w14:ligatures w14:val="none"/>
              </w:rPr>
              <w:t>我能在演讲或作文中创设合适情境，以不同名人（如爱因斯坦、华罗庚、梵高）的口吻传递不同文化价值观</w:t>
            </w:r>
            <w:r>
              <w:rPr>
                <w:rFonts w:hint="eastAsia" w:ascii="宋体" w:hAnsi="宋体" w:eastAsia="宋体" w:cs="Arial"/>
                <w:color w:val="000000" w:themeColor="text1"/>
                <w:kern w:val="24"/>
                <w:sz w:val="18"/>
                <w:szCs w:val="18"/>
                <w14:textFill>
                  <w14:solidFill>
                    <w14:schemeClr w14:val="tx1"/>
                  </w14:solidFill>
                </w14:textFill>
                <w14:ligatures w14:val="none"/>
              </w:rPr>
              <w:t>。</w:t>
            </w:r>
          </w:p>
        </w:tc>
        <w:tc>
          <w:tcPr>
            <w:tcW w:w="810" w:type="dxa"/>
            <w:noWrap/>
          </w:tcPr>
          <w:p w14:paraId="06F0538A">
            <w:pPr>
              <w:spacing w:after="0" w:line="240" w:lineRule="auto"/>
              <w:rPr>
                <w:rFonts w:hint="eastAsia" w:ascii="宋体" w:hAnsi="宋体" w:eastAsia="宋体" w:cs="Segoe UI"/>
                <w:sz w:val="21"/>
                <w:szCs w:val="21"/>
                <w:shd w:val="clear" w:color="auto" w:fill="FFFFFF"/>
              </w:rPr>
            </w:pPr>
          </w:p>
        </w:tc>
        <w:tc>
          <w:tcPr>
            <w:tcW w:w="878" w:type="dxa"/>
            <w:noWrap/>
          </w:tcPr>
          <w:p w14:paraId="4CC180BE">
            <w:pPr>
              <w:spacing w:after="0" w:line="240" w:lineRule="auto"/>
              <w:rPr>
                <w:rFonts w:hint="eastAsia" w:ascii="宋体" w:hAnsi="宋体" w:eastAsia="宋体" w:cs="Segoe UI"/>
                <w:sz w:val="21"/>
                <w:szCs w:val="21"/>
                <w:shd w:val="clear" w:color="auto" w:fill="FFFFFF"/>
              </w:rPr>
            </w:pPr>
          </w:p>
        </w:tc>
      </w:tr>
      <w:tr w14:paraId="37414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165" w:type="dxa"/>
            <w:vMerge w:val="continue"/>
          </w:tcPr>
          <w:p w14:paraId="39268CD7">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p>
        </w:tc>
        <w:tc>
          <w:tcPr>
            <w:tcW w:w="5400" w:type="dxa"/>
          </w:tcPr>
          <w:p w14:paraId="16F5E15C">
            <w:pPr>
              <w:spacing w:after="0" w:line="240" w:lineRule="auto"/>
              <w:rPr>
                <w:rFonts w:hint="eastAsia" w:ascii="宋体" w:hAnsi="宋体" w:eastAsia="宋体" w:cs="Arial"/>
                <w:color w:val="000000" w:themeColor="text1"/>
                <w:kern w:val="24"/>
                <w:sz w:val="18"/>
                <w:szCs w:val="18"/>
                <w14:textFill>
                  <w14:solidFill>
                    <w14:schemeClr w14:val="tx1"/>
                  </w14:solidFill>
                </w14:textFill>
                <w14:ligatures w14:val="none"/>
              </w:rPr>
            </w:pPr>
            <w:r>
              <w:rPr>
                <w:rFonts w:ascii="宋体" w:hAnsi="宋体" w:eastAsia="宋体" w:cs="Arial"/>
                <w:color w:val="000000" w:themeColor="text1"/>
                <w:kern w:val="24"/>
                <w:sz w:val="18"/>
                <w:szCs w:val="18"/>
                <w14:textFill>
                  <w14:solidFill>
                    <w14:schemeClr w14:val="tx1"/>
                  </w14:solidFill>
                </w14:textFill>
                <w14:ligatures w14:val="none"/>
              </w:rPr>
              <w:t>我能对西方“个体主义”与中国“集体主义”价值观进行辩证分析，并形成自己的观点</w:t>
            </w:r>
            <w:r>
              <w:rPr>
                <w:rFonts w:hint="eastAsia" w:ascii="宋体" w:hAnsi="宋体" w:eastAsia="宋体" w:cs="Arial"/>
                <w:color w:val="000000" w:themeColor="text1"/>
                <w:kern w:val="24"/>
                <w:sz w:val="18"/>
                <w:szCs w:val="18"/>
                <w14:textFill>
                  <w14:solidFill>
                    <w14:schemeClr w14:val="tx1"/>
                  </w14:solidFill>
                </w14:textFill>
                <w14:ligatures w14:val="none"/>
              </w:rPr>
              <w:t>。</w:t>
            </w:r>
          </w:p>
        </w:tc>
        <w:tc>
          <w:tcPr>
            <w:tcW w:w="810" w:type="dxa"/>
            <w:noWrap/>
          </w:tcPr>
          <w:p w14:paraId="71D3444F">
            <w:pPr>
              <w:spacing w:after="0" w:line="240" w:lineRule="auto"/>
              <w:rPr>
                <w:rFonts w:hint="eastAsia" w:ascii="宋体" w:hAnsi="宋体" w:eastAsia="宋体" w:cs="Segoe UI"/>
                <w:sz w:val="21"/>
                <w:szCs w:val="21"/>
                <w:shd w:val="clear" w:color="auto" w:fill="FFFFFF"/>
              </w:rPr>
            </w:pPr>
          </w:p>
        </w:tc>
        <w:tc>
          <w:tcPr>
            <w:tcW w:w="878" w:type="dxa"/>
            <w:noWrap/>
          </w:tcPr>
          <w:p w14:paraId="50F08C40">
            <w:pPr>
              <w:spacing w:after="0" w:line="240" w:lineRule="auto"/>
              <w:rPr>
                <w:rFonts w:hint="eastAsia" w:ascii="宋体" w:hAnsi="宋体" w:eastAsia="宋体" w:cs="Segoe UI"/>
                <w:sz w:val="21"/>
                <w:szCs w:val="21"/>
                <w:shd w:val="clear" w:color="auto" w:fill="FFFFFF"/>
              </w:rPr>
            </w:pPr>
          </w:p>
        </w:tc>
      </w:tr>
    </w:tbl>
    <w:p w14:paraId="1FB9A7AB">
      <w:pPr>
        <w:spacing w:after="0" w:line="240" w:lineRule="auto"/>
        <w:rPr>
          <w:rFonts w:hint="eastAsia" w:ascii="宋体" w:hAnsi="宋体" w:eastAsia="宋体" w:cs="Segoe UI"/>
          <w:sz w:val="21"/>
          <w:szCs w:val="21"/>
          <w:shd w:val="clear" w:color="auto" w:fill="FFFFFF"/>
        </w:rPr>
      </w:pPr>
    </w:p>
    <w:p w14:paraId="306214A1">
      <w:pPr>
        <w:pStyle w:val="41"/>
        <w:numPr>
          <w:ilvl w:val="0"/>
          <w:numId w:val="3"/>
        </w:numPr>
        <w:spacing w:line="240" w:lineRule="auto"/>
        <w:rPr>
          <w:rFonts w:hint="eastAsia" w:ascii="黑体" w:hAnsi="黑体" w:eastAsia="黑体" w:cs="Segoe UI"/>
          <w:b/>
          <w:bCs/>
          <w:color w:val="404040"/>
          <w:sz w:val="24"/>
          <w:shd w:val="clear" w:color="auto" w:fill="FFFFFF"/>
        </w:rPr>
      </w:pPr>
      <w:r>
        <w:rPr>
          <w:rFonts w:hint="eastAsia" w:ascii="黑体" w:hAnsi="黑体" w:eastAsia="黑体" w:cs="Segoe UI"/>
          <w:b/>
          <w:bCs/>
          <w:color w:val="404040"/>
          <w:sz w:val="24"/>
          <w:shd w:val="clear" w:color="auto" w:fill="FFFFFF"/>
        </w:rPr>
        <w:t>结语</w:t>
      </w:r>
    </w:p>
    <w:p w14:paraId="3DBE1F3C">
      <w:pPr>
        <w:tabs>
          <w:tab w:val="left" w:pos="6120"/>
        </w:tabs>
        <w:spacing w:after="0" w:line="240" w:lineRule="auto"/>
        <w:ind w:firstLine="420" w:firstLineChars="200"/>
        <w:rPr>
          <w:rFonts w:hint="eastAsia" w:ascii="宋体" w:hAnsi="宋体" w:eastAsia="宋体" w:cs="Times New Roman"/>
          <w:sz w:val="21"/>
          <w:szCs w:val="21"/>
          <w:shd w:val="clear" w:color="auto" w:fill="FFFFFF"/>
        </w:rPr>
      </w:pPr>
      <w:r>
        <w:rPr>
          <w:rFonts w:hint="eastAsia" w:ascii="宋体" w:hAnsi="宋体" w:eastAsia="宋体" w:cs="Segoe UI"/>
          <w:sz w:val="21"/>
          <w:szCs w:val="21"/>
          <w:shd w:val="clear" w:color="auto" w:fill="FFFFFF"/>
        </w:rPr>
        <w:t>本文基于学科育人的时代要求，针对德育与教学“两张皮”的现实困境，建构了指向学科育人的高中英语单元教学实践框架。通过对《高中英语》（上教版）必修第二册第四单元“Achievements”的案例探究，具体展现了三大核心环节：一是以单元大观念提炼为起点，建构分层价值观目标体系，实现育人主线的系统化引领；二是通过问题链驱动与文化对比等策略，实现语言学习与价值塑造的有机融合；三是构建“过程性—表现性—反思性”三维评价体系，推动“教—学—评”一体化。三大环节相互支撑、有机联动，使学科德育从“外在渗透”走向“内在生成”，为一线英语教师践行学科育人理念提供了可资借鉴的实践范式与参考。</w:t>
      </w:r>
    </w:p>
    <w:p w14:paraId="41C103DC">
      <w:pPr>
        <w:widowControl/>
        <w:spacing w:line="240" w:lineRule="auto"/>
        <w:rPr>
          <w:rFonts w:ascii="Times New Roman" w:hAnsi="Times New Roman" w:eastAsia="宋体" w:cs="Times New Roman"/>
          <w:sz w:val="24"/>
          <w:shd w:val="clear" w:color="auto" w:fill="FFFFFF"/>
        </w:rPr>
      </w:pPr>
      <w:r>
        <w:rPr>
          <w:rFonts w:ascii="Times New Roman" w:hAnsi="Times New Roman" w:eastAsia="宋体" w:cs="Times New Roman"/>
          <w:sz w:val="24"/>
          <w:shd w:val="clear" w:color="auto" w:fill="FFFFFF"/>
        </w:rPr>
        <w:br w:type="page"/>
      </w:r>
    </w:p>
    <w:p w14:paraId="24BDD834">
      <w:pPr>
        <w:tabs>
          <w:tab w:val="left" w:pos="6120"/>
        </w:tabs>
        <w:spacing w:line="240" w:lineRule="auto"/>
        <w:rPr>
          <w:rFonts w:hint="eastAsia" w:ascii="黑体" w:hAnsi="黑体" w:eastAsia="黑体" w:cs="Times New Roman"/>
          <w:b/>
          <w:bCs/>
          <w:sz w:val="24"/>
          <w:shd w:val="clear" w:color="auto" w:fill="FFFFFF"/>
        </w:rPr>
      </w:pPr>
      <w:r>
        <w:rPr>
          <w:rFonts w:hint="eastAsia" w:ascii="黑体" w:hAnsi="黑体" w:eastAsia="黑体" w:cs="Times New Roman"/>
          <w:b/>
          <w:bCs/>
          <w:sz w:val="24"/>
          <w:shd w:val="clear" w:color="auto" w:fill="FFFFFF"/>
        </w:rPr>
        <w:t>参考文献：</w:t>
      </w:r>
    </w:p>
    <w:p w14:paraId="0F92E29A">
      <w:pPr>
        <w:pStyle w:val="41"/>
        <w:numPr>
          <w:ilvl w:val="0"/>
          <w:numId w:val="4"/>
        </w:numPr>
        <w:spacing w:line="240" w:lineRule="auto"/>
        <w:rPr>
          <w:rStyle w:val="51"/>
          <w:rFonts w:hint="default" w:ascii="宋体" w:hAnsi="宋体" w:eastAsia="宋体" w:cs="Arial"/>
        </w:rPr>
      </w:pPr>
      <w:bookmarkStart w:id="16" w:name="OLE_LINK1"/>
      <w:r>
        <w:rPr>
          <w:rStyle w:val="51"/>
          <w:rFonts w:hint="default" w:ascii="宋体" w:hAnsi="宋体" w:eastAsia="宋体" w:cs="Arial"/>
        </w:rPr>
        <w:t>冯永刚</w:t>
      </w:r>
      <w:bookmarkEnd w:id="16"/>
      <w:r>
        <w:rPr>
          <w:rStyle w:val="51"/>
          <w:rFonts w:hint="default" w:ascii="宋体" w:hAnsi="宋体" w:eastAsia="宋体" w:cs="Arial"/>
        </w:rPr>
        <w:t>.学科德育的价值、困境及路径选择[J].中国德育,2019,(16):50-56.</w:t>
      </w:r>
    </w:p>
    <w:p w14:paraId="110BDE5A">
      <w:pPr>
        <w:pStyle w:val="41"/>
        <w:numPr>
          <w:ilvl w:val="0"/>
          <w:numId w:val="4"/>
        </w:numPr>
        <w:spacing w:line="240" w:lineRule="auto"/>
        <w:rPr>
          <w:rFonts w:hint="eastAsia" w:ascii="宋体" w:hAnsi="宋体" w:eastAsia="宋体" w:cs="Arial"/>
          <w:sz w:val="18"/>
          <w:szCs w:val="18"/>
          <w:shd w:val="clear" w:color="auto" w:fill="FFFFFF"/>
        </w:rPr>
      </w:pPr>
      <w:bookmarkStart w:id="17" w:name="OLE_LINK13"/>
      <w:r>
        <w:rPr>
          <w:rFonts w:ascii="宋体" w:hAnsi="宋体" w:eastAsia="宋体" w:cs="Arial"/>
          <w:sz w:val="18"/>
          <w:szCs w:val="18"/>
        </w:rPr>
        <w:t>郭元祥</w:t>
      </w:r>
      <w:bookmarkEnd w:id="17"/>
      <w:r>
        <w:rPr>
          <w:rFonts w:ascii="宋体" w:hAnsi="宋体" w:eastAsia="宋体" w:cs="Arial"/>
          <w:sz w:val="18"/>
          <w:szCs w:val="18"/>
        </w:rPr>
        <w:t>.论学科育人的逻辑起点、内在条件与实践诉求[J].教育</w:t>
      </w:r>
      <w:r>
        <w:rPr>
          <w:rFonts w:hint="eastAsia" w:ascii="宋体" w:hAnsi="宋体" w:eastAsia="宋体" w:cs="Arial"/>
          <w:sz w:val="18"/>
          <w:szCs w:val="18"/>
        </w:rPr>
        <w:t>研究,2020,41(04):4-15.</w:t>
      </w:r>
    </w:p>
    <w:p w14:paraId="1FE25128">
      <w:pPr>
        <w:pStyle w:val="41"/>
        <w:numPr>
          <w:ilvl w:val="0"/>
          <w:numId w:val="4"/>
        </w:numPr>
        <w:spacing w:line="240" w:lineRule="auto"/>
        <w:rPr>
          <w:rStyle w:val="51"/>
          <w:rFonts w:hint="default" w:ascii="宋体" w:hAnsi="宋体" w:eastAsia="宋体" w:cs="Arial"/>
        </w:rPr>
      </w:pPr>
      <w:r>
        <w:rPr>
          <w:rStyle w:val="51"/>
          <w:rFonts w:hint="default" w:ascii="宋体" w:hAnsi="宋体" w:eastAsia="宋体" w:cs="Arial"/>
        </w:rPr>
        <w:t>李菲.学科德育的困境反思与路径转换——基于教学伦理视角的思考[J].中国教育学刊,2023,(04):92-97.</w:t>
      </w:r>
    </w:p>
    <w:p w14:paraId="72A0521C">
      <w:pPr>
        <w:pStyle w:val="41"/>
        <w:numPr>
          <w:ilvl w:val="0"/>
          <w:numId w:val="4"/>
        </w:numPr>
        <w:spacing w:line="240" w:lineRule="auto"/>
        <w:rPr>
          <w:rStyle w:val="51"/>
          <w:rFonts w:hint="default" w:ascii="宋体" w:hAnsi="宋体" w:eastAsia="宋体" w:cs="Arial"/>
        </w:rPr>
      </w:pPr>
      <w:r>
        <w:rPr>
          <w:rStyle w:val="51"/>
          <w:rFonts w:hint="default" w:ascii="宋体" w:hAnsi="宋体" w:eastAsia="宋体" w:cs="Arial"/>
        </w:rPr>
        <w:t>梅德明.培养具有中国情怀、国际视野和跨文化沟通能力的时代新人——《普通高中英语课程标准(2017年版)》的学科育人观及实现路径[J].人民教育,2018,(11):46-49.</w:t>
      </w:r>
    </w:p>
    <w:p w14:paraId="1D36A6CB">
      <w:pPr>
        <w:pStyle w:val="41"/>
        <w:numPr>
          <w:ilvl w:val="0"/>
          <w:numId w:val="4"/>
        </w:numPr>
        <w:spacing w:line="240" w:lineRule="auto"/>
        <w:rPr>
          <w:rFonts w:hint="eastAsia" w:ascii="宋体" w:hAnsi="宋体" w:eastAsia="宋体" w:cs="Arial"/>
          <w:sz w:val="18"/>
          <w:szCs w:val="18"/>
        </w:rPr>
      </w:pPr>
      <w:r>
        <w:rPr>
          <w:rFonts w:ascii="宋体" w:hAnsi="宋体" w:eastAsia="宋体" w:cs="Arial"/>
          <w:sz w:val="18"/>
          <w:szCs w:val="18"/>
        </w:rPr>
        <w:t>田保华.试论学科德育的问题与出路[J].课程.教材.教法,</w:t>
      </w:r>
      <w:r>
        <w:rPr>
          <w:rFonts w:hint="eastAsia" w:ascii="宋体" w:hAnsi="宋体" w:eastAsia="宋体" w:cs="Arial"/>
          <w:sz w:val="18"/>
          <w:szCs w:val="18"/>
        </w:rPr>
        <w:t xml:space="preserve"> </w:t>
      </w:r>
      <w:r>
        <w:rPr>
          <w:rFonts w:ascii="宋体" w:hAnsi="宋体" w:eastAsia="宋体" w:cs="Arial"/>
          <w:sz w:val="18"/>
          <w:szCs w:val="18"/>
        </w:rPr>
        <w:t>2015,</w:t>
      </w:r>
      <w:r>
        <w:rPr>
          <w:rFonts w:hint="eastAsia" w:ascii="宋体" w:hAnsi="宋体" w:eastAsia="宋体" w:cs="Arial"/>
          <w:sz w:val="18"/>
          <w:szCs w:val="18"/>
        </w:rPr>
        <w:t xml:space="preserve"> </w:t>
      </w:r>
      <w:r>
        <w:rPr>
          <w:rFonts w:ascii="宋体" w:hAnsi="宋体" w:eastAsia="宋体" w:cs="Arial"/>
          <w:sz w:val="18"/>
          <w:szCs w:val="18"/>
        </w:rPr>
        <w:t>35(07):</w:t>
      </w:r>
      <w:r>
        <w:rPr>
          <w:rFonts w:hint="eastAsia" w:ascii="宋体" w:hAnsi="宋体" w:eastAsia="宋体" w:cs="Arial"/>
          <w:sz w:val="18"/>
          <w:szCs w:val="18"/>
        </w:rPr>
        <w:t xml:space="preserve"> </w:t>
      </w:r>
      <w:r>
        <w:rPr>
          <w:rFonts w:ascii="宋体" w:hAnsi="宋体" w:eastAsia="宋体" w:cs="Arial"/>
          <w:sz w:val="18"/>
          <w:szCs w:val="18"/>
        </w:rPr>
        <w:t>3-11.</w:t>
      </w:r>
    </w:p>
    <w:p w14:paraId="622B13B7">
      <w:pPr>
        <w:pStyle w:val="41"/>
        <w:numPr>
          <w:ilvl w:val="0"/>
          <w:numId w:val="4"/>
        </w:numPr>
        <w:spacing w:line="240" w:lineRule="auto"/>
        <w:rPr>
          <w:rFonts w:ascii="宋体" w:hAnsi="宋体" w:eastAsia="宋体" w:cs="Arial"/>
          <w:sz w:val="18"/>
          <w:szCs w:val="18"/>
        </w:rPr>
      </w:pPr>
      <w:r>
        <w:rPr>
          <w:rFonts w:hint="eastAsia" w:ascii="宋体" w:hAnsi="宋体" w:eastAsia="宋体" w:cs="Arial"/>
          <w:sz w:val="18"/>
          <w:szCs w:val="18"/>
        </w:rPr>
        <w:t>王春晖.英语学科育人的内涵及其实施路径[J].中小学英语教学与研究,2022,(05):6-9.</w:t>
      </w:r>
    </w:p>
    <w:p w14:paraId="1D71B9F5">
      <w:pPr>
        <w:pStyle w:val="41"/>
        <w:numPr>
          <w:ilvl w:val="0"/>
          <w:numId w:val="4"/>
        </w:numPr>
        <w:spacing w:line="240" w:lineRule="auto"/>
        <w:rPr>
          <w:rFonts w:hint="eastAsia" w:ascii="宋体" w:hAnsi="宋体" w:eastAsia="宋体" w:cs="Arial"/>
          <w:sz w:val="18"/>
          <w:szCs w:val="18"/>
        </w:rPr>
      </w:pPr>
      <w:r>
        <w:rPr>
          <w:rFonts w:ascii="宋体" w:hAnsi="宋体" w:eastAsia="宋体" w:cs="Arial"/>
          <w:sz w:val="18"/>
          <w:szCs w:val="18"/>
        </w:rPr>
        <w:t>王磊,张景斌.学科育人的理论逻辑、价值内容与实践路径[J].教学与管理,2019,(30):1-4.</w:t>
      </w:r>
    </w:p>
    <w:p w14:paraId="012F6F3D">
      <w:pPr>
        <w:pStyle w:val="41"/>
        <w:numPr>
          <w:ilvl w:val="0"/>
          <w:numId w:val="4"/>
        </w:numPr>
        <w:spacing w:line="240" w:lineRule="auto"/>
        <w:rPr>
          <w:rFonts w:hint="eastAsia" w:ascii="宋体" w:hAnsi="宋体" w:eastAsia="宋体" w:cs="Arial"/>
          <w:sz w:val="18"/>
          <w:szCs w:val="18"/>
        </w:rPr>
      </w:pPr>
      <w:r>
        <w:rPr>
          <w:rFonts w:ascii="宋体" w:hAnsi="宋体" w:eastAsia="宋体" w:cs="Arial"/>
          <w:sz w:val="18"/>
          <w:szCs w:val="18"/>
        </w:rPr>
        <w:t>王蔷,胡亚琳.英语学科能力及其表现研究[J].教育学报,2017,13(02):61-70.</w:t>
      </w:r>
    </w:p>
    <w:p w14:paraId="0372FE14">
      <w:pPr>
        <w:pStyle w:val="41"/>
        <w:numPr>
          <w:ilvl w:val="0"/>
          <w:numId w:val="4"/>
        </w:numPr>
        <w:spacing w:line="240" w:lineRule="auto"/>
        <w:rPr>
          <w:rFonts w:hint="eastAsia" w:ascii="宋体" w:hAnsi="宋体" w:eastAsia="宋体" w:cs="Arial"/>
          <w:sz w:val="18"/>
          <w:szCs w:val="18"/>
        </w:rPr>
      </w:pPr>
      <w:r>
        <w:rPr>
          <w:rFonts w:hint="eastAsia" w:ascii="宋体" w:hAnsi="宋体" w:eastAsia="宋体" w:cs="Arial"/>
          <w:sz w:val="18"/>
          <w:szCs w:val="18"/>
        </w:rPr>
        <w:t>王蔷,李亮.推动核心素养背景下英语课堂教—学—评一体化:意义、理论与方法[J].课程.教材.教法,2019,39(05):114-120.</w:t>
      </w:r>
    </w:p>
    <w:p w14:paraId="5E8BF0DA">
      <w:pPr>
        <w:pStyle w:val="41"/>
        <w:numPr>
          <w:ilvl w:val="0"/>
          <w:numId w:val="4"/>
        </w:numPr>
        <w:spacing w:line="240" w:lineRule="auto"/>
        <w:rPr>
          <w:rFonts w:hint="eastAsia" w:ascii="宋体" w:hAnsi="宋体" w:eastAsia="宋体" w:cs="Arial"/>
          <w:sz w:val="18"/>
          <w:szCs w:val="18"/>
        </w:rPr>
      </w:pPr>
      <w:r>
        <w:rPr>
          <w:rFonts w:hint="eastAsia" w:ascii="宋体" w:hAnsi="宋体" w:eastAsia="宋体" w:cs="Arial"/>
          <w:sz w:val="18"/>
          <w:szCs w:val="18"/>
        </w:rPr>
        <w:t>王蔷,孙万磊,赵连杰,等.大观念对英语学科落实育人导向课程目标的意义与价值[J].教学月刊·中学版(外语教学),2022,(04):3-14.</w:t>
      </w:r>
    </w:p>
    <w:p w14:paraId="6A861C92">
      <w:pPr>
        <w:pStyle w:val="41"/>
        <w:numPr>
          <w:ilvl w:val="0"/>
          <w:numId w:val="4"/>
        </w:numPr>
        <w:spacing w:line="240" w:lineRule="auto"/>
        <w:rPr>
          <w:rFonts w:hint="eastAsia" w:ascii="宋体" w:hAnsi="宋体" w:eastAsia="宋体" w:cs="Arial"/>
          <w:sz w:val="18"/>
          <w:szCs w:val="18"/>
        </w:rPr>
      </w:pPr>
      <w:r>
        <w:rPr>
          <w:rFonts w:ascii="宋体" w:hAnsi="宋体" w:eastAsia="宋体" w:cs="Arial"/>
          <w:sz w:val="18"/>
          <w:szCs w:val="18"/>
        </w:rPr>
        <w:t>王蔷,周密,蔡铭珂.基于大观念的高中英语单元整体教学设计[J].中小学外语教学(中学篇),2021,44(01):1-7.</w:t>
      </w:r>
    </w:p>
    <w:p w14:paraId="695EE848">
      <w:pPr>
        <w:pStyle w:val="41"/>
        <w:numPr>
          <w:ilvl w:val="0"/>
          <w:numId w:val="4"/>
        </w:numPr>
        <w:spacing w:line="240" w:lineRule="auto"/>
        <w:rPr>
          <w:rFonts w:hint="eastAsia" w:ascii="宋体" w:hAnsi="宋体" w:eastAsia="宋体" w:cs="Arial"/>
          <w:sz w:val="18"/>
          <w:szCs w:val="18"/>
        </w:rPr>
      </w:pPr>
      <w:r>
        <w:rPr>
          <w:rFonts w:ascii="宋体" w:hAnsi="宋体" w:eastAsia="宋体" w:cs="Arial"/>
          <w:sz w:val="18"/>
          <w:szCs w:val="18"/>
        </w:rPr>
        <w:t>叶</w:t>
      </w:r>
      <w:bookmarkStart w:id="18" w:name="OLE_LINK28"/>
      <w:r>
        <w:rPr>
          <w:rFonts w:ascii="宋体" w:hAnsi="宋体" w:eastAsia="宋体" w:cs="Arial"/>
          <w:sz w:val="18"/>
          <w:szCs w:val="18"/>
        </w:rPr>
        <w:t>飞</w:t>
      </w:r>
      <w:bookmarkEnd w:id="18"/>
      <w:r>
        <w:rPr>
          <w:rFonts w:ascii="宋体" w:hAnsi="宋体" w:eastAsia="宋体" w:cs="Arial"/>
          <w:sz w:val="18"/>
          <w:szCs w:val="18"/>
        </w:rPr>
        <w:t>.学科德育的实践意蕴及其实现途径[J].课程.教材.教法,</w:t>
      </w:r>
      <w:r>
        <w:rPr>
          <w:rFonts w:hint="eastAsia" w:ascii="宋体" w:hAnsi="宋体" w:eastAsia="宋体" w:cs="Arial"/>
          <w:sz w:val="18"/>
          <w:szCs w:val="18"/>
        </w:rPr>
        <w:t xml:space="preserve"> </w:t>
      </w:r>
      <w:r>
        <w:rPr>
          <w:rFonts w:ascii="宋体" w:hAnsi="宋体" w:eastAsia="宋体" w:cs="Arial"/>
          <w:sz w:val="18"/>
          <w:szCs w:val="18"/>
        </w:rPr>
        <w:t>2009,</w:t>
      </w:r>
      <w:r>
        <w:rPr>
          <w:rFonts w:hint="eastAsia" w:ascii="宋体" w:hAnsi="宋体" w:eastAsia="宋体" w:cs="Arial"/>
          <w:sz w:val="18"/>
          <w:szCs w:val="18"/>
        </w:rPr>
        <w:t xml:space="preserve"> </w:t>
      </w:r>
      <w:r>
        <w:rPr>
          <w:rFonts w:ascii="宋体" w:hAnsi="宋体" w:eastAsia="宋体" w:cs="Arial"/>
          <w:sz w:val="18"/>
          <w:szCs w:val="18"/>
        </w:rPr>
        <w:t>29(08):48-51+56.</w:t>
      </w:r>
    </w:p>
    <w:p w14:paraId="1FAE7E52">
      <w:pPr>
        <w:pStyle w:val="41"/>
        <w:numPr>
          <w:ilvl w:val="0"/>
          <w:numId w:val="4"/>
        </w:numPr>
        <w:spacing w:line="240" w:lineRule="auto"/>
        <w:rPr>
          <w:rFonts w:hint="eastAsia" w:ascii="宋体" w:hAnsi="宋体" w:eastAsia="宋体" w:cs="Arial"/>
          <w:sz w:val="18"/>
          <w:szCs w:val="18"/>
        </w:rPr>
      </w:pPr>
      <w:r>
        <w:rPr>
          <w:rFonts w:hint="eastAsia" w:ascii="宋体" w:hAnsi="宋体" w:eastAsia="宋体" w:cs="Arial"/>
          <w:sz w:val="18"/>
          <w:szCs w:val="18"/>
        </w:rPr>
        <w:t>中</w:t>
      </w:r>
      <w:r>
        <w:rPr>
          <w:rFonts w:ascii="宋体" w:hAnsi="宋体" w:eastAsia="宋体" w:cs="Arial"/>
          <w:sz w:val="18"/>
          <w:szCs w:val="18"/>
        </w:rPr>
        <w:t>华人民共和国教育部.普通高中英语课程标准(2017年版</w:t>
      </w:r>
      <w:r>
        <w:rPr>
          <w:rFonts w:hint="eastAsia" w:ascii="宋体" w:hAnsi="宋体" w:eastAsia="宋体" w:cs="Arial"/>
          <w:sz w:val="18"/>
          <w:szCs w:val="18"/>
        </w:rPr>
        <w:t>20</w:t>
      </w:r>
      <w:r>
        <w:rPr>
          <w:rFonts w:hint="eastAsia" w:ascii="宋体" w:hAnsi="宋体" w:eastAsia="宋体" w:cs="Arial"/>
          <w:sz w:val="18"/>
          <w:szCs w:val="18"/>
          <w:lang w:val="en-US" w:eastAsia="zh-CN"/>
        </w:rPr>
        <w:t>25</w:t>
      </w:r>
      <w:r>
        <w:rPr>
          <w:rFonts w:hint="eastAsia" w:ascii="宋体" w:hAnsi="宋体" w:eastAsia="宋体" w:cs="Arial"/>
          <w:sz w:val="18"/>
          <w:szCs w:val="18"/>
        </w:rPr>
        <w:t>年修订</w:t>
      </w:r>
      <w:r>
        <w:rPr>
          <w:rFonts w:ascii="宋体" w:hAnsi="宋体" w:eastAsia="宋体" w:cs="Arial"/>
          <w:sz w:val="18"/>
          <w:szCs w:val="18"/>
        </w:rPr>
        <w:t>)[S].北京:人民教育出版社, 20</w:t>
      </w:r>
      <w:r>
        <w:rPr>
          <w:rFonts w:hint="eastAsia" w:ascii="宋体" w:hAnsi="宋体" w:eastAsia="宋体" w:cs="Arial"/>
          <w:sz w:val="18"/>
          <w:szCs w:val="18"/>
        </w:rPr>
        <w:t>2</w:t>
      </w:r>
      <w:r>
        <w:rPr>
          <w:rFonts w:hint="eastAsia" w:ascii="宋体" w:hAnsi="宋体" w:eastAsia="宋体" w:cs="Arial"/>
          <w:sz w:val="18"/>
          <w:szCs w:val="18"/>
          <w:lang w:val="en-US" w:eastAsia="zh-CN"/>
        </w:rPr>
        <w:t>5</w:t>
      </w:r>
      <w:r>
        <w:rPr>
          <w:rFonts w:hint="eastAsia" w:ascii="宋体" w:hAnsi="宋体" w:eastAsia="宋体" w:cs="Arial"/>
          <w:sz w:val="18"/>
          <w:szCs w:val="18"/>
        </w:rPr>
        <w:t>.</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99728665"/>
    </w:sdtPr>
    <w:sdtContent>
      <w:p w14:paraId="15952638">
        <w:pPr>
          <w:pStyle w:val="13"/>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15E7FC87">
    <w:pPr>
      <w:pStyle w:val="13"/>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961F9A"/>
    <w:multiLevelType w:val="multilevel"/>
    <w:tmpl w:val="00961F9A"/>
    <w:lvl w:ilvl="0" w:tentative="0">
      <w:start w:val="4"/>
      <w:numFmt w:val="japaneseCounting"/>
      <w:lvlText w:val="%1、"/>
      <w:lvlJc w:val="left"/>
      <w:pPr>
        <w:ind w:left="1202" w:hanging="720"/>
      </w:pPr>
      <w:rPr>
        <w:rFonts w:hint="default"/>
      </w:r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1">
    <w:nsid w:val="4D26742B"/>
    <w:multiLevelType w:val="multilevel"/>
    <w:tmpl w:val="4D26742B"/>
    <w:lvl w:ilvl="0" w:tentative="0">
      <w:start w:val="1"/>
      <w:numFmt w:val="japaneseCounting"/>
      <w:lvlText w:val="（%1）"/>
      <w:lvlJc w:val="left"/>
      <w:pPr>
        <w:ind w:left="1162" w:hanging="720"/>
      </w:pPr>
      <w:rPr>
        <w:rFonts w:hint="default"/>
      </w:rPr>
    </w:lvl>
    <w:lvl w:ilvl="1" w:tentative="0">
      <w:start w:val="1"/>
      <w:numFmt w:val="lowerLetter"/>
      <w:lvlText w:val="%2)"/>
      <w:lvlJc w:val="left"/>
      <w:pPr>
        <w:ind w:left="1322" w:hanging="440"/>
      </w:pPr>
    </w:lvl>
    <w:lvl w:ilvl="2" w:tentative="0">
      <w:start w:val="1"/>
      <w:numFmt w:val="lowerRoman"/>
      <w:lvlText w:val="%3."/>
      <w:lvlJc w:val="right"/>
      <w:pPr>
        <w:ind w:left="1762" w:hanging="440"/>
      </w:pPr>
    </w:lvl>
    <w:lvl w:ilvl="3" w:tentative="0">
      <w:start w:val="1"/>
      <w:numFmt w:val="decimal"/>
      <w:lvlText w:val="%4."/>
      <w:lvlJc w:val="left"/>
      <w:pPr>
        <w:ind w:left="2202" w:hanging="440"/>
      </w:pPr>
    </w:lvl>
    <w:lvl w:ilvl="4" w:tentative="0">
      <w:start w:val="1"/>
      <w:numFmt w:val="lowerLetter"/>
      <w:lvlText w:val="%5)"/>
      <w:lvlJc w:val="left"/>
      <w:pPr>
        <w:ind w:left="2642" w:hanging="440"/>
      </w:pPr>
    </w:lvl>
    <w:lvl w:ilvl="5" w:tentative="0">
      <w:start w:val="1"/>
      <w:numFmt w:val="lowerRoman"/>
      <w:lvlText w:val="%6."/>
      <w:lvlJc w:val="right"/>
      <w:pPr>
        <w:ind w:left="3082" w:hanging="440"/>
      </w:pPr>
    </w:lvl>
    <w:lvl w:ilvl="6" w:tentative="0">
      <w:start w:val="1"/>
      <w:numFmt w:val="decimal"/>
      <w:lvlText w:val="%7."/>
      <w:lvlJc w:val="left"/>
      <w:pPr>
        <w:ind w:left="3522" w:hanging="440"/>
      </w:pPr>
    </w:lvl>
    <w:lvl w:ilvl="7" w:tentative="0">
      <w:start w:val="1"/>
      <w:numFmt w:val="lowerLetter"/>
      <w:lvlText w:val="%8)"/>
      <w:lvlJc w:val="left"/>
      <w:pPr>
        <w:ind w:left="3962" w:hanging="440"/>
      </w:pPr>
    </w:lvl>
    <w:lvl w:ilvl="8" w:tentative="0">
      <w:start w:val="1"/>
      <w:numFmt w:val="lowerRoman"/>
      <w:lvlText w:val="%9."/>
      <w:lvlJc w:val="right"/>
      <w:pPr>
        <w:ind w:left="4402" w:hanging="440"/>
      </w:pPr>
    </w:lvl>
  </w:abstractNum>
  <w:abstractNum w:abstractNumId="2">
    <w:nsid w:val="57190FB9"/>
    <w:multiLevelType w:val="multilevel"/>
    <w:tmpl w:val="57190FB9"/>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77664DEE"/>
    <w:multiLevelType w:val="multilevel"/>
    <w:tmpl w:val="77664DEE"/>
    <w:lvl w:ilvl="0" w:tentative="0">
      <w:start w:val="1"/>
      <w:numFmt w:val="japaneseCounting"/>
      <w:lvlText w:val="%1、"/>
      <w:lvlJc w:val="left"/>
      <w:pPr>
        <w:ind w:left="1202" w:hanging="720"/>
      </w:pPr>
      <w:rPr>
        <w:rFonts w:hint="default"/>
      </w:r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6C2"/>
    <w:rsid w:val="00013B41"/>
    <w:rsid w:val="00025939"/>
    <w:rsid w:val="000641D6"/>
    <w:rsid w:val="00076086"/>
    <w:rsid w:val="000779F5"/>
    <w:rsid w:val="00083439"/>
    <w:rsid w:val="00093C6E"/>
    <w:rsid w:val="000A4C3A"/>
    <w:rsid w:val="000C4CD1"/>
    <w:rsid w:val="000C7F15"/>
    <w:rsid w:val="000D0FB7"/>
    <w:rsid w:val="000D6B28"/>
    <w:rsid w:val="000E77BC"/>
    <w:rsid w:val="000F3DD0"/>
    <w:rsid w:val="0010475F"/>
    <w:rsid w:val="0010766C"/>
    <w:rsid w:val="0012144C"/>
    <w:rsid w:val="001224AC"/>
    <w:rsid w:val="00122966"/>
    <w:rsid w:val="00124FE2"/>
    <w:rsid w:val="00126C3D"/>
    <w:rsid w:val="00140D24"/>
    <w:rsid w:val="00141765"/>
    <w:rsid w:val="00144F5C"/>
    <w:rsid w:val="00145C87"/>
    <w:rsid w:val="001639F3"/>
    <w:rsid w:val="001639F7"/>
    <w:rsid w:val="00166882"/>
    <w:rsid w:val="0017174A"/>
    <w:rsid w:val="0017705C"/>
    <w:rsid w:val="00177A9E"/>
    <w:rsid w:val="001807C7"/>
    <w:rsid w:val="00180BBE"/>
    <w:rsid w:val="00182C98"/>
    <w:rsid w:val="00191CA3"/>
    <w:rsid w:val="00194238"/>
    <w:rsid w:val="0019610D"/>
    <w:rsid w:val="001B0074"/>
    <w:rsid w:val="001C08F8"/>
    <w:rsid w:val="001C0E74"/>
    <w:rsid w:val="001D247F"/>
    <w:rsid w:val="001E604B"/>
    <w:rsid w:val="001F01E6"/>
    <w:rsid w:val="001F3596"/>
    <w:rsid w:val="0020221D"/>
    <w:rsid w:val="002056A2"/>
    <w:rsid w:val="00207EFE"/>
    <w:rsid w:val="002124F2"/>
    <w:rsid w:val="00224475"/>
    <w:rsid w:val="00227DB9"/>
    <w:rsid w:val="00230B78"/>
    <w:rsid w:val="002358F2"/>
    <w:rsid w:val="0024318C"/>
    <w:rsid w:val="00251552"/>
    <w:rsid w:val="00257A36"/>
    <w:rsid w:val="00257C32"/>
    <w:rsid w:val="0026785E"/>
    <w:rsid w:val="00270541"/>
    <w:rsid w:val="002803E6"/>
    <w:rsid w:val="002A21C8"/>
    <w:rsid w:val="002A5236"/>
    <w:rsid w:val="002B2FA5"/>
    <w:rsid w:val="002B453E"/>
    <w:rsid w:val="002C7DAB"/>
    <w:rsid w:val="002D25CB"/>
    <w:rsid w:val="002F1EF6"/>
    <w:rsid w:val="002F454D"/>
    <w:rsid w:val="002F65A2"/>
    <w:rsid w:val="00302553"/>
    <w:rsid w:val="00306819"/>
    <w:rsid w:val="00306848"/>
    <w:rsid w:val="00325C33"/>
    <w:rsid w:val="003304E9"/>
    <w:rsid w:val="0034143F"/>
    <w:rsid w:val="00366AAE"/>
    <w:rsid w:val="00374627"/>
    <w:rsid w:val="003758C3"/>
    <w:rsid w:val="00386CC1"/>
    <w:rsid w:val="0039182B"/>
    <w:rsid w:val="003926E1"/>
    <w:rsid w:val="00395E9D"/>
    <w:rsid w:val="003A0A16"/>
    <w:rsid w:val="003B2262"/>
    <w:rsid w:val="003B31B3"/>
    <w:rsid w:val="003D786F"/>
    <w:rsid w:val="003F2B90"/>
    <w:rsid w:val="004203F9"/>
    <w:rsid w:val="00423D9E"/>
    <w:rsid w:val="00424357"/>
    <w:rsid w:val="00427433"/>
    <w:rsid w:val="00435796"/>
    <w:rsid w:val="0043777F"/>
    <w:rsid w:val="00440814"/>
    <w:rsid w:val="00444D08"/>
    <w:rsid w:val="00451267"/>
    <w:rsid w:val="004516CE"/>
    <w:rsid w:val="00457F87"/>
    <w:rsid w:val="00482E8A"/>
    <w:rsid w:val="004915DA"/>
    <w:rsid w:val="00496616"/>
    <w:rsid w:val="004969DF"/>
    <w:rsid w:val="00496B6C"/>
    <w:rsid w:val="004A0DD6"/>
    <w:rsid w:val="004A2EC4"/>
    <w:rsid w:val="004E0614"/>
    <w:rsid w:val="00513AAE"/>
    <w:rsid w:val="005175B0"/>
    <w:rsid w:val="00521753"/>
    <w:rsid w:val="00525591"/>
    <w:rsid w:val="00527410"/>
    <w:rsid w:val="00530E25"/>
    <w:rsid w:val="005508CE"/>
    <w:rsid w:val="00554680"/>
    <w:rsid w:val="00564705"/>
    <w:rsid w:val="005758C8"/>
    <w:rsid w:val="005762E2"/>
    <w:rsid w:val="00581684"/>
    <w:rsid w:val="005A013F"/>
    <w:rsid w:val="005B2164"/>
    <w:rsid w:val="005C1C20"/>
    <w:rsid w:val="005C4D74"/>
    <w:rsid w:val="005D1E86"/>
    <w:rsid w:val="005D5498"/>
    <w:rsid w:val="005D5704"/>
    <w:rsid w:val="005D7710"/>
    <w:rsid w:val="005E18F7"/>
    <w:rsid w:val="005E3D61"/>
    <w:rsid w:val="005E75B1"/>
    <w:rsid w:val="00600AEA"/>
    <w:rsid w:val="00602C67"/>
    <w:rsid w:val="006158DB"/>
    <w:rsid w:val="00621FDE"/>
    <w:rsid w:val="00623F76"/>
    <w:rsid w:val="006304AD"/>
    <w:rsid w:val="00631182"/>
    <w:rsid w:val="0064714E"/>
    <w:rsid w:val="00647EC3"/>
    <w:rsid w:val="00654F34"/>
    <w:rsid w:val="00663941"/>
    <w:rsid w:val="00666C21"/>
    <w:rsid w:val="006709DF"/>
    <w:rsid w:val="00672AAF"/>
    <w:rsid w:val="00676D00"/>
    <w:rsid w:val="00692709"/>
    <w:rsid w:val="0069461A"/>
    <w:rsid w:val="006A64FD"/>
    <w:rsid w:val="006A768F"/>
    <w:rsid w:val="006B7283"/>
    <w:rsid w:val="006C2C19"/>
    <w:rsid w:val="006C5C7C"/>
    <w:rsid w:val="006D0EE6"/>
    <w:rsid w:val="006F4FF2"/>
    <w:rsid w:val="006F5F51"/>
    <w:rsid w:val="006F6AD1"/>
    <w:rsid w:val="006F6D88"/>
    <w:rsid w:val="006F7DCB"/>
    <w:rsid w:val="007409BD"/>
    <w:rsid w:val="007678E6"/>
    <w:rsid w:val="0077034E"/>
    <w:rsid w:val="00784701"/>
    <w:rsid w:val="007A3F7A"/>
    <w:rsid w:val="007B74AD"/>
    <w:rsid w:val="007D0458"/>
    <w:rsid w:val="007D7275"/>
    <w:rsid w:val="007E1389"/>
    <w:rsid w:val="007E41A2"/>
    <w:rsid w:val="007E770C"/>
    <w:rsid w:val="00823690"/>
    <w:rsid w:val="00833F7E"/>
    <w:rsid w:val="00835857"/>
    <w:rsid w:val="00877656"/>
    <w:rsid w:val="00892FEA"/>
    <w:rsid w:val="0089664B"/>
    <w:rsid w:val="008979F5"/>
    <w:rsid w:val="008C20C9"/>
    <w:rsid w:val="008C5E29"/>
    <w:rsid w:val="008C66E3"/>
    <w:rsid w:val="008E1684"/>
    <w:rsid w:val="008E3594"/>
    <w:rsid w:val="008E7CD6"/>
    <w:rsid w:val="008E7FB6"/>
    <w:rsid w:val="00901261"/>
    <w:rsid w:val="009045CB"/>
    <w:rsid w:val="0090555C"/>
    <w:rsid w:val="00921805"/>
    <w:rsid w:val="0092461B"/>
    <w:rsid w:val="0092491E"/>
    <w:rsid w:val="0094607E"/>
    <w:rsid w:val="00946617"/>
    <w:rsid w:val="00970F97"/>
    <w:rsid w:val="00974665"/>
    <w:rsid w:val="0098779E"/>
    <w:rsid w:val="009923BA"/>
    <w:rsid w:val="009A732F"/>
    <w:rsid w:val="009B150D"/>
    <w:rsid w:val="009C69B4"/>
    <w:rsid w:val="009D1047"/>
    <w:rsid w:val="009D1964"/>
    <w:rsid w:val="009E2812"/>
    <w:rsid w:val="009E3487"/>
    <w:rsid w:val="009E562D"/>
    <w:rsid w:val="009F1E3E"/>
    <w:rsid w:val="00A00A5C"/>
    <w:rsid w:val="00A105DD"/>
    <w:rsid w:val="00A124D1"/>
    <w:rsid w:val="00A1412F"/>
    <w:rsid w:val="00A15FD3"/>
    <w:rsid w:val="00A253EE"/>
    <w:rsid w:val="00A45BD5"/>
    <w:rsid w:val="00A7457E"/>
    <w:rsid w:val="00A816E1"/>
    <w:rsid w:val="00A82A2B"/>
    <w:rsid w:val="00A838D3"/>
    <w:rsid w:val="00A95E25"/>
    <w:rsid w:val="00A97C77"/>
    <w:rsid w:val="00AA0466"/>
    <w:rsid w:val="00AB4B77"/>
    <w:rsid w:val="00AB6DB9"/>
    <w:rsid w:val="00AC1E74"/>
    <w:rsid w:val="00AD557C"/>
    <w:rsid w:val="00AD6E02"/>
    <w:rsid w:val="00AE27B9"/>
    <w:rsid w:val="00AF6FF7"/>
    <w:rsid w:val="00B05862"/>
    <w:rsid w:val="00B20D18"/>
    <w:rsid w:val="00B367A1"/>
    <w:rsid w:val="00B64554"/>
    <w:rsid w:val="00B70559"/>
    <w:rsid w:val="00B70C2C"/>
    <w:rsid w:val="00B742D9"/>
    <w:rsid w:val="00BB0293"/>
    <w:rsid w:val="00BC2C9B"/>
    <w:rsid w:val="00BE46D4"/>
    <w:rsid w:val="00BF2D27"/>
    <w:rsid w:val="00BF5424"/>
    <w:rsid w:val="00BF6D7A"/>
    <w:rsid w:val="00C040C7"/>
    <w:rsid w:val="00C05969"/>
    <w:rsid w:val="00C0708B"/>
    <w:rsid w:val="00C1253F"/>
    <w:rsid w:val="00C13E55"/>
    <w:rsid w:val="00C147AF"/>
    <w:rsid w:val="00C152FB"/>
    <w:rsid w:val="00C17259"/>
    <w:rsid w:val="00C2736E"/>
    <w:rsid w:val="00C426BF"/>
    <w:rsid w:val="00C438EB"/>
    <w:rsid w:val="00C51808"/>
    <w:rsid w:val="00C6532F"/>
    <w:rsid w:val="00C75575"/>
    <w:rsid w:val="00C83EB5"/>
    <w:rsid w:val="00CA2C1B"/>
    <w:rsid w:val="00CC307D"/>
    <w:rsid w:val="00CD0C20"/>
    <w:rsid w:val="00CD38B2"/>
    <w:rsid w:val="00CF57AB"/>
    <w:rsid w:val="00CF61FD"/>
    <w:rsid w:val="00D06880"/>
    <w:rsid w:val="00D22AC1"/>
    <w:rsid w:val="00D2376E"/>
    <w:rsid w:val="00D323B9"/>
    <w:rsid w:val="00D330CB"/>
    <w:rsid w:val="00D336EE"/>
    <w:rsid w:val="00D3495F"/>
    <w:rsid w:val="00D512FD"/>
    <w:rsid w:val="00D70D22"/>
    <w:rsid w:val="00D726C2"/>
    <w:rsid w:val="00D77EB9"/>
    <w:rsid w:val="00D91CDE"/>
    <w:rsid w:val="00D95963"/>
    <w:rsid w:val="00DA5E47"/>
    <w:rsid w:val="00DE7C68"/>
    <w:rsid w:val="00DF3CAE"/>
    <w:rsid w:val="00DF5954"/>
    <w:rsid w:val="00E003B4"/>
    <w:rsid w:val="00E04B41"/>
    <w:rsid w:val="00E32654"/>
    <w:rsid w:val="00E50D0B"/>
    <w:rsid w:val="00E54061"/>
    <w:rsid w:val="00E5477E"/>
    <w:rsid w:val="00E65B78"/>
    <w:rsid w:val="00E840FA"/>
    <w:rsid w:val="00EA27DA"/>
    <w:rsid w:val="00ED432E"/>
    <w:rsid w:val="00EF2D76"/>
    <w:rsid w:val="00EF47C6"/>
    <w:rsid w:val="00F0488A"/>
    <w:rsid w:val="00F05506"/>
    <w:rsid w:val="00F13795"/>
    <w:rsid w:val="00F350F2"/>
    <w:rsid w:val="00F45A3F"/>
    <w:rsid w:val="00F522F8"/>
    <w:rsid w:val="00F52E2F"/>
    <w:rsid w:val="00F61147"/>
    <w:rsid w:val="00F670C2"/>
    <w:rsid w:val="00F717F8"/>
    <w:rsid w:val="00F95A2B"/>
    <w:rsid w:val="00F97A3B"/>
    <w:rsid w:val="00FA640B"/>
    <w:rsid w:val="00FB15CD"/>
    <w:rsid w:val="00FC06CC"/>
    <w:rsid w:val="00FC26A7"/>
    <w:rsid w:val="00FC4548"/>
    <w:rsid w:val="00FD2390"/>
    <w:rsid w:val="00FE3C08"/>
    <w:rsid w:val="044E5880"/>
    <w:rsid w:val="04D2091B"/>
    <w:rsid w:val="04FA2D68"/>
    <w:rsid w:val="05E27A84"/>
    <w:rsid w:val="08850B9A"/>
    <w:rsid w:val="0E1C78AB"/>
    <w:rsid w:val="0ED32660"/>
    <w:rsid w:val="105B26B6"/>
    <w:rsid w:val="12C31FB6"/>
    <w:rsid w:val="12E111EC"/>
    <w:rsid w:val="166D339A"/>
    <w:rsid w:val="1E4E1D03"/>
    <w:rsid w:val="25FE09C1"/>
    <w:rsid w:val="26E03714"/>
    <w:rsid w:val="26FE003E"/>
    <w:rsid w:val="288534A6"/>
    <w:rsid w:val="2A07580D"/>
    <w:rsid w:val="2F7401D4"/>
    <w:rsid w:val="357D4824"/>
    <w:rsid w:val="36F669D2"/>
    <w:rsid w:val="39CC6E47"/>
    <w:rsid w:val="3EC655FA"/>
    <w:rsid w:val="40A25522"/>
    <w:rsid w:val="455362C8"/>
    <w:rsid w:val="470F2C1B"/>
    <w:rsid w:val="4E994025"/>
    <w:rsid w:val="57C05563"/>
    <w:rsid w:val="58FB7C62"/>
    <w:rsid w:val="5A6951F3"/>
    <w:rsid w:val="5CAC7619"/>
    <w:rsid w:val="5F312DE1"/>
    <w:rsid w:val="64030466"/>
    <w:rsid w:val="649B069F"/>
    <w:rsid w:val="658A5BCB"/>
    <w:rsid w:val="65EA0EBD"/>
    <w:rsid w:val="69FD3262"/>
    <w:rsid w:val="6B573AF3"/>
    <w:rsid w:val="6D3671B7"/>
    <w:rsid w:val="71CF61D3"/>
    <w:rsid w:val="73FE47A6"/>
    <w:rsid w:val="76571102"/>
    <w:rsid w:val="782E060D"/>
    <w:rsid w:val="796400CB"/>
    <w:rsid w:val="7DC66335"/>
    <w:rsid w:val="7E1F22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30"/>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31"/>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32"/>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33"/>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3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9"/>
    <w:unhideWhenUsed/>
    <w:qFormat/>
    <w:uiPriority w:val="99"/>
    <w:pPr>
      <w:spacing w:after="0" w:line="240" w:lineRule="auto"/>
    </w:pPr>
    <w:rPr>
      <w:sz w:val="21"/>
      <w:szCs w:val="22"/>
    </w:rPr>
  </w:style>
  <w:style w:type="paragraph" w:styleId="12">
    <w:name w:val="Body Text Indent"/>
    <w:basedOn w:val="1"/>
    <w:link w:val="54"/>
    <w:semiHidden/>
    <w:unhideWhenUsed/>
    <w:qFormat/>
    <w:uiPriority w:val="99"/>
    <w:pPr>
      <w:spacing w:after="120"/>
      <w:ind w:left="420" w:leftChars="200"/>
    </w:pPr>
  </w:style>
  <w:style w:type="paragraph" w:styleId="13">
    <w:name w:val="footer"/>
    <w:basedOn w:val="1"/>
    <w:link w:val="47"/>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46"/>
    <w:unhideWhenUsed/>
    <w:qFormat/>
    <w:uiPriority w:val="99"/>
    <w:pPr>
      <w:tabs>
        <w:tab w:val="center" w:pos="4153"/>
        <w:tab w:val="right" w:pos="8306"/>
      </w:tabs>
      <w:snapToGrid w:val="0"/>
      <w:spacing w:line="240" w:lineRule="auto"/>
      <w:jc w:val="center"/>
    </w:pPr>
    <w:rPr>
      <w:sz w:val="18"/>
      <w:szCs w:val="18"/>
    </w:rPr>
  </w:style>
  <w:style w:type="paragraph" w:styleId="15">
    <w:name w:val="Subtitle"/>
    <w:basedOn w:val="1"/>
    <w:next w:val="1"/>
    <w:link w:val="3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footnote text"/>
    <w:basedOn w:val="1"/>
    <w:semiHidden/>
    <w:unhideWhenUsed/>
    <w:qFormat/>
    <w:uiPriority w:val="99"/>
    <w:pPr>
      <w:snapToGrid w:val="0"/>
    </w:pPr>
    <w:rPr>
      <w:sz w:val="18"/>
    </w:rPr>
  </w:style>
  <w:style w:type="paragraph" w:styleId="17">
    <w:name w:val="Normal (Web)"/>
    <w:basedOn w:val="1"/>
    <w:qFormat/>
    <w:uiPriority w:val="99"/>
    <w:pPr>
      <w:spacing w:beforeAutospacing="1" w:after="0" w:afterAutospacing="1" w:line="240" w:lineRule="auto"/>
    </w:pPr>
    <w:rPr>
      <w:rFonts w:cs="Times New Roman"/>
      <w:kern w:val="0"/>
      <w:sz w:val="24"/>
      <w14:ligatures w14:val="none"/>
    </w:rPr>
  </w:style>
  <w:style w:type="paragraph" w:styleId="18">
    <w:name w:val="Title"/>
    <w:basedOn w:val="1"/>
    <w:next w:val="1"/>
    <w:link w:val="3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9">
    <w:name w:val="annotation subject"/>
    <w:basedOn w:val="11"/>
    <w:next w:val="11"/>
    <w:link w:val="50"/>
    <w:semiHidden/>
    <w:unhideWhenUsed/>
    <w:qFormat/>
    <w:uiPriority w:val="99"/>
    <w:pPr>
      <w:spacing w:after="160" w:line="278" w:lineRule="auto"/>
    </w:pPr>
    <w:rPr>
      <w:b/>
      <w:bCs/>
      <w:sz w:val="22"/>
      <w:szCs w:val="24"/>
    </w:rPr>
  </w:style>
  <w:style w:type="paragraph" w:styleId="20">
    <w:name w:val="Body Text First Indent 2"/>
    <w:basedOn w:val="12"/>
    <w:link w:val="55"/>
    <w:semiHidden/>
    <w:unhideWhenUsed/>
    <w:qFormat/>
    <w:uiPriority w:val="99"/>
    <w:pPr>
      <w:ind w:firstLine="420" w:firstLineChars="200"/>
    </w:pPr>
  </w:style>
  <w:style w:type="table" w:styleId="22">
    <w:name w:val="Table Grid"/>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bCs/>
    </w:rPr>
  </w:style>
  <w:style w:type="character" w:styleId="25">
    <w:name w:val="Hyperlink"/>
    <w:basedOn w:val="23"/>
    <w:unhideWhenUsed/>
    <w:qFormat/>
    <w:uiPriority w:val="99"/>
    <w:rPr>
      <w:color w:val="0000FF"/>
      <w:u w:val="single"/>
    </w:rPr>
  </w:style>
  <w:style w:type="character" w:styleId="26">
    <w:name w:val="annotation reference"/>
    <w:basedOn w:val="23"/>
    <w:semiHidden/>
    <w:unhideWhenUsed/>
    <w:qFormat/>
    <w:uiPriority w:val="99"/>
    <w:rPr>
      <w:sz w:val="21"/>
      <w:szCs w:val="21"/>
    </w:rPr>
  </w:style>
  <w:style w:type="character" w:styleId="27">
    <w:name w:val="footnote reference"/>
    <w:basedOn w:val="23"/>
    <w:semiHidden/>
    <w:unhideWhenUsed/>
    <w:qFormat/>
    <w:uiPriority w:val="99"/>
    <w:rPr>
      <w:vertAlign w:val="superscript"/>
    </w:rPr>
  </w:style>
  <w:style w:type="character" w:customStyle="1" w:styleId="28">
    <w:name w:val="标题 1 字符"/>
    <w:basedOn w:val="23"/>
    <w:link w:val="2"/>
    <w:qFormat/>
    <w:uiPriority w:val="9"/>
    <w:rPr>
      <w:rFonts w:asciiTheme="majorHAnsi" w:hAnsiTheme="majorHAnsi" w:eastAsiaTheme="majorEastAsia" w:cstheme="majorBidi"/>
      <w:color w:val="2F5597" w:themeColor="accent1" w:themeShade="BF"/>
      <w:sz w:val="48"/>
      <w:szCs w:val="48"/>
    </w:rPr>
  </w:style>
  <w:style w:type="character" w:customStyle="1" w:styleId="29">
    <w:name w:val="标题 2 字符"/>
    <w:basedOn w:val="23"/>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30">
    <w:name w:val="标题 3 字符"/>
    <w:basedOn w:val="23"/>
    <w:link w:val="4"/>
    <w:qFormat/>
    <w:uiPriority w:val="9"/>
    <w:rPr>
      <w:rFonts w:asciiTheme="majorHAnsi" w:hAnsiTheme="majorHAnsi" w:eastAsiaTheme="majorEastAsia" w:cstheme="majorBidi"/>
      <w:color w:val="2F5597" w:themeColor="accent1" w:themeShade="BF"/>
      <w:sz w:val="32"/>
      <w:szCs w:val="32"/>
    </w:rPr>
  </w:style>
  <w:style w:type="character" w:customStyle="1" w:styleId="31">
    <w:name w:val="标题 4 字符"/>
    <w:basedOn w:val="23"/>
    <w:link w:val="5"/>
    <w:qFormat/>
    <w:uiPriority w:val="9"/>
    <w:rPr>
      <w:rFonts w:cstheme="majorBidi"/>
      <w:color w:val="2F5597" w:themeColor="accent1" w:themeShade="BF"/>
      <w:sz w:val="28"/>
      <w:szCs w:val="28"/>
    </w:rPr>
  </w:style>
  <w:style w:type="character" w:customStyle="1" w:styleId="32">
    <w:name w:val="标题 5 字符"/>
    <w:basedOn w:val="23"/>
    <w:link w:val="6"/>
    <w:semiHidden/>
    <w:qFormat/>
    <w:uiPriority w:val="9"/>
    <w:rPr>
      <w:rFonts w:cstheme="majorBidi"/>
      <w:color w:val="2F5597" w:themeColor="accent1" w:themeShade="BF"/>
      <w:sz w:val="24"/>
    </w:rPr>
  </w:style>
  <w:style w:type="character" w:customStyle="1" w:styleId="33">
    <w:name w:val="标题 6 字符"/>
    <w:basedOn w:val="23"/>
    <w:link w:val="7"/>
    <w:semiHidden/>
    <w:qFormat/>
    <w:uiPriority w:val="9"/>
    <w:rPr>
      <w:rFonts w:cstheme="majorBidi"/>
      <w:b/>
      <w:bCs/>
      <w:color w:val="2F5597" w:themeColor="accent1" w:themeShade="BF"/>
    </w:rPr>
  </w:style>
  <w:style w:type="character" w:customStyle="1" w:styleId="34">
    <w:name w:val="标题 7 字符"/>
    <w:basedOn w:val="23"/>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5">
    <w:name w:val="标题 8 字符"/>
    <w:basedOn w:val="23"/>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6">
    <w:name w:val="标题 9 字符"/>
    <w:basedOn w:val="23"/>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7">
    <w:name w:val="标题 字符"/>
    <w:basedOn w:val="23"/>
    <w:link w:val="18"/>
    <w:qFormat/>
    <w:uiPriority w:val="10"/>
    <w:rPr>
      <w:rFonts w:asciiTheme="majorHAnsi" w:hAnsiTheme="majorHAnsi" w:eastAsiaTheme="majorEastAsia" w:cstheme="majorBidi"/>
      <w:spacing w:val="-10"/>
      <w:kern w:val="28"/>
      <w:sz w:val="56"/>
      <w:szCs w:val="56"/>
    </w:rPr>
  </w:style>
  <w:style w:type="character" w:customStyle="1" w:styleId="38">
    <w:name w:val="副标题 字符"/>
    <w:basedOn w:val="23"/>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9">
    <w:name w:val="Quote"/>
    <w:basedOn w:val="1"/>
    <w:next w:val="1"/>
    <w:link w:val="4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0">
    <w:name w:val="引用 字符"/>
    <w:basedOn w:val="23"/>
    <w:link w:val="39"/>
    <w:qFormat/>
    <w:uiPriority w:val="29"/>
    <w:rPr>
      <w:i/>
      <w:iCs/>
      <w:color w:val="404040" w:themeColor="text1" w:themeTint="BF"/>
      <w14:textFill>
        <w14:solidFill>
          <w14:schemeClr w14:val="tx1">
            <w14:lumMod w14:val="75000"/>
            <w14:lumOff w14:val="25000"/>
          </w14:schemeClr>
        </w14:solidFill>
      </w14:textFill>
    </w:rPr>
  </w:style>
  <w:style w:type="paragraph" w:styleId="41">
    <w:name w:val="List Paragraph"/>
    <w:basedOn w:val="1"/>
    <w:qFormat/>
    <w:uiPriority w:val="34"/>
    <w:pPr>
      <w:ind w:left="720"/>
      <w:contextualSpacing/>
    </w:pPr>
  </w:style>
  <w:style w:type="character" w:customStyle="1" w:styleId="42">
    <w:name w:val="明显强调1"/>
    <w:basedOn w:val="23"/>
    <w:qFormat/>
    <w:uiPriority w:val="21"/>
    <w:rPr>
      <w:i/>
      <w:iCs/>
      <w:color w:val="2F5597" w:themeColor="accent1" w:themeShade="BF"/>
    </w:rPr>
  </w:style>
  <w:style w:type="paragraph" w:styleId="43">
    <w:name w:val="Intense Quote"/>
    <w:basedOn w:val="1"/>
    <w:next w:val="1"/>
    <w:link w:val="4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4">
    <w:name w:val="明显引用 字符"/>
    <w:basedOn w:val="23"/>
    <w:link w:val="43"/>
    <w:qFormat/>
    <w:uiPriority w:val="30"/>
    <w:rPr>
      <w:i/>
      <w:iCs/>
      <w:color w:val="2F5597" w:themeColor="accent1" w:themeShade="BF"/>
    </w:rPr>
  </w:style>
  <w:style w:type="character" w:customStyle="1" w:styleId="45">
    <w:name w:val="明显参考1"/>
    <w:basedOn w:val="23"/>
    <w:qFormat/>
    <w:uiPriority w:val="32"/>
    <w:rPr>
      <w:b/>
      <w:bCs/>
      <w:smallCaps/>
      <w:color w:val="2F5597" w:themeColor="accent1" w:themeShade="BF"/>
      <w:spacing w:val="5"/>
    </w:rPr>
  </w:style>
  <w:style w:type="character" w:customStyle="1" w:styleId="46">
    <w:name w:val="页眉 字符"/>
    <w:basedOn w:val="23"/>
    <w:link w:val="14"/>
    <w:qFormat/>
    <w:uiPriority w:val="99"/>
    <w:rPr>
      <w:sz w:val="18"/>
      <w:szCs w:val="18"/>
    </w:rPr>
  </w:style>
  <w:style w:type="character" w:customStyle="1" w:styleId="47">
    <w:name w:val="页脚 字符"/>
    <w:basedOn w:val="23"/>
    <w:link w:val="13"/>
    <w:qFormat/>
    <w:uiPriority w:val="99"/>
    <w:rPr>
      <w:sz w:val="18"/>
      <w:szCs w:val="18"/>
    </w:rPr>
  </w:style>
  <w:style w:type="paragraph" w:customStyle="1" w:styleId="48">
    <w:name w:val="ds-markdown-paragraph"/>
    <w:basedOn w:val="1"/>
    <w:qFormat/>
    <w:uiPriority w:val="0"/>
    <w:pPr>
      <w:widowControl/>
      <w:spacing w:before="100" w:beforeAutospacing="1" w:after="100" w:afterAutospacing="1" w:line="240" w:lineRule="auto"/>
    </w:pPr>
    <w:rPr>
      <w:rFonts w:ascii="宋体" w:hAnsi="宋体" w:eastAsia="宋体" w:cs="宋体"/>
      <w:kern w:val="0"/>
      <w:sz w:val="24"/>
      <w14:ligatures w14:val="none"/>
    </w:rPr>
  </w:style>
  <w:style w:type="character" w:customStyle="1" w:styleId="49">
    <w:name w:val="批注文字 字符"/>
    <w:basedOn w:val="23"/>
    <w:link w:val="11"/>
    <w:qFormat/>
    <w:uiPriority w:val="99"/>
    <w:rPr>
      <w:sz w:val="21"/>
      <w:szCs w:val="22"/>
    </w:rPr>
  </w:style>
  <w:style w:type="character" w:customStyle="1" w:styleId="50">
    <w:name w:val="批注主题 字符"/>
    <w:basedOn w:val="49"/>
    <w:link w:val="19"/>
    <w:semiHidden/>
    <w:qFormat/>
    <w:uiPriority w:val="99"/>
    <w:rPr>
      <w:b/>
      <w:bCs/>
      <w:sz w:val="21"/>
      <w:szCs w:val="22"/>
    </w:rPr>
  </w:style>
  <w:style w:type="character" w:customStyle="1" w:styleId="51">
    <w:name w:val="cf01"/>
    <w:basedOn w:val="23"/>
    <w:qFormat/>
    <w:uiPriority w:val="0"/>
    <w:rPr>
      <w:rFonts w:hint="eastAsia" w:ascii="Microsoft YaHei UI" w:hAnsi="Microsoft YaHei UI" w:eastAsia="Microsoft YaHei UI"/>
      <w:sz w:val="18"/>
      <w:szCs w:val="18"/>
    </w:rPr>
  </w:style>
  <w:style w:type="paragraph" w:customStyle="1" w:styleId="52">
    <w:name w:val="be358f00-9758-446e-aec5-cde8345aeef3"/>
    <w:basedOn w:val="20"/>
    <w:link w:val="53"/>
    <w:qFormat/>
    <w:uiPriority w:val="0"/>
    <w:pPr>
      <w:adjustRightInd w:val="0"/>
      <w:spacing w:after="0" w:line="288" w:lineRule="auto"/>
      <w:ind w:left="0" w:firstLine="440"/>
    </w:pPr>
    <w:rPr>
      <w:rFonts w:ascii="微软雅黑" w:hAnsi="微软雅黑" w:eastAsia="微软雅黑" w:cs="Times New Roman"/>
      <w:color w:val="000000"/>
      <w:shd w:val="clear" w:color="auto" w:fill="FFFFFF"/>
    </w:rPr>
  </w:style>
  <w:style w:type="character" w:customStyle="1" w:styleId="53">
    <w:name w:val="be358f00-9758-446e-aec5-cde8345aeef3 字符"/>
    <w:basedOn w:val="23"/>
    <w:link w:val="52"/>
    <w:qFormat/>
    <w:uiPriority w:val="0"/>
    <w:rPr>
      <w:rFonts w:ascii="微软雅黑" w:hAnsi="微软雅黑" w:eastAsia="微软雅黑" w:cs="Times New Roman"/>
      <w:color w:val="000000"/>
    </w:rPr>
  </w:style>
  <w:style w:type="character" w:customStyle="1" w:styleId="54">
    <w:name w:val="正文文本缩进 字符"/>
    <w:basedOn w:val="23"/>
    <w:link w:val="12"/>
    <w:semiHidden/>
    <w:qFormat/>
    <w:uiPriority w:val="99"/>
  </w:style>
  <w:style w:type="character" w:customStyle="1" w:styleId="55">
    <w:name w:val="正文文本首行缩进 2 字符"/>
    <w:basedOn w:val="54"/>
    <w:link w:val="20"/>
    <w:semiHidden/>
    <w:qFormat/>
    <w:uiPriority w:val="99"/>
  </w:style>
  <w:style w:type="paragraph" w:customStyle="1" w:styleId="56">
    <w:name w:val="pf0"/>
    <w:basedOn w:val="1"/>
    <w:qFormat/>
    <w:uiPriority w:val="0"/>
    <w:pPr>
      <w:widowControl/>
      <w:spacing w:before="100" w:beforeAutospacing="1" w:after="100" w:afterAutospacing="1" w:line="240" w:lineRule="auto"/>
    </w:pPr>
    <w:rPr>
      <w:rFonts w:ascii="宋体" w:hAnsi="宋体" w:eastAsia="宋体" w:cs="宋体"/>
      <w:kern w:val="0"/>
      <w:sz w:val="24"/>
      <w14:ligatures w14:val="none"/>
    </w:rPr>
  </w:style>
  <w:style w:type="character" w:customStyle="1" w:styleId="57">
    <w:name w:val="cf11"/>
    <w:basedOn w:val="23"/>
    <w:qFormat/>
    <w:uiPriority w:val="0"/>
    <w:rPr>
      <w:rFonts w:hint="eastAsia" w:ascii="Microsoft YaHei UI" w:hAnsi="Microsoft YaHei UI" w:eastAsia="Microsoft YaHei UI"/>
      <w:sz w:val="18"/>
      <w:szCs w:val="18"/>
    </w:rPr>
  </w:style>
  <w:style w:type="table" w:customStyle="1" w:styleId="58">
    <w:name w:val="无格式表格 11"/>
    <w:basedOn w:val="21"/>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CFD91-A19D-459E-B8AF-0DF29D7F7906}">
  <ds:schemaRefs/>
</ds:datastoreItem>
</file>

<file path=docProps/app.xml><?xml version="1.0" encoding="utf-8"?>
<Properties xmlns="http://schemas.openxmlformats.org/officeDocument/2006/extended-properties" xmlns:vt="http://schemas.openxmlformats.org/officeDocument/2006/docPropsVTypes">
  <Template>Normal</Template>
  <Pages>9</Pages>
  <Words>3344</Words>
  <Characters>3556</Characters>
  <Lines>212</Lines>
  <Paragraphs>151</Paragraphs>
  <TotalTime>5</TotalTime>
  <ScaleCrop>false</ScaleCrop>
  <LinksUpToDate>false</LinksUpToDate>
  <CharactersWithSpaces>3588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2026-03-09T13:45:00Z</dcterms:created>
  <dc:creator>Ynn</dc:creator>
  <cp:lastModifiedBy>孟莎</cp:lastModifiedBy>
  <dcterms:modified xsi:type="dcterms:W3CDTF">2026-05-14T05:18:47Z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eyJoZGlkIjoiOTQxMWY2MTIyN2JkZTBkMmQzZTU3NjBmZjVjNTllMzciLCJ1c2VySWQiOiIxNjA4OTE1ODE3In0=</vt:lpwstr>
  </property>
  <property fmtid="{D5CDD505-2E9C-101B-9397-08002B2CF9AE}" pid="3" name="KSOProductBuildVer">
    <vt:lpwstr>2052-12.1.0.23542</vt:lpwstr>
  </property>
  <property fmtid="{D5CDD505-2E9C-101B-9397-08002B2CF9AE}" pid="4" name="ICV">
    <vt:lpwstr>70D118356E8B46589726C24A84B27C74_13</vt:lpwstr>
  </property>
</Properties>
</file>