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2491F" w14:textId="77777777" w:rsidR="00741F9C" w:rsidRDefault="00000000">
      <w:pPr>
        <w:widowControl/>
        <w:jc w:val="center"/>
        <w:rPr>
          <w:rFonts w:ascii="黑体" w:eastAsia="黑体" w:hAnsi="黑体" w:cs="黑体" w:hint="eastAsia"/>
          <w:color w:val="231F20"/>
          <w:kern w:val="0"/>
          <w:sz w:val="32"/>
          <w:szCs w:val="32"/>
          <w:lang w:bidi="ar"/>
        </w:rPr>
      </w:pPr>
      <w:r>
        <w:rPr>
          <w:rFonts w:ascii="黑体" w:eastAsia="黑体" w:hAnsi="黑体" w:cs="黑体" w:hint="eastAsia"/>
          <w:color w:val="0F1115"/>
          <w:kern w:val="0"/>
          <w:sz w:val="32"/>
          <w:szCs w:val="32"/>
          <w:shd w:val="clear" w:color="auto" w:fill="FFFFFF"/>
          <w:lang w:bidi="ar"/>
        </w:rPr>
        <w:t>核心素养视域下高中语文单元作业设计的实践策略</w:t>
      </w:r>
    </w:p>
    <w:p w14:paraId="1233D821" w14:textId="77777777" w:rsidR="00741F9C" w:rsidRDefault="00000000">
      <w:pPr>
        <w:jc w:val="center"/>
        <w:rPr>
          <w:rFonts w:ascii="宋体" w:eastAsia="宋体" w:hAnsi="宋体" w:cs="方正书宋简体" w:hint="eastAsia"/>
          <w:color w:val="231F20"/>
          <w:kern w:val="0"/>
          <w:sz w:val="28"/>
          <w:szCs w:val="28"/>
          <w:lang w:bidi="ar"/>
        </w:rPr>
      </w:pPr>
      <w:r>
        <w:rPr>
          <w:rFonts w:ascii="宋体" w:eastAsia="宋体" w:hAnsi="宋体" w:cs="方正书宋简体" w:hint="eastAsia"/>
          <w:color w:val="231F20"/>
          <w:kern w:val="0"/>
          <w:sz w:val="28"/>
          <w:szCs w:val="28"/>
          <w:lang w:bidi="ar"/>
        </w:rPr>
        <w:t>——以选择性必修上册第二单元作业设计为例</w:t>
      </w:r>
    </w:p>
    <w:p w14:paraId="53DEE2F8" w14:textId="77777777" w:rsidR="00784815" w:rsidRDefault="00784815" w:rsidP="00784815">
      <w:pPr>
        <w:widowControl/>
        <w:spacing w:line="360" w:lineRule="auto"/>
        <w:jc w:val="center"/>
        <w:rPr>
          <w:rFonts w:ascii="宋体" w:eastAsia="宋体" w:hAnsi="宋体" w:cs="方正书宋简体"/>
          <w:color w:val="231F20"/>
          <w:kern w:val="0"/>
          <w:sz w:val="24"/>
          <w:szCs w:val="24"/>
          <w:lang w:bidi="ar"/>
        </w:rPr>
      </w:pPr>
    </w:p>
    <w:p w14:paraId="664BED42" w14:textId="6B87CD61" w:rsidR="00741F9C" w:rsidRDefault="00000000" w:rsidP="00784815">
      <w:pPr>
        <w:widowControl/>
        <w:spacing w:line="360" w:lineRule="auto"/>
        <w:jc w:val="center"/>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上海市中国中学  华伊悦</w:t>
      </w:r>
    </w:p>
    <w:p w14:paraId="2767F787" w14:textId="77777777" w:rsidR="00741F9C" w:rsidRDefault="00741F9C">
      <w:pPr>
        <w:widowControl/>
        <w:spacing w:line="360" w:lineRule="auto"/>
        <w:jc w:val="left"/>
        <w:rPr>
          <w:rFonts w:ascii="宋体" w:eastAsia="宋体" w:hAnsi="宋体" w:cs="方正书宋简体" w:hint="eastAsia"/>
          <w:b/>
          <w:bCs/>
          <w:color w:val="231F20"/>
          <w:kern w:val="0"/>
          <w:sz w:val="24"/>
          <w:szCs w:val="24"/>
          <w:lang w:bidi="ar"/>
        </w:rPr>
      </w:pPr>
    </w:p>
    <w:p w14:paraId="4CBDE940" w14:textId="77777777" w:rsidR="00741F9C" w:rsidRDefault="00000000">
      <w:pPr>
        <w:widowControl/>
        <w:spacing w:line="360" w:lineRule="auto"/>
        <w:jc w:val="left"/>
        <w:rPr>
          <w:rFonts w:ascii="宋体" w:eastAsia="宋体" w:hAnsi="宋体" w:cs="方正书宋简体" w:hint="eastAsia"/>
          <w:color w:val="231F20"/>
          <w:kern w:val="0"/>
          <w:sz w:val="24"/>
          <w:szCs w:val="24"/>
          <w:lang w:bidi="ar"/>
        </w:rPr>
      </w:pPr>
      <w:r>
        <w:rPr>
          <w:rFonts w:ascii="宋体" w:eastAsia="宋体" w:hAnsi="宋体" w:cs="方正书宋简体"/>
          <w:b/>
          <w:bCs/>
          <w:color w:val="231F20"/>
          <w:kern w:val="0"/>
          <w:sz w:val="24"/>
          <w:szCs w:val="24"/>
          <w:lang w:bidi="ar"/>
        </w:rPr>
        <w:t>摘要： </w:t>
      </w:r>
      <w:r>
        <w:rPr>
          <w:rFonts w:ascii="宋体" w:eastAsia="宋体" w:hAnsi="宋体" w:cs="方正书宋简体"/>
          <w:color w:val="231F20"/>
          <w:kern w:val="0"/>
          <w:sz w:val="24"/>
          <w:szCs w:val="24"/>
          <w:lang w:bidi="ar"/>
        </w:rPr>
        <w:t>核心素养导向的语文教学要求作业设计从知识训练转向素养整合。本文以统编高中语文选择性必修上册第二单元为例，从语言建构、思维发展、审美鉴赏、文化传承四个维度，提出四项作业设计策略</w:t>
      </w:r>
      <w:r>
        <w:rPr>
          <w:rFonts w:ascii="宋体" w:eastAsia="宋体" w:hAnsi="宋体" w:cs="方正书宋简体" w:hint="eastAsia"/>
          <w:color w:val="231F20"/>
          <w:kern w:val="0"/>
          <w:sz w:val="24"/>
          <w:szCs w:val="24"/>
          <w:lang w:bidi="ar"/>
        </w:rPr>
        <w:t>，</w:t>
      </w:r>
      <w:r>
        <w:rPr>
          <w:rFonts w:ascii="宋体" w:eastAsia="宋体" w:hAnsi="宋体" w:cs="方正书宋简体"/>
          <w:color w:val="231F20"/>
          <w:kern w:val="0"/>
          <w:sz w:val="24"/>
          <w:szCs w:val="24"/>
          <w:lang w:bidi="ar"/>
        </w:rPr>
        <w:t>探讨如何在先秦诸子单元中通过分层、递进、反思性的作业设计实现学生素养的全面发展。研究认为，核心素养视域下的单元作业设计应注重情境性、整合性与思辨性，通过情境化、整合性、递进性的任务</w:t>
      </w:r>
      <w:proofErr w:type="gramStart"/>
      <w:r>
        <w:rPr>
          <w:rFonts w:ascii="宋体" w:eastAsia="宋体" w:hAnsi="宋体" w:cs="方正书宋简体"/>
          <w:color w:val="231F20"/>
          <w:kern w:val="0"/>
          <w:sz w:val="24"/>
          <w:szCs w:val="24"/>
          <w:lang w:bidi="ar"/>
        </w:rPr>
        <w:t>链实现</w:t>
      </w:r>
      <w:proofErr w:type="gramEnd"/>
      <w:r>
        <w:rPr>
          <w:rFonts w:ascii="宋体" w:eastAsia="宋体" w:hAnsi="宋体" w:cs="方正书宋简体"/>
          <w:color w:val="231F20"/>
          <w:kern w:val="0"/>
          <w:sz w:val="24"/>
          <w:szCs w:val="24"/>
          <w:lang w:bidi="ar"/>
        </w:rPr>
        <w:t>素养的螺旋发展。</w:t>
      </w:r>
    </w:p>
    <w:p w14:paraId="1E6A5320" w14:textId="77777777" w:rsidR="00741F9C" w:rsidRDefault="00741F9C">
      <w:pPr>
        <w:widowControl/>
        <w:spacing w:line="360" w:lineRule="auto"/>
        <w:jc w:val="left"/>
        <w:rPr>
          <w:rFonts w:ascii="宋体" w:eastAsia="宋体" w:hAnsi="宋体" w:cs="方正书宋简体" w:hint="eastAsia"/>
          <w:b/>
          <w:bCs/>
          <w:color w:val="231F20"/>
          <w:kern w:val="0"/>
          <w:sz w:val="24"/>
          <w:szCs w:val="24"/>
          <w:lang w:bidi="ar"/>
        </w:rPr>
      </w:pPr>
    </w:p>
    <w:p w14:paraId="47613ADF" w14:textId="77777777" w:rsidR="00741F9C" w:rsidRDefault="00000000">
      <w:pPr>
        <w:widowControl/>
        <w:spacing w:line="360" w:lineRule="auto"/>
        <w:jc w:val="left"/>
        <w:rPr>
          <w:rFonts w:ascii="宋体" w:eastAsia="宋体" w:hAnsi="宋体" w:cs="方正书宋简体" w:hint="eastAsia"/>
          <w:color w:val="231F20"/>
          <w:kern w:val="0"/>
          <w:sz w:val="24"/>
          <w:szCs w:val="24"/>
          <w:lang w:bidi="ar"/>
        </w:rPr>
      </w:pPr>
      <w:r>
        <w:rPr>
          <w:rFonts w:ascii="宋体" w:eastAsia="宋体" w:hAnsi="宋体" w:cs="方正书宋简体"/>
          <w:b/>
          <w:bCs/>
          <w:color w:val="231F20"/>
          <w:kern w:val="0"/>
          <w:sz w:val="24"/>
          <w:szCs w:val="24"/>
          <w:lang w:bidi="ar"/>
        </w:rPr>
        <w:t>关键词：</w:t>
      </w:r>
      <w:r>
        <w:rPr>
          <w:rFonts w:ascii="宋体" w:eastAsia="宋体" w:hAnsi="宋体" w:cs="方正书宋简体"/>
          <w:color w:val="231F20"/>
          <w:kern w:val="0"/>
          <w:sz w:val="24"/>
          <w:szCs w:val="24"/>
          <w:lang w:bidi="ar"/>
        </w:rPr>
        <w:t> 核心素养；单元作业设计；先秦诸子；高中语文；选择性必修</w:t>
      </w:r>
    </w:p>
    <w:p w14:paraId="45E32E3D" w14:textId="77777777" w:rsidR="00741F9C" w:rsidRDefault="00741F9C">
      <w:pPr>
        <w:widowControl/>
        <w:spacing w:line="360" w:lineRule="auto"/>
        <w:ind w:firstLineChars="200" w:firstLine="480"/>
        <w:jc w:val="left"/>
        <w:rPr>
          <w:rFonts w:ascii="宋体" w:eastAsia="宋体" w:hAnsi="宋体" w:cs="方正书宋简体" w:hint="eastAsia"/>
          <w:color w:val="231F20"/>
          <w:kern w:val="0"/>
          <w:sz w:val="24"/>
          <w:szCs w:val="24"/>
          <w:lang w:bidi="ar"/>
        </w:rPr>
      </w:pPr>
    </w:p>
    <w:p w14:paraId="59828F47" w14:textId="77777777" w:rsidR="00741F9C" w:rsidRDefault="00000000">
      <w:pPr>
        <w:widowControl/>
        <w:spacing w:line="360" w:lineRule="auto"/>
        <w:jc w:val="left"/>
        <w:rPr>
          <w:rFonts w:ascii="黑体" w:eastAsia="黑体" w:hAnsi="黑体" w:cs="黑体" w:hint="eastAsia"/>
          <w:color w:val="231F20"/>
          <w:kern w:val="0"/>
          <w:sz w:val="28"/>
          <w:szCs w:val="28"/>
          <w:lang w:bidi="ar"/>
        </w:rPr>
      </w:pPr>
      <w:r>
        <w:rPr>
          <w:rFonts w:ascii="黑体" w:eastAsia="黑体" w:hAnsi="黑体" w:cs="黑体" w:hint="eastAsia"/>
          <w:color w:val="231F20"/>
          <w:kern w:val="0"/>
          <w:sz w:val="28"/>
          <w:szCs w:val="28"/>
          <w:lang w:bidi="ar"/>
        </w:rPr>
        <w:t>一、引言</w:t>
      </w:r>
    </w:p>
    <w:p w14:paraId="4E1729F2"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hint="eastAsia"/>
          <w:color w:val="231F20"/>
          <w:kern w:val="0"/>
          <w:sz w:val="24"/>
          <w:szCs w:val="24"/>
          <w:lang w:bidi="ar"/>
        </w:rPr>
        <w:t>（一）现实困境：先秦诸子单元作业设计的典型问题</w:t>
      </w:r>
    </w:p>
    <w:p w14:paraId="75242FAF" w14:textId="07A6648A"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统编高中语文选择性必修上册第二单元（以下简称“本单元”）以“中华文明之光”为人文主题，选录《论语》十二章、《老子》四章、《五石之瓠》（《庄子》）、《大学之道》《人皆有不忍人之心》（《孟子》）</w:t>
      </w:r>
      <w:r w:rsidR="00784815">
        <w:rPr>
          <w:rFonts w:ascii="宋体" w:eastAsia="宋体" w:hAnsi="宋体" w:cs="方正书宋简体" w:hint="eastAsia"/>
          <w:color w:val="231F20"/>
          <w:kern w:val="0"/>
          <w:sz w:val="24"/>
          <w:szCs w:val="24"/>
          <w:lang w:bidi="ar"/>
        </w:rPr>
        <w:t>、</w:t>
      </w:r>
      <w:r>
        <w:rPr>
          <w:rFonts w:ascii="宋体" w:eastAsia="宋体" w:hAnsi="宋体" w:cs="方正书宋简体"/>
          <w:color w:val="231F20"/>
          <w:kern w:val="0"/>
          <w:sz w:val="24"/>
          <w:szCs w:val="24"/>
          <w:lang w:bidi="ar"/>
        </w:rPr>
        <w:t>《兼爱》（《墨子》）等六篇经典，涵盖儒、道、墨三家思想。然而在教学实践中，该单元的作业设计普遍存在以下结构性矛盾：</w:t>
      </w:r>
    </w:p>
    <w:p w14:paraId="3C03C770" w14:textId="1FD7DA15"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第一，重翻译、轻</w:t>
      </w:r>
      <w:r w:rsidR="00784815">
        <w:rPr>
          <w:rFonts w:ascii="宋体" w:eastAsia="宋体" w:hAnsi="宋体" w:cs="方正书宋简体" w:hint="eastAsia"/>
          <w:color w:val="231F20"/>
          <w:kern w:val="0"/>
          <w:sz w:val="24"/>
          <w:szCs w:val="24"/>
          <w:lang w:bidi="ar"/>
        </w:rPr>
        <w:t>文化</w:t>
      </w:r>
      <w:r>
        <w:rPr>
          <w:rFonts w:ascii="宋体" w:eastAsia="宋体" w:hAnsi="宋体" w:cs="方正书宋简体"/>
          <w:color w:val="231F20"/>
          <w:kern w:val="0"/>
          <w:sz w:val="24"/>
          <w:szCs w:val="24"/>
          <w:lang w:bidi="ar"/>
        </w:rPr>
        <w:t>。作业多聚焦于文言实词、虚词及特殊句式的机械训练，对“仁”“无为”“兼爱”等核心概念的深度理解缺乏有效任务支撑。第二，重记忆、轻比较。缺少引导学生辨析同一学派内部（如孔子与孟子、老子与庄子）及不同学派之间观点异同的作业设计，学生容易形成孤立、标签化的“诸子观”。第三，重接受、轻批判。作业往往将经典文本视为完美范本，未能引导学生从论证逻辑角度分析诸子论述的合理性与局限性，批判性思维培养缺位。第四，重知</w:t>
      </w:r>
      <w:r>
        <w:rPr>
          <w:rFonts w:ascii="宋体" w:eastAsia="宋体" w:hAnsi="宋体" w:cs="方正书宋简体"/>
          <w:color w:val="231F20"/>
          <w:kern w:val="0"/>
          <w:sz w:val="24"/>
          <w:szCs w:val="24"/>
          <w:lang w:bidi="ar"/>
        </w:rPr>
        <w:lastRenderedPageBreak/>
        <w:t>识、轻人格。作业未能建立经典思想与学生现实生活、修身立德之间的意义联结，文化传承沦为空洞的概念记忆。</w:t>
      </w:r>
    </w:p>
    <w:p w14:paraId="35DB469F" w14:textId="36D6263B" w:rsidR="00741F9C" w:rsidRPr="00784815"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上述问题的根源在于作业设计未能从语文学科核心素养的整合视角进行整体规划。《普通高中语文课程标准（2017年版2020年修订）》明确提出语言建构与运用、思维发展与提升、审美鉴赏与创造、文化传承与理解四个方面的核心素养，并要求“通过整体设计学习任务群加以落实”。作业作为教学过程的关键环节，亟需从“教教材”的知识本位转向“用教材教”的素养本位。</w:t>
      </w:r>
    </w:p>
    <w:p w14:paraId="5F7A776C"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（二）研究问题与定位</w:t>
      </w:r>
    </w:p>
    <w:p w14:paraId="0792CB5B"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本文聚焦以下问题：如何在先秦诸子单元中，通过整合性、情境性、思辨性的作业设计，将语言学习、思维训练、审美体验与文化传承有机统一？研究采用案例分析法，以笔者设计的《悟哲思之理，探立身之道》单元作业为分析对象，系统阐述设计理念、策略路径与实践反思，以期为传统文化类单元的作业改革提供可迁移的实践参照。</w:t>
      </w:r>
    </w:p>
    <w:p w14:paraId="770B6EE4" w14:textId="50856DAA"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需要说明的是，已有研究对单元作业设计的理论探讨日益丰富，但聚焦于先秦诸子这类思辨性传统文化单元的作业设计案例研究仍相对薄弱。本文试图在理论框架与具体策略之间建立更紧密的对话关系，避免陷入纯粹的经验描述。</w:t>
      </w:r>
    </w:p>
    <w:p w14:paraId="14E7F88A" w14:textId="29CCF07F" w:rsidR="00741F9C" w:rsidRDefault="00000000">
      <w:pPr>
        <w:widowControl/>
        <w:spacing w:line="360" w:lineRule="auto"/>
        <w:jc w:val="left"/>
        <w:rPr>
          <w:rFonts w:ascii="黑体" w:eastAsia="黑体" w:hAnsi="黑体" w:cs="黑体" w:hint="eastAsia"/>
          <w:color w:val="231F20"/>
          <w:kern w:val="0"/>
          <w:sz w:val="28"/>
          <w:szCs w:val="28"/>
          <w:lang w:bidi="ar"/>
        </w:rPr>
      </w:pPr>
      <w:r>
        <w:rPr>
          <w:rFonts w:ascii="黑体" w:eastAsia="黑体" w:hAnsi="黑体" w:cs="黑体" w:hint="eastAsia"/>
          <w:color w:val="231F20"/>
          <w:kern w:val="0"/>
          <w:sz w:val="28"/>
          <w:szCs w:val="28"/>
          <w:lang w:bidi="ar"/>
        </w:rPr>
        <w:t>二、</w:t>
      </w:r>
      <w:r>
        <w:rPr>
          <w:rFonts w:ascii="黑体" w:eastAsia="黑体" w:hAnsi="黑体" w:cs="黑体"/>
          <w:color w:val="231F20"/>
          <w:kern w:val="0"/>
          <w:sz w:val="28"/>
          <w:szCs w:val="28"/>
          <w:lang w:bidi="ar"/>
        </w:rPr>
        <w:t>核心素养视域下单元作业设计的整合逻辑</w:t>
      </w:r>
    </w:p>
    <w:p w14:paraId="2D744C5A"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（一）单元作业设计的双重属性</w:t>
      </w:r>
    </w:p>
    <w:p w14:paraId="3A83F376"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单元作业不同于课时作业的零散化与课后作业的附属化，它具有结构性与递进性双重属性。结构性指作业任务应覆盖单元学习目标的全部维度，形成“目标-任务-评价”的闭环；递进性指作业难度与认知层次应遵循“识记-理解-应用-分析-评价-创造”的认知梯度，推动学生从浅层学习走向深度学习。</w:t>
      </w:r>
    </w:p>
    <w:p w14:paraId="0B9A6FD9" w14:textId="3632F488"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在本单元中，六篇选文分别代表儒、道、墨三家不同的论说风格与思想体系。若作业设计缺乏整合视野，学生极易陷入“篇篇独立、各家分立”的碎片化认知。因此，单元作业必须承担起“穿针引线”的功能，在不同文本之间建立比较、关联与整合的通道。</w:t>
      </w:r>
    </w:p>
    <w:p w14:paraId="752579AC" w14:textId="422887B4"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（二）</w:t>
      </w:r>
      <w:r w:rsidR="00784815">
        <w:rPr>
          <w:rFonts w:ascii="黑体" w:eastAsia="黑体" w:hAnsi="黑体" w:cs="黑体" w:hint="eastAsia"/>
          <w:color w:val="231F20"/>
          <w:kern w:val="0"/>
          <w:sz w:val="24"/>
          <w:szCs w:val="24"/>
          <w:lang w:bidi="ar"/>
        </w:rPr>
        <w:t>语文</w:t>
      </w:r>
      <w:r>
        <w:rPr>
          <w:rFonts w:ascii="黑体" w:eastAsia="黑体" w:hAnsi="黑体" w:cs="黑体"/>
          <w:color w:val="231F20"/>
          <w:kern w:val="0"/>
          <w:sz w:val="24"/>
          <w:szCs w:val="24"/>
          <w:lang w:bidi="ar"/>
        </w:rPr>
        <w:t>核心素养在作业中的具体表征</w:t>
      </w:r>
    </w:p>
    <w:p w14:paraId="5058C835"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统编高中语文选择性必修上册第二单元属于“文学阅读与写作”学习任务群，进行单元设计时，首先要明确单元的人文主题“中华文明之光，传统文化之根”</w:t>
      </w:r>
      <w:r>
        <w:rPr>
          <w:rFonts w:ascii="宋体" w:eastAsia="宋体" w:hAnsi="宋体" w:cs="方正书宋简体" w:hint="eastAsia"/>
          <w:color w:val="231F20"/>
          <w:kern w:val="0"/>
          <w:sz w:val="24"/>
          <w:szCs w:val="24"/>
          <w:lang w:bidi="ar"/>
        </w:rPr>
        <w:lastRenderedPageBreak/>
        <w:t>的学习价值。作为中华传统文化的核心部分，先秦诸子的思想观念既是中华思想文化史上的一段辉煌，对于当代的青少年而言也有其非比寻常的现实意义，学生应充分领会诸子对于社会人生的洞察，思考其思想学说对自我立德树人、修身养性的意义。</w:t>
      </w:r>
      <w:r>
        <w:rPr>
          <w:rFonts w:ascii="宋体" w:eastAsia="宋体" w:hAnsi="宋体" w:cs="方正书宋简体"/>
          <w:color w:val="231F20"/>
          <w:kern w:val="0"/>
          <w:sz w:val="24"/>
          <w:szCs w:val="24"/>
          <w:lang w:bidi="ar"/>
        </w:rPr>
        <w:t>核心素养视域强调语文作业应同时承载以下四种价值：</w:t>
      </w:r>
    </w:p>
    <w:p w14:paraId="240A1A54" w14:textId="77777777" w:rsidR="00741F9C" w:rsidRDefault="00000000">
      <w:pPr>
        <w:widowControl/>
        <w:spacing w:line="360" w:lineRule="auto"/>
        <w:jc w:val="left"/>
        <w:rPr>
          <w:rFonts w:ascii="楷体" w:eastAsia="楷体" w:hAnsi="楷体" w:cs="楷体"/>
          <w:color w:val="231F20"/>
          <w:kern w:val="0"/>
          <w:sz w:val="24"/>
          <w:szCs w:val="24"/>
          <w:lang w:bidi="ar"/>
        </w:rPr>
      </w:pPr>
      <w:r>
        <w:rPr>
          <w:rFonts w:ascii="楷体" w:eastAsia="楷体" w:hAnsi="楷体" w:cs="楷体" w:hint="eastAsia"/>
          <w:color w:val="231F20"/>
          <w:kern w:val="0"/>
          <w:sz w:val="24"/>
          <w:szCs w:val="24"/>
          <w:lang w:bidi="ar"/>
        </w:rPr>
        <w:t>1、语言建构与运用</w:t>
      </w:r>
    </w:p>
    <w:p w14:paraId="1A6DD0FC"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利用工具书查阅资料，准备理解重点词句的含义，掌握重点句法、词法现象，探索文言文学习规律，增强文言语感，提高文言阅读水平。</w:t>
      </w:r>
    </w:p>
    <w:p w14:paraId="6C9349C5" w14:textId="77777777" w:rsidR="00741F9C" w:rsidRDefault="00000000">
      <w:pPr>
        <w:widowControl/>
        <w:spacing w:line="360" w:lineRule="auto"/>
        <w:jc w:val="left"/>
        <w:rPr>
          <w:rFonts w:ascii="楷体" w:eastAsia="楷体" w:hAnsi="楷体" w:cs="楷体"/>
          <w:color w:val="231F20"/>
          <w:kern w:val="0"/>
          <w:sz w:val="24"/>
          <w:szCs w:val="24"/>
          <w:lang w:bidi="ar"/>
        </w:rPr>
      </w:pPr>
      <w:r>
        <w:rPr>
          <w:rFonts w:ascii="楷体" w:eastAsia="楷体" w:hAnsi="楷体" w:cs="楷体" w:hint="eastAsia"/>
          <w:color w:val="231F20"/>
          <w:kern w:val="0"/>
          <w:sz w:val="24"/>
          <w:szCs w:val="24"/>
          <w:lang w:bidi="ar"/>
        </w:rPr>
        <w:t>2、文化传承与理解</w:t>
      </w:r>
    </w:p>
    <w:p w14:paraId="49301150" w14:textId="77777777" w:rsidR="00741F9C" w:rsidRDefault="00000000">
      <w:pPr>
        <w:widowControl/>
        <w:spacing w:line="360" w:lineRule="auto"/>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（1）通过学习本单元课文，深入了解先秦诸子百家产生的时代背景，把握儒家、道家和墨家的思想特征，理解先秦诸子原典的思想价值和人文内涵，从而进一步认识中华文明，传承中华民族的文化传统。</w:t>
      </w:r>
    </w:p>
    <w:p w14:paraId="6E72F5CD" w14:textId="77777777" w:rsidR="00741F9C" w:rsidRDefault="00000000">
      <w:pPr>
        <w:widowControl/>
        <w:spacing w:line="360" w:lineRule="auto"/>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（2）思考诸子思想学说对自我立德树人、修身养性的现实意义。</w:t>
      </w:r>
    </w:p>
    <w:p w14:paraId="10A3BDAF" w14:textId="77777777" w:rsidR="00741F9C" w:rsidRDefault="00000000">
      <w:pPr>
        <w:widowControl/>
        <w:spacing w:line="360" w:lineRule="auto"/>
        <w:jc w:val="left"/>
        <w:rPr>
          <w:rFonts w:ascii="楷体" w:eastAsia="楷体" w:hAnsi="楷体" w:cs="楷体"/>
          <w:color w:val="231F20"/>
          <w:kern w:val="0"/>
          <w:sz w:val="24"/>
          <w:szCs w:val="24"/>
          <w:lang w:bidi="ar"/>
        </w:rPr>
      </w:pPr>
      <w:r>
        <w:rPr>
          <w:rFonts w:ascii="楷体" w:eastAsia="楷体" w:hAnsi="楷体" w:cs="楷体" w:hint="eastAsia"/>
          <w:color w:val="231F20"/>
          <w:kern w:val="0"/>
          <w:sz w:val="24"/>
          <w:szCs w:val="24"/>
          <w:lang w:bidi="ar"/>
        </w:rPr>
        <w:t>3、审美鉴赏与创造：</w:t>
      </w:r>
    </w:p>
    <w:p w14:paraId="720F0917" w14:textId="77777777" w:rsidR="00741F9C" w:rsidRDefault="00000000">
      <w:pPr>
        <w:widowControl/>
        <w:spacing w:line="360" w:lineRule="auto"/>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感受先秦诸子或雍容或犀利或雄奇或拙朴的论说风格。</w:t>
      </w:r>
    </w:p>
    <w:p w14:paraId="3DFA3A08" w14:textId="77777777" w:rsidR="00741F9C" w:rsidRDefault="00000000">
      <w:pPr>
        <w:widowControl/>
        <w:spacing w:line="360" w:lineRule="auto"/>
        <w:jc w:val="left"/>
        <w:rPr>
          <w:rFonts w:ascii="楷体" w:eastAsia="楷体" w:hAnsi="楷体" w:cs="楷体"/>
          <w:color w:val="231F20"/>
          <w:kern w:val="0"/>
          <w:sz w:val="24"/>
          <w:szCs w:val="24"/>
          <w:lang w:bidi="ar"/>
        </w:rPr>
      </w:pPr>
      <w:r>
        <w:rPr>
          <w:rFonts w:ascii="楷体" w:eastAsia="楷体" w:hAnsi="楷体" w:cs="楷体" w:hint="eastAsia"/>
          <w:color w:val="231F20"/>
          <w:kern w:val="0"/>
          <w:sz w:val="24"/>
          <w:szCs w:val="24"/>
          <w:lang w:bidi="ar"/>
        </w:rPr>
        <w:t>4、文化传承与理解：</w:t>
      </w:r>
    </w:p>
    <w:p w14:paraId="596D5693" w14:textId="77777777" w:rsidR="00741F9C" w:rsidRDefault="00000000">
      <w:pPr>
        <w:widowControl/>
        <w:spacing w:line="360" w:lineRule="auto"/>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（1）理解各家的论说方法及论证思路，领悟其妙处。</w:t>
      </w:r>
    </w:p>
    <w:p w14:paraId="2C76FF2B" w14:textId="6350934B" w:rsidR="00784815" w:rsidRPr="00784815" w:rsidRDefault="00000000" w:rsidP="00784815">
      <w:pPr>
        <w:widowControl/>
        <w:spacing w:line="360" w:lineRule="auto"/>
        <w:jc w:val="left"/>
        <w:rPr>
          <w:rFonts w:ascii="宋体" w:eastAsia="宋体" w:hAnsi="宋体" w:hint="eastAsia"/>
          <w:b/>
          <w:bCs/>
          <w:sz w:val="24"/>
          <w:szCs w:val="24"/>
        </w:rPr>
      </w:pPr>
      <w:r>
        <w:rPr>
          <w:rFonts w:ascii="宋体" w:eastAsia="宋体" w:hAnsi="宋体" w:cs="方正书宋简体" w:hint="eastAsia"/>
          <w:color w:val="231F20"/>
          <w:kern w:val="0"/>
          <w:sz w:val="24"/>
          <w:szCs w:val="24"/>
          <w:lang w:bidi="ar"/>
        </w:rPr>
        <w:t>（2）分析诸子在论证中的不足之处，从而促进自身以一种思辨的目光思考前人观点，并将其引入进写作训练之中。</w:t>
      </w:r>
    </w:p>
    <w:p w14:paraId="3465FAB3" w14:textId="37AA4A90" w:rsidR="00741F9C" w:rsidRPr="00784815" w:rsidRDefault="00784815" w:rsidP="00784815">
      <w:pPr>
        <w:spacing w:line="288" w:lineRule="auto"/>
        <w:jc w:val="center"/>
        <w:rPr>
          <w:rFonts w:ascii="宋体" w:eastAsia="宋体" w:hAnsi="宋体"/>
          <w:sz w:val="24"/>
          <w:szCs w:val="24"/>
        </w:rPr>
      </w:pPr>
      <w:r>
        <w:rPr>
          <w:rFonts w:ascii="宋体" w:eastAsia="宋体" w:hAnsi="宋体" w:hint="eastAsia"/>
          <w:sz w:val="24"/>
          <w:szCs w:val="24"/>
        </w:rPr>
        <w:t>表</w:t>
      </w:r>
      <w:proofErr w:type="gramStart"/>
      <w:r>
        <w:rPr>
          <w:rFonts w:ascii="宋体" w:eastAsia="宋体" w:hAnsi="宋体" w:hint="eastAsia"/>
          <w:sz w:val="24"/>
          <w:szCs w:val="24"/>
        </w:rPr>
        <w:t>一</w:t>
      </w:r>
      <w:proofErr w:type="gramEnd"/>
      <w:r>
        <w:rPr>
          <w:rFonts w:ascii="宋体" w:eastAsia="宋体" w:hAnsi="宋体" w:hint="eastAsia"/>
          <w:sz w:val="24"/>
          <w:szCs w:val="24"/>
        </w:rPr>
        <w:t xml:space="preserve"> </w:t>
      </w:r>
      <w:r w:rsidR="00000000" w:rsidRPr="00784815">
        <w:rPr>
          <w:rFonts w:ascii="宋体" w:eastAsia="宋体" w:hAnsi="宋体" w:hint="eastAsia"/>
          <w:sz w:val="24"/>
          <w:szCs w:val="24"/>
        </w:rPr>
        <w:t>单元</w:t>
      </w:r>
      <w:r>
        <w:rPr>
          <w:rFonts w:ascii="宋体" w:eastAsia="宋体" w:hAnsi="宋体" w:hint="eastAsia"/>
          <w:sz w:val="24"/>
          <w:szCs w:val="24"/>
        </w:rPr>
        <w:t>课时与教学目标</w:t>
      </w:r>
    </w:p>
    <w:tbl>
      <w:tblPr>
        <w:tblStyle w:val="a5"/>
        <w:tblpPr w:leftFromText="180" w:rightFromText="180" w:vertAnchor="text" w:horzAnchor="page" w:tblpX="1835" w:tblpY="337"/>
        <w:tblW w:w="9193" w:type="dxa"/>
        <w:tblLook w:val="04A0" w:firstRow="1" w:lastRow="0" w:firstColumn="1" w:lastColumn="0" w:noHBand="0" w:noVBand="1"/>
      </w:tblPr>
      <w:tblGrid>
        <w:gridCol w:w="3714"/>
        <w:gridCol w:w="905"/>
        <w:gridCol w:w="4574"/>
      </w:tblGrid>
      <w:tr w:rsidR="00741F9C" w14:paraId="658E6D20" w14:textId="77777777">
        <w:trPr>
          <w:trHeight w:val="393"/>
        </w:trPr>
        <w:tc>
          <w:tcPr>
            <w:tcW w:w="3714" w:type="dxa"/>
            <w:vAlign w:val="center"/>
          </w:tcPr>
          <w:p w14:paraId="574086F2"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学习任务</w:t>
            </w:r>
          </w:p>
        </w:tc>
        <w:tc>
          <w:tcPr>
            <w:tcW w:w="905" w:type="dxa"/>
            <w:vAlign w:val="center"/>
          </w:tcPr>
          <w:p w14:paraId="6185CE00"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课时</w:t>
            </w:r>
          </w:p>
        </w:tc>
        <w:tc>
          <w:tcPr>
            <w:tcW w:w="4574" w:type="dxa"/>
            <w:vAlign w:val="center"/>
          </w:tcPr>
          <w:p w14:paraId="653CB8E7"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教学目标</w:t>
            </w:r>
          </w:p>
        </w:tc>
      </w:tr>
      <w:tr w:rsidR="00741F9C" w14:paraId="7B2442B9" w14:textId="77777777">
        <w:trPr>
          <w:trHeight w:val="765"/>
        </w:trPr>
        <w:tc>
          <w:tcPr>
            <w:tcW w:w="3714" w:type="dxa"/>
            <w:vAlign w:val="center"/>
          </w:tcPr>
          <w:p w14:paraId="5A4B6169"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学习任务</w:t>
            </w:r>
            <w:proofErr w:type="gramStart"/>
            <w:r>
              <w:rPr>
                <w:rFonts w:ascii="宋体" w:eastAsia="宋体" w:hAnsi="宋体" w:hint="eastAsia"/>
                <w:sz w:val="24"/>
                <w:szCs w:val="24"/>
              </w:rPr>
              <w:t>一</w:t>
            </w:r>
            <w:proofErr w:type="gramEnd"/>
            <w:r>
              <w:rPr>
                <w:rFonts w:ascii="宋体" w:eastAsia="宋体" w:hAnsi="宋体" w:hint="eastAsia"/>
                <w:sz w:val="24"/>
                <w:szCs w:val="24"/>
              </w:rPr>
              <w:t>：回顾·导入</w:t>
            </w:r>
          </w:p>
          <w:p w14:paraId="23FD6474"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诸子百家</w:t>
            </w:r>
            <w:proofErr w:type="gramStart"/>
            <w:r>
              <w:rPr>
                <w:rFonts w:ascii="宋体" w:eastAsia="宋体" w:hAnsi="宋体" w:hint="eastAsia"/>
                <w:sz w:val="24"/>
                <w:szCs w:val="24"/>
              </w:rPr>
              <w:t>原印象</w:t>
            </w:r>
            <w:proofErr w:type="gramEnd"/>
          </w:p>
        </w:tc>
        <w:tc>
          <w:tcPr>
            <w:tcW w:w="905" w:type="dxa"/>
            <w:vAlign w:val="center"/>
          </w:tcPr>
          <w:p w14:paraId="4B038B55"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单元预习</w:t>
            </w:r>
          </w:p>
        </w:tc>
        <w:tc>
          <w:tcPr>
            <w:tcW w:w="4574" w:type="dxa"/>
            <w:vAlign w:val="center"/>
          </w:tcPr>
          <w:p w14:paraId="620529DF"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w:t>
            </w:r>
            <w:r>
              <w:rPr>
                <w:rFonts w:ascii="宋体" w:eastAsia="宋体" w:hAnsi="宋体" w:hint="eastAsia"/>
                <w:sz w:val="24"/>
                <w:szCs w:val="24"/>
              </w:rPr>
              <w:t>回顾已学儒道核心概念，初步导入单元学习。</w:t>
            </w:r>
          </w:p>
        </w:tc>
      </w:tr>
      <w:tr w:rsidR="00741F9C" w14:paraId="431551F6" w14:textId="77777777">
        <w:trPr>
          <w:trHeight w:val="914"/>
        </w:trPr>
        <w:tc>
          <w:tcPr>
            <w:tcW w:w="3714" w:type="dxa"/>
            <w:vAlign w:val="center"/>
          </w:tcPr>
          <w:p w14:paraId="0DDC0D5A"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学习任务二</w:t>
            </w:r>
            <w:bookmarkStart w:id="0" w:name="_Hlk114736911"/>
            <w:r>
              <w:rPr>
                <w:rFonts w:ascii="宋体" w:eastAsia="宋体" w:hAnsi="宋体" w:hint="eastAsia"/>
                <w:sz w:val="24"/>
                <w:szCs w:val="24"/>
              </w:rPr>
              <w:t>：基础·夯实</w:t>
            </w:r>
          </w:p>
          <w:p w14:paraId="3920B6EF"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疏通选文</w:t>
            </w:r>
            <w:proofErr w:type="gramStart"/>
            <w:r>
              <w:rPr>
                <w:rFonts w:ascii="宋体" w:eastAsia="宋体" w:hAnsi="宋体" w:hint="eastAsia"/>
                <w:sz w:val="24"/>
                <w:szCs w:val="24"/>
              </w:rPr>
              <w:t>文</w:t>
            </w:r>
            <w:proofErr w:type="gramEnd"/>
            <w:r>
              <w:rPr>
                <w:rFonts w:ascii="宋体" w:eastAsia="宋体" w:hAnsi="宋体" w:hint="eastAsia"/>
                <w:sz w:val="24"/>
                <w:szCs w:val="24"/>
              </w:rPr>
              <w:t>意</w:t>
            </w:r>
            <w:bookmarkEnd w:id="0"/>
          </w:p>
        </w:tc>
        <w:tc>
          <w:tcPr>
            <w:tcW w:w="905" w:type="dxa"/>
            <w:vAlign w:val="center"/>
          </w:tcPr>
          <w:p w14:paraId="3716AEE4"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-2</w:t>
            </w:r>
          </w:p>
        </w:tc>
        <w:tc>
          <w:tcPr>
            <w:tcW w:w="4574" w:type="dxa"/>
            <w:vAlign w:val="center"/>
          </w:tcPr>
          <w:p w14:paraId="0FE289C3"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w:t>
            </w:r>
            <w:r>
              <w:rPr>
                <w:rFonts w:ascii="宋体" w:eastAsia="宋体" w:hAnsi="宋体" w:hint="eastAsia"/>
                <w:sz w:val="24"/>
                <w:szCs w:val="24"/>
              </w:rPr>
              <w:t>辨识重要实词、虚词，夯实文言基础。</w:t>
            </w:r>
          </w:p>
          <w:p w14:paraId="7C401FEA"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2</w:t>
            </w:r>
            <w:r>
              <w:rPr>
                <w:rFonts w:ascii="宋体" w:eastAsia="宋体" w:hAnsi="宋体"/>
                <w:sz w:val="24"/>
                <w:szCs w:val="24"/>
              </w:rPr>
              <w:t>.</w:t>
            </w:r>
            <w:r>
              <w:rPr>
                <w:rFonts w:ascii="宋体" w:eastAsia="宋体" w:hAnsi="宋体" w:hint="eastAsia"/>
                <w:sz w:val="24"/>
                <w:szCs w:val="24"/>
              </w:rPr>
              <w:t>诵读选文文本，体悟情感，领略文气。</w:t>
            </w:r>
          </w:p>
        </w:tc>
      </w:tr>
      <w:tr w:rsidR="00741F9C" w14:paraId="67D2DBEA" w14:textId="77777777">
        <w:trPr>
          <w:trHeight w:val="2409"/>
        </w:trPr>
        <w:tc>
          <w:tcPr>
            <w:tcW w:w="3714" w:type="dxa"/>
            <w:vAlign w:val="center"/>
          </w:tcPr>
          <w:p w14:paraId="359B746B"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学习任务三：研读·发现</w:t>
            </w:r>
          </w:p>
          <w:p w14:paraId="23F6313F"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 xml:space="preserve">厘清诸子观点，辨析内部差异，感受诸子风格 </w:t>
            </w:r>
          </w:p>
        </w:tc>
        <w:tc>
          <w:tcPr>
            <w:tcW w:w="905" w:type="dxa"/>
            <w:vAlign w:val="center"/>
          </w:tcPr>
          <w:p w14:paraId="36CC006D" w14:textId="77777777" w:rsidR="00741F9C" w:rsidRDefault="00000000">
            <w:pPr>
              <w:spacing w:line="288" w:lineRule="auto"/>
              <w:jc w:val="center"/>
              <w:rPr>
                <w:rFonts w:ascii="宋体" w:eastAsia="宋体" w:hAnsi="宋体" w:hint="eastAsia"/>
                <w:sz w:val="24"/>
                <w:szCs w:val="24"/>
              </w:rPr>
            </w:pPr>
            <w:r>
              <w:rPr>
                <w:rFonts w:ascii="宋体" w:eastAsia="宋体" w:hAnsi="宋体"/>
                <w:sz w:val="24"/>
                <w:szCs w:val="24"/>
              </w:rPr>
              <w:t>3-5</w:t>
            </w:r>
          </w:p>
        </w:tc>
        <w:tc>
          <w:tcPr>
            <w:tcW w:w="4574" w:type="dxa"/>
            <w:vAlign w:val="center"/>
          </w:tcPr>
          <w:p w14:paraId="70DDEC41"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w:t>
            </w:r>
            <w:r>
              <w:rPr>
                <w:rFonts w:ascii="宋体" w:eastAsia="宋体" w:hAnsi="宋体" w:hint="eastAsia"/>
                <w:sz w:val="24"/>
                <w:szCs w:val="24"/>
              </w:rPr>
              <w:t>整体把握《&lt;论语&gt;十二章》的思想内容。</w:t>
            </w:r>
          </w:p>
          <w:p w14:paraId="184ECC4A"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2</w:t>
            </w:r>
            <w:r>
              <w:rPr>
                <w:rFonts w:ascii="宋体" w:eastAsia="宋体" w:hAnsi="宋体"/>
                <w:sz w:val="24"/>
                <w:szCs w:val="24"/>
              </w:rPr>
              <w:t>.</w:t>
            </w:r>
            <w:r>
              <w:rPr>
                <w:rFonts w:ascii="宋体" w:eastAsia="宋体" w:hAnsi="宋体" w:hint="eastAsia"/>
                <w:sz w:val="24"/>
                <w:szCs w:val="24"/>
              </w:rPr>
              <w:t>整体把握《&lt;老子&gt;四章》的思想内容。</w:t>
            </w:r>
          </w:p>
          <w:p w14:paraId="57ECCF68"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3</w:t>
            </w:r>
            <w:r>
              <w:rPr>
                <w:rFonts w:ascii="宋体" w:eastAsia="宋体" w:hAnsi="宋体"/>
                <w:sz w:val="24"/>
                <w:szCs w:val="24"/>
              </w:rPr>
              <w:t>.</w:t>
            </w:r>
            <w:r>
              <w:rPr>
                <w:rFonts w:ascii="宋体" w:eastAsia="宋体" w:hAnsi="宋体" w:hint="eastAsia"/>
                <w:sz w:val="24"/>
                <w:szCs w:val="24"/>
              </w:rPr>
              <w:t>概括《五石之瓠》的寓意。</w:t>
            </w:r>
          </w:p>
          <w:p w14:paraId="6F2984E9"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4</w:t>
            </w:r>
            <w:r>
              <w:rPr>
                <w:rFonts w:ascii="宋体" w:eastAsia="宋体" w:hAnsi="宋体"/>
                <w:sz w:val="24"/>
                <w:szCs w:val="24"/>
              </w:rPr>
              <w:t>.</w:t>
            </w:r>
            <w:r>
              <w:rPr>
                <w:rFonts w:ascii="宋体" w:eastAsia="宋体" w:hAnsi="宋体" w:hint="eastAsia"/>
                <w:sz w:val="24"/>
                <w:szCs w:val="24"/>
              </w:rPr>
              <w:t>梳理《大学之道》《人皆有不忍人之心》及《兼爱》的观点。</w:t>
            </w:r>
          </w:p>
          <w:p w14:paraId="4B391476"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5</w:t>
            </w:r>
            <w:r>
              <w:rPr>
                <w:rFonts w:ascii="宋体" w:eastAsia="宋体" w:hAnsi="宋体"/>
                <w:sz w:val="24"/>
                <w:szCs w:val="24"/>
              </w:rPr>
              <w:t>.</w:t>
            </w:r>
            <w:r>
              <w:rPr>
                <w:rFonts w:ascii="宋体" w:eastAsia="宋体" w:hAnsi="宋体" w:hint="eastAsia"/>
                <w:sz w:val="24"/>
                <w:szCs w:val="24"/>
              </w:rPr>
              <w:t>辨别不同观点的内部差异。</w:t>
            </w:r>
          </w:p>
        </w:tc>
      </w:tr>
      <w:tr w:rsidR="00741F9C" w14:paraId="339A84B9" w14:textId="77777777">
        <w:trPr>
          <w:trHeight w:val="1243"/>
        </w:trPr>
        <w:tc>
          <w:tcPr>
            <w:tcW w:w="3714" w:type="dxa"/>
            <w:vAlign w:val="center"/>
          </w:tcPr>
          <w:p w14:paraId="0FF73CC8"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lastRenderedPageBreak/>
              <w:t>学习任务四：深化·反思</w:t>
            </w:r>
          </w:p>
          <w:p w14:paraId="7A7DBD3D"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赏析论述思路，</w:t>
            </w:r>
            <w:bookmarkStart w:id="1" w:name="_Hlk114820056"/>
            <w:r>
              <w:rPr>
                <w:rFonts w:ascii="宋体" w:eastAsia="宋体" w:hAnsi="宋体" w:hint="eastAsia"/>
                <w:sz w:val="24"/>
                <w:szCs w:val="24"/>
              </w:rPr>
              <w:t>辩证思考论证瑕疵</w:t>
            </w:r>
            <w:bookmarkEnd w:id="1"/>
          </w:p>
        </w:tc>
        <w:tc>
          <w:tcPr>
            <w:tcW w:w="905" w:type="dxa"/>
            <w:vAlign w:val="center"/>
          </w:tcPr>
          <w:p w14:paraId="44D1B409" w14:textId="77777777" w:rsidR="00741F9C" w:rsidRDefault="00000000">
            <w:pPr>
              <w:spacing w:line="288" w:lineRule="auto"/>
              <w:jc w:val="center"/>
              <w:rPr>
                <w:rFonts w:ascii="宋体" w:eastAsia="宋体" w:hAnsi="宋体" w:hint="eastAsia"/>
                <w:sz w:val="24"/>
                <w:szCs w:val="24"/>
              </w:rPr>
            </w:pPr>
            <w:r>
              <w:rPr>
                <w:rFonts w:ascii="宋体" w:eastAsia="宋体" w:hAnsi="宋体"/>
                <w:sz w:val="24"/>
                <w:szCs w:val="24"/>
              </w:rPr>
              <w:t>6-7</w:t>
            </w:r>
          </w:p>
        </w:tc>
        <w:tc>
          <w:tcPr>
            <w:tcW w:w="4574" w:type="dxa"/>
            <w:vAlign w:val="center"/>
          </w:tcPr>
          <w:p w14:paraId="10A67411"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w:t>
            </w:r>
            <w:r>
              <w:rPr>
                <w:rFonts w:ascii="宋体" w:eastAsia="宋体" w:hAnsi="宋体" w:hint="eastAsia"/>
                <w:sz w:val="24"/>
                <w:szCs w:val="24"/>
              </w:rPr>
              <w:t>梳理文本论证思路。</w:t>
            </w:r>
          </w:p>
          <w:p w14:paraId="7887FC90"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2</w:t>
            </w:r>
            <w:r>
              <w:rPr>
                <w:rFonts w:ascii="宋体" w:eastAsia="宋体" w:hAnsi="宋体"/>
                <w:sz w:val="24"/>
                <w:szCs w:val="24"/>
              </w:rPr>
              <w:t>.</w:t>
            </w:r>
            <w:r>
              <w:rPr>
                <w:rFonts w:ascii="宋体" w:eastAsia="宋体" w:hAnsi="宋体" w:hint="eastAsia"/>
                <w:sz w:val="24"/>
                <w:szCs w:val="24"/>
              </w:rPr>
              <w:t>明确文本论证方法。</w:t>
            </w:r>
          </w:p>
          <w:p w14:paraId="3BF4A63F" w14:textId="77777777" w:rsidR="00741F9C" w:rsidRDefault="00000000">
            <w:pPr>
              <w:spacing w:line="288" w:lineRule="auto"/>
              <w:jc w:val="left"/>
              <w:rPr>
                <w:rFonts w:ascii="宋体" w:eastAsia="宋体" w:hAnsi="宋体" w:hint="eastAsia"/>
                <w:sz w:val="24"/>
                <w:szCs w:val="24"/>
              </w:rPr>
            </w:pPr>
            <w:r>
              <w:rPr>
                <w:rFonts w:ascii="宋体" w:eastAsia="宋体" w:hAnsi="宋体" w:hint="eastAsia"/>
                <w:sz w:val="24"/>
                <w:szCs w:val="24"/>
              </w:rPr>
              <w:t>3</w:t>
            </w:r>
            <w:r>
              <w:rPr>
                <w:rFonts w:ascii="宋体" w:eastAsia="宋体" w:hAnsi="宋体"/>
                <w:sz w:val="24"/>
                <w:szCs w:val="24"/>
              </w:rPr>
              <w:t>.</w:t>
            </w:r>
            <w:r>
              <w:rPr>
                <w:rFonts w:ascii="宋体" w:eastAsia="宋体" w:hAnsi="宋体" w:hint="eastAsia"/>
                <w:sz w:val="24"/>
                <w:szCs w:val="24"/>
              </w:rPr>
              <w:t>分析文本论证的充分性，培训思辨意识。</w:t>
            </w:r>
          </w:p>
        </w:tc>
      </w:tr>
      <w:tr w:rsidR="00741F9C" w14:paraId="5762885C" w14:textId="77777777">
        <w:trPr>
          <w:trHeight w:val="994"/>
        </w:trPr>
        <w:tc>
          <w:tcPr>
            <w:tcW w:w="3714" w:type="dxa"/>
            <w:vAlign w:val="center"/>
          </w:tcPr>
          <w:p w14:paraId="2D3B6983"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学习任务五：抒发·构建</w:t>
            </w:r>
          </w:p>
          <w:p w14:paraId="432A64E4" w14:textId="77777777" w:rsidR="00741F9C" w:rsidRDefault="00000000">
            <w:pPr>
              <w:spacing w:line="288" w:lineRule="auto"/>
              <w:jc w:val="center"/>
              <w:rPr>
                <w:rFonts w:ascii="宋体" w:eastAsia="宋体" w:hAnsi="宋体" w:hint="eastAsia"/>
                <w:sz w:val="24"/>
                <w:szCs w:val="24"/>
              </w:rPr>
            </w:pPr>
            <w:r>
              <w:rPr>
                <w:rFonts w:ascii="宋体" w:eastAsia="宋体" w:hAnsi="宋体" w:hint="eastAsia"/>
                <w:sz w:val="24"/>
                <w:szCs w:val="24"/>
              </w:rPr>
              <w:t>思考现实意义，修养自我身心</w:t>
            </w:r>
          </w:p>
        </w:tc>
        <w:tc>
          <w:tcPr>
            <w:tcW w:w="905" w:type="dxa"/>
            <w:vAlign w:val="center"/>
          </w:tcPr>
          <w:p w14:paraId="4C6D621C" w14:textId="77777777" w:rsidR="00741F9C" w:rsidRDefault="00000000">
            <w:pPr>
              <w:spacing w:line="288" w:lineRule="auto"/>
              <w:jc w:val="center"/>
              <w:rPr>
                <w:rFonts w:ascii="宋体" w:eastAsia="宋体" w:hAnsi="宋体" w:hint="eastAsia"/>
                <w:sz w:val="24"/>
                <w:szCs w:val="24"/>
              </w:rPr>
            </w:pPr>
            <w:r>
              <w:rPr>
                <w:rFonts w:ascii="宋体" w:eastAsia="宋体" w:hAnsi="宋体"/>
                <w:sz w:val="24"/>
                <w:szCs w:val="24"/>
              </w:rPr>
              <w:t>8-9</w:t>
            </w:r>
          </w:p>
        </w:tc>
        <w:tc>
          <w:tcPr>
            <w:tcW w:w="4574" w:type="dxa"/>
            <w:vAlign w:val="center"/>
          </w:tcPr>
          <w:p w14:paraId="41860A16" w14:textId="77777777" w:rsidR="00741F9C" w:rsidRDefault="00000000">
            <w:pPr>
              <w:spacing w:line="288" w:lineRule="auto"/>
              <w:rPr>
                <w:rFonts w:ascii="宋体" w:eastAsia="宋体" w:hAnsi="宋体" w:hint="eastAsia"/>
                <w:sz w:val="24"/>
                <w:szCs w:val="24"/>
              </w:rPr>
            </w:pPr>
            <w:r>
              <w:rPr>
                <w:rFonts w:ascii="宋体" w:eastAsia="宋体" w:hAnsi="宋体" w:hint="eastAsia"/>
                <w:sz w:val="24"/>
                <w:szCs w:val="24"/>
              </w:rPr>
              <w:t>1</w:t>
            </w:r>
            <w:r>
              <w:rPr>
                <w:rFonts w:ascii="宋体" w:eastAsia="宋体" w:hAnsi="宋体"/>
                <w:sz w:val="24"/>
                <w:szCs w:val="24"/>
              </w:rPr>
              <w:t>.</w:t>
            </w:r>
            <w:r>
              <w:rPr>
                <w:rFonts w:ascii="宋体" w:eastAsia="宋体" w:hAnsi="宋体" w:hint="eastAsia"/>
                <w:sz w:val="24"/>
                <w:szCs w:val="24"/>
              </w:rPr>
              <w:t>分析诸子观点对于后世的影响。</w:t>
            </w:r>
          </w:p>
          <w:p w14:paraId="1B599980" w14:textId="77777777" w:rsidR="00741F9C" w:rsidRDefault="00000000">
            <w:pPr>
              <w:spacing w:line="288" w:lineRule="auto"/>
              <w:rPr>
                <w:rFonts w:ascii="宋体" w:eastAsia="宋体" w:hAnsi="宋体" w:hint="eastAsia"/>
                <w:sz w:val="24"/>
                <w:szCs w:val="24"/>
              </w:rPr>
            </w:pPr>
            <w:r>
              <w:rPr>
                <w:rFonts w:ascii="宋体" w:eastAsia="宋体" w:hAnsi="宋体" w:hint="eastAsia"/>
                <w:sz w:val="24"/>
                <w:szCs w:val="24"/>
              </w:rPr>
              <w:t>2</w:t>
            </w:r>
            <w:r>
              <w:rPr>
                <w:rFonts w:ascii="宋体" w:eastAsia="宋体" w:hAnsi="宋体"/>
                <w:sz w:val="24"/>
                <w:szCs w:val="24"/>
              </w:rPr>
              <w:t>.</w:t>
            </w:r>
            <w:r>
              <w:rPr>
                <w:rFonts w:ascii="宋体" w:eastAsia="宋体" w:hAnsi="宋体" w:hint="eastAsia"/>
                <w:sz w:val="24"/>
                <w:szCs w:val="24"/>
              </w:rPr>
              <w:t>讨论诸子思想对于当代生活的价值。</w:t>
            </w:r>
          </w:p>
        </w:tc>
      </w:tr>
    </w:tbl>
    <w:p w14:paraId="084BA713" w14:textId="77777777" w:rsidR="00741F9C" w:rsidRDefault="00000000">
      <w:pPr>
        <w:widowControl/>
        <w:spacing w:line="360" w:lineRule="auto"/>
        <w:jc w:val="left"/>
        <w:rPr>
          <w:rFonts w:ascii="黑体" w:eastAsia="黑体" w:hAnsi="黑体" w:cs="黑体" w:hint="eastAsia"/>
          <w:color w:val="231F20"/>
          <w:kern w:val="0"/>
          <w:sz w:val="28"/>
          <w:szCs w:val="28"/>
          <w:lang w:bidi="ar"/>
        </w:rPr>
      </w:pPr>
      <w:r>
        <w:rPr>
          <w:rFonts w:ascii="黑体" w:eastAsia="黑体" w:hAnsi="黑体" w:cs="黑体"/>
          <w:color w:val="231F20"/>
          <w:kern w:val="0"/>
          <w:sz w:val="28"/>
          <w:szCs w:val="28"/>
          <w:lang w:bidi="ar"/>
        </w:rPr>
        <w:t>三、单元作业设计</w:t>
      </w:r>
      <w:r>
        <w:rPr>
          <w:rFonts w:ascii="黑体" w:eastAsia="黑体" w:hAnsi="黑体" w:cs="黑体" w:hint="eastAsia"/>
          <w:color w:val="231F20"/>
          <w:kern w:val="0"/>
          <w:sz w:val="28"/>
          <w:szCs w:val="28"/>
          <w:lang w:bidi="ar"/>
        </w:rPr>
        <w:t>策略</w:t>
      </w:r>
      <w:r>
        <w:rPr>
          <w:rFonts w:ascii="黑体" w:eastAsia="黑体" w:hAnsi="黑体" w:cs="黑体"/>
          <w:color w:val="231F20"/>
          <w:kern w:val="0"/>
          <w:sz w:val="28"/>
          <w:szCs w:val="28"/>
          <w:lang w:bidi="ar"/>
        </w:rPr>
        <w:t>分析</w:t>
      </w:r>
    </w:p>
    <w:p w14:paraId="46F6DC61"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（一）语言建构与运用：在自主梳理中形成文言语感</w:t>
      </w:r>
    </w:p>
    <w:p w14:paraId="34D28AD0" w14:textId="77777777" w:rsidR="00741F9C" w:rsidRDefault="00000000">
      <w:pPr>
        <w:widowControl/>
        <w:spacing w:line="360" w:lineRule="auto"/>
        <w:ind w:firstLineChars="200" w:firstLine="482"/>
        <w:jc w:val="left"/>
        <w:rPr>
          <w:rFonts w:ascii="宋体" w:eastAsia="宋体" w:hAnsi="宋体" w:cs="方正书宋简体" w:hint="eastAsia"/>
          <w:color w:val="231F20"/>
          <w:kern w:val="0"/>
          <w:sz w:val="24"/>
          <w:szCs w:val="24"/>
          <w:lang w:bidi="ar"/>
        </w:rPr>
      </w:pPr>
      <w:r>
        <w:rPr>
          <w:rFonts w:ascii="宋体" w:eastAsia="宋体" w:hAnsi="宋体" w:cs="方正书宋简体" w:hint="eastAsia"/>
          <w:b/>
          <w:bCs/>
          <w:color w:val="231F20"/>
          <w:kern w:val="0"/>
          <w:sz w:val="24"/>
          <w:szCs w:val="24"/>
          <w:lang w:bidi="ar"/>
        </w:rPr>
        <w:t>设计理念</w:t>
      </w:r>
      <w:r>
        <w:rPr>
          <w:rFonts w:ascii="宋体" w:eastAsia="宋体" w:hAnsi="宋体" w:cs="方正书宋简体"/>
          <w:b/>
          <w:bCs/>
          <w:color w:val="231F20"/>
          <w:kern w:val="0"/>
          <w:sz w:val="24"/>
          <w:szCs w:val="24"/>
          <w:lang w:bidi="ar"/>
        </w:rPr>
        <w:t>：</w:t>
      </w:r>
      <w:r>
        <w:rPr>
          <w:rFonts w:ascii="宋体" w:eastAsia="宋体" w:hAnsi="宋体" w:cs="方正书宋简体" w:hint="eastAsia"/>
          <w:color w:val="231F20"/>
          <w:kern w:val="0"/>
          <w:sz w:val="24"/>
          <w:szCs w:val="24"/>
          <w:lang w:bidi="ar"/>
        </w:rPr>
        <w:t>在这一核心素养要求下，</w:t>
      </w:r>
      <w:r>
        <w:rPr>
          <w:rFonts w:ascii="宋体" w:eastAsia="宋体" w:hAnsi="宋体" w:cs="方正书宋简体"/>
          <w:color w:val="231F20"/>
          <w:kern w:val="0"/>
          <w:sz w:val="24"/>
          <w:szCs w:val="24"/>
          <w:lang w:bidi="ar"/>
        </w:rPr>
        <w:t>学生从被动接受释文转向主动查阅工具书、比较例句，增强了文言学习的自我效能感。</w:t>
      </w:r>
      <w:r>
        <w:rPr>
          <w:rFonts w:ascii="宋体" w:eastAsia="宋体" w:hAnsi="宋体" w:cs="方正书宋简体" w:hint="eastAsia"/>
          <w:color w:val="231F20"/>
          <w:kern w:val="0"/>
          <w:sz w:val="24"/>
          <w:szCs w:val="24"/>
          <w:lang w:bidi="ar"/>
        </w:rPr>
        <w:t>同时，</w:t>
      </w:r>
      <w:r>
        <w:rPr>
          <w:rFonts w:ascii="宋体" w:eastAsia="宋体" w:hAnsi="宋体" w:cs="方正书宋简体"/>
          <w:color w:val="231F20"/>
          <w:kern w:val="0"/>
          <w:sz w:val="24"/>
          <w:szCs w:val="24"/>
          <w:lang w:bidi="ar"/>
        </w:rPr>
        <w:t>虚词表格和概念卡片将零散的语言知识点串联成结构化的语言规律，便于迁移至课外文言阅读。</w:t>
      </w:r>
      <w:r>
        <w:rPr>
          <w:rFonts w:ascii="宋体" w:eastAsia="宋体" w:hAnsi="宋体" w:cs="方正书宋简体" w:hint="eastAsia"/>
          <w:color w:val="231F20"/>
          <w:kern w:val="0"/>
          <w:sz w:val="24"/>
          <w:szCs w:val="24"/>
          <w:lang w:bidi="ar"/>
        </w:rPr>
        <w:t>更进一步说，</w:t>
      </w:r>
      <w:r>
        <w:rPr>
          <w:rFonts w:ascii="宋体" w:eastAsia="宋体" w:hAnsi="宋体" w:cs="方正书宋简体"/>
          <w:color w:val="231F20"/>
          <w:kern w:val="0"/>
          <w:sz w:val="24"/>
          <w:szCs w:val="24"/>
          <w:lang w:bidi="ar"/>
        </w:rPr>
        <w:t>语言任务并非孤立存在，而是服务于后续的思想研读——只有准确理解了“修齐治平”“无为而用”等核心词句，才能进行学派比较与论证分析。</w:t>
      </w:r>
    </w:p>
    <w:p w14:paraId="7C87AD79" w14:textId="1631D96E" w:rsidR="00741F9C" w:rsidRDefault="00000000">
      <w:pPr>
        <w:widowControl/>
        <w:spacing w:line="360" w:lineRule="auto"/>
        <w:ind w:firstLineChars="200" w:firstLine="482"/>
        <w:jc w:val="left"/>
        <w:rPr>
          <w:rFonts w:ascii="宋体" w:eastAsia="宋体" w:hAnsi="宋体" w:hint="eastAsia"/>
          <w:b/>
          <w:bCs/>
          <w:sz w:val="24"/>
          <w:szCs w:val="24"/>
        </w:rPr>
      </w:pPr>
      <w:r>
        <w:rPr>
          <w:rFonts w:ascii="宋体" w:eastAsia="宋体" w:hAnsi="宋体" w:hint="eastAsia"/>
          <w:b/>
          <w:bCs/>
          <w:sz w:val="24"/>
          <w:szCs w:val="24"/>
        </w:rPr>
        <w:t>案例</w:t>
      </w:r>
      <w:r w:rsidR="00784815">
        <w:rPr>
          <w:rFonts w:ascii="宋体" w:eastAsia="宋体" w:hAnsi="宋体" w:hint="eastAsia"/>
          <w:b/>
          <w:bCs/>
          <w:sz w:val="24"/>
          <w:szCs w:val="24"/>
        </w:rPr>
        <w:t>阐释</w:t>
      </w:r>
      <w:r>
        <w:rPr>
          <w:rFonts w:ascii="宋体" w:eastAsia="宋体" w:hAnsi="宋体" w:hint="eastAsia"/>
          <w:b/>
          <w:bCs/>
          <w:sz w:val="24"/>
          <w:szCs w:val="24"/>
        </w:rPr>
        <w:t>：</w:t>
      </w:r>
    </w:p>
    <w:p w14:paraId="26C00C19" w14:textId="77777777" w:rsidR="00741F9C" w:rsidRDefault="00000000">
      <w:pPr>
        <w:widowControl/>
        <w:spacing w:line="360" w:lineRule="auto"/>
        <w:ind w:firstLineChars="200" w:firstLine="480"/>
        <w:jc w:val="left"/>
        <w:rPr>
          <w:rFonts w:ascii="宋体" w:eastAsia="宋体" w:hAnsi="宋体" w:hint="eastAsia"/>
          <w:sz w:val="24"/>
          <w:szCs w:val="24"/>
        </w:rPr>
      </w:pPr>
      <w:r>
        <w:rPr>
          <w:rFonts w:ascii="宋体" w:eastAsia="宋体" w:hAnsi="宋体" w:cs="方正书宋简体" w:hint="eastAsia"/>
          <w:color w:val="231F20"/>
          <w:kern w:val="0"/>
          <w:sz w:val="24"/>
          <w:szCs w:val="24"/>
          <w:lang w:bidi="ar"/>
        </w:rPr>
        <w:t>(1)在“基础·夯实”环节，设计任务“诵读吟咏，整理文言现象”：学生以小组为单位，分工查找“之”“乎”“者”“也”“而”“以”“其”“于”等常见虚词在本单元课文中的用例，以卡片或表格形式整理其意义和用法，并补充学过的典型例句。</w:t>
      </w:r>
    </w:p>
    <w:tbl>
      <w:tblPr>
        <w:tblStyle w:val="a5"/>
        <w:tblW w:w="7800" w:type="dxa"/>
        <w:tblInd w:w="420" w:type="dxa"/>
        <w:tblLook w:val="04A0" w:firstRow="1" w:lastRow="0" w:firstColumn="1" w:lastColumn="0" w:noHBand="0" w:noVBand="1"/>
      </w:tblPr>
      <w:tblGrid>
        <w:gridCol w:w="1950"/>
        <w:gridCol w:w="1950"/>
        <w:gridCol w:w="1950"/>
        <w:gridCol w:w="1950"/>
      </w:tblGrid>
      <w:tr w:rsidR="00741F9C" w14:paraId="149CA787" w14:textId="77777777">
        <w:trPr>
          <w:trHeight w:val="338"/>
        </w:trPr>
        <w:tc>
          <w:tcPr>
            <w:tcW w:w="1950" w:type="dxa"/>
          </w:tcPr>
          <w:p w14:paraId="13A24FC1"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虚词</w:t>
            </w:r>
          </w:p>
        </w:tc>
        <w:tc>
          <w:tcPr>
            <w:tcW w:w="1950" w:type="dxa"/>
          </w:tcPr>
          <w:p w14:paraId="3BA6A5D4"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义项</w:t>
            </w:r>
          </w:p>
        </w:tc>
        <w:tc>
          <w:tcPr>
            <w:tcW w:w="1950" w:type="dxa"/>
          </w:tcPr>
          <w:p w14:paraId="1CE665DB"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本单元例句</w:t>
            </w:r>
          </w:p>
        </w:tc>
        <w:tc>
          <w:tcPr>
            <w:tcW w:w="1950" w:type="dxa"/>
          </w:tcPr>
          <w:p w14:paraId="70239B02"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学过的典型例句</w:t>
            </w:r>
          </w:p>
        </w:tc>
      </w:tr>
      <w:tr w:rsidR="00741F9C" w14:paraId="3D3D1E31" w14:textId="77777777">
        <w:trPr>
          <w:trHeight w:val="338"/>
        </w:trPr>
        <w:tc>
          <w:tcPr>
            <w:tcW w:w="1950" w:type="dxa"/>
            <w:vMerge w:val="restart"/>
            <w:vAlign w:val="center"/>
          </w:tcPr>
          <w:p w14:paraId="6BDE7811"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之</w:t>
            </w:r>
          </w:p>
        </w:tc>
        <w:tc>
          <w:tcPr>
            <w:tcW w:w="1950" w:type="dxa"/>
            <w:vAlign w:val="center"/>
          </w:tcPr>
          <w:p w14:paraId="630B5F48"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4D9CADC8"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6AAB019D"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676D99E7" w14:textId="77777777">
        <w:trPr>
          <w:trHeight w:val="347"/>
        </w:trPr>
        <w:tc>
          <w:tcPr>
            <w:tcW w:w="1950" w:type="dxa"/>
            <w:vMerge/>
            <w:vAlign w:val="center"/>
          </w:tcPr>
          <w:p w14:paraId="789A3E98"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17997715"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1201DC86"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48705B56"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60A6375D" w14:textId="77777777">
        <w:trPr>
          <w:trHeight w:val="346"/>
        </w:trPr>
        <w:tc>
          <w:tcPr>
            <w:tcW w:w="1950" w:type="dxa"/>
            <w:vAlign w:val="center"/>
          </w:tcPr>
          <w:p w14:paraId="3CC10E28" w14:textId="1EF144CC" w:rsidR="00741F9C" w:rsidRDefault="00784815">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乎</w:t>
            </w:r>
          </w:p>
        </w:tc>
        <w:tc>
          <w:tcPr>
            <w:tcW w:w="1950" w:type="dxa"/>
            <w:vAlign w:val="center"/>
          </w:tcPr>
          <w:p w14:paraId="794B2301"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1CA8BEAA"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5515579B"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84815" w14:paraId="7B955E78" w14:textId="77777777">
        <w:trPr>
          <w:trHeight w:val="346"/>
        </w:trPr>
        <w:tc>
          <w:tcPr>
            <w:tcW w:w="1950" w:type="dxa"/>
            <w:vAlign w:val="center"/>
          </w:tcPr>
          <w:p w14:paraId="1D6FDED1" w14:textId="2C562D69" w:rsidR="00784815" w:rsidRDefault="00784815">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w:t>
            </w:r>
          </w:p>
        </w:tc>
        <w:tc>
          <w:tcPr>
            <w:tcW w:w="1950" w:type="dxa"/>
            <w:vAlign w:val="center"/>
          </w:tcPr>
          <w:p w14:paraId="67C3B7EA" w14:textId="77777777" w:rsidR="00784815" w:rsidRDefault="00784815">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5A736A7E" w14:textId="77777777" w:rsidR="00784815" w:rsidRDefault="00784815">
            <w:pPr>
              <w:pStyle w:val="a6"/>
              <w:spacing w:line="288" w:lineRule="auto"/>
              <w:ind w:firstLineChars="0" w:firstLine="0"/>
              <w:jc w:val="center"/>
              <w:rPr>
                <w:rFonts w:ascii="宋体" w:eastAsia="宋体" w:hAnsi="宋体" w:hint="eastAsia"/>
                <w:sz w:val="24"/>
                <w:szCs w:val="24"/>
              </w:rPr>
            </w:pPr>
          </w:p>
        </w:tc>
        <w:tc>
          <w:tcPr>
            <w:tcW w:w="1950" w:type="dxa"/>
            <w:vAlign w:val="center"/>
          </w:tcPr>
          <w:p w14:paraId="18C93F7D" w14:textId="77777777" w:rsidR="00784815" w:rsidRDefault="00784815">
            <w:pPr>
              <w:pStyle w:val="a6"/>
              <w:spacing w:line="288" w:lineRule="auto"/>
              <w:ind w:firstLineChars="0" w:firstLine="0"/>
              <w:jc w:val="center"/>
              <w:rPr>
                <w:rFonts w:ascii="宋体" w:eastAsia="宋体" w:hAnsi="宋体" w:hint="eastAsia"/>
                <w:sz w:val="24"/>
                <w:szCs w:val="24"/>
              </w:rPr>
            </w:pPr>
          </w:p>
        </w:tc>
      </w:tr>
    </w:tbl>
    <w:p w14:paraId="5AEDBFB2" w14:textId="77777777"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(2)</w:t>
      </w:r>
      <w:r>
        <w:rPr>
          <w:rFonts w:ascii="宋体" w:eastAsia="宋体" w:hAnsi="宋体" w:cs="方正书宋简体"/>
          <w:color w:val="231F20"/>
          <w:kern w:val="0"/>
          <w:sz w:val="24"/>
          <w:szCs w:val="24"/>
          <w:lang w:bidi="ar"/>
        </w:rPr>
        <w:t>在“研读·发现”环节，设计“核心概念梳理卡”：学生填写以下表格，理解儒家“君子”“恕”“修身”“四端”、道家“无”“无为”“用”、墨家“兼爱”等核心概念的内涵，并标注出处。</w:t>
      </w:r>
    </w:p>
    <w:tbl>
      <w:tblPr>
        <w:tblStyle w:val="a5"/>
        <w:tblW w:w="0" w:type="auto"/>
        <w:tblInd w:w="420" w:type="dxa"/>
        <w:tblLook w:val="04A0" w:firstRow="1" w:lastRow="0" w:firstColumn="1" w:lastColumn="0" w:noHBand="0" w:noVBand="1"/>
      </w:tblPr>
      <w:tblGrid>
        <w:gridCol w:w="1543"/>
        <w:gridCol w:w="1543"/>
        <w:gridCol w:w="1543"/>
        <w:gridCol w:w="1543"/>
        <w:gridCol w:w="1544"/>
      </w:tblGrid>
      <w:tr w:rsidR="00741F9C" w14:paraId="391175E2" w14:textId="77777777">
        <w:trPr>
          <w:trHeight w:val="345"/>
        </w:trPr>
        <w:tc>
          <w:tcPr>
            <w:tcW w:w="1543" w:type="dxa"/>
            <w:vAlign w:val="center"/>
          </w:tcPr>
          <w:p w14:paraId="6E730686"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学派</w:t>
            </w:r>
          </w:p>
        </w:tc>
        <w:tc>
          <w:tcPr>
            <w:tcW w:w="1543" w:type="dxa"/>
            <w:vAlign w:val="center"/>
          </w:tcPr>
          <w:p w14:paraId="17000893"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核心概念</w:t>
            </w:r>
          </w:p>
        </w:tc>
        <w:tc>
          <w:tcPr>
            <w:tcW w:w="1543" w:type="dxa"/>
            <w:vAlign w:val="center"/>
          </w:tcPr>
          <w:p w14:paraId="27B435D7"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例句</w:t>
            </w:r>
          </w:p>
        </w:tc>
        <w:tc>
          <w:tcPr>
            <w:tcW w:w="1543" w:type="dxa"/>
            <w:vAlign w:val="center"/>
          </w:tcPr>
          <w:p w14:paraId="5CC36BBA"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内涵</w:t>
            </w:r>
          </w:p>
        </w:tc>
        <w:tc>
          <w:tcPr>
            <w:tcW w:w="1544" w:type="dxa"/>
            <w:vAlign w:val="center"/>
          </w:tcPr>
          <w:p w14:paraId="743C867C"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出处</w:t>
            </w:r>
          </w:p>
        </w:tc>
      </w:tr>
      <w:tr w:rsidR="00741F9C" w14:paraId="034C808A" w14:textId="77777777">
        <w:trPr>
          <w:trHeight w:val="345"/>
        </w:trPr>
        <w:tc>
          <w:tcPr>
            <w:tcW w:w="1543" w:type="dxa"/>
            <w:vMerge w:val="restart"/>
            <w:vAlign w:val="center"/>
          </w:tcPr>
          <w:p w14:paraId="3BC970E6"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儒家</w:t>
            </w:r>
          </w:p>
        </w:tc>
        <w:tc>
          <w:tcPr>
            <w:tcW w:w="1543" w:type="dxa"/>
            <w:vAlign w:val="center"/>
          </w:tcPr>
          <w:p w14:paraId="79D30B7E"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君子</w:t>
            </w:r>
          </w:p>
        </w:tc>
        <w:tc>
          <w:tcPr>
            <w:tcW w:w="1543" w:type="dxa"/>
            <w:vMerge w:val="restart"/>
            <w:vAlign w:val="center"/>
          </w:tcPr>
          <w:p w14:paraId="7AA0C7C8"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Merge w:val="restart"/>
            <w:vAlign w:val="center"/>
          </w:tcPr>
          <w:p w14:paraId="12D1E596"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Merge w:val="restart"/>
            <w:vAlign w:val="center"/>
          </w:tcPr>
          <w:p w14:paraId="4296C3C4"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30A59935" w14:textId="77777777">
        <w:trPr>
          <w:trHeight w:val="345"/>
        </w:trPr>
        <w:tc>
          <w:tcPr>
            <w:tcW w:w="1543" w:type="dxa"/>
            <w:vMerge/>
            <w:vAlign w:val="center"/>
          </w:tcPr>
          <w:p w14:paraId="185DD685"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Align w:val="center"/>
          </w:tcPr>
          <w:p w14:paraId="2A6EC9A5"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恕</w:t>
            </w:r>
          </w:p>
        </w:tc>
        <w:tc>
          <w:tcPr>
            <w:tcW w:w="1543" w:type="dxa"/>
            <w:vMerge/>
            <w:vAlign w:val="center"/>
          </w:tcPr>
          <w:p w14:paraId="3907683A"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Merge/>
            <w:vAlign w:val="center"/>
          </w:tcPr>
          <w:p w14:paraId="79B8660D"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Merge/>
            <w:vAlign w:val="center"/>
          </w:tcPr>
          <w:p w14:paraId="52FC4415"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2989CFEE" w14:textId="77777777">
        <w:trPr>
          <w:trHeight w:val="345"/>
        </w:trPr>
        <w:tc>
          <w:tcPr>
            <w:tcW w:w="1543" w:type="dxa"/>
            <w:vMerge/>
            <w:vAlign w:val="center"/>
          </w:tcPr>
          <w:p w14:paraId="036E09DB"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Align w:val="center"/>
          </w:tcPr>
          <w:p w14:paraId="75EE6EBA"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修身</w:t>
            </w:r>
          </w:p>
        </w:tc>
        <w:tc>
          <w:tcPr>
            <w:tcW w:w="1543" w:type="dxa"/>
            <w:vMerge/>
            <w:vAlign w:val="center"/>
          </w:tcPr>
          <w:p w14:paraId="10B547D0"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Merge/>
            <w:vAlign w:val="center"/>
          </w:tcPr>
          <w:p w14:paraId="1B4F2F44"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Merge/>
            <w:vAlign w:val="center"/>
          </w:tcPr>
          <w:p w14:paraId="325C7E17"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2FE57B05" w14:textId="77777777">
        <w:trPr>
          <w:trHeight w:val="345"/>
        </w:trPr>
        <w:tc>
          <w:tcPr>
            <w:tcW w:w="1543" w:type="dxa"/>
            <w:vMerge/>
            <w:vAlign w:val="center"/>
          </w:tcPr>
          <w:p w14:paraId="303C25BD"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Align w:val="center"/>
          </w:tcPr>
          <w:p w14:paraId="665768F1"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四端</w:t>
            </w:r>
          </w:p>
        </w:tc>
        <w:tc>
          <w:tcPr>
            <w:tcW w:w="1543" w:type="dxa"/>
            <w:vMerge/>
            <w:vAlign w:val="center"/>
          </w:tcPr>
          <w:p w14:paraId="27685451"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Merge/>
            <w:vAlign w:val="center"/>
          </w:tcPr>
          <w:p w14:paraId="212AB306"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Merge/>
            <w:vAlign w:val="center"/>
          </w:tcPr>
          <w:p w14:paraId="45D05559"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3BF62F71" w14:textId="77777777">
        <w:trPr>
          <w:trHeight w:val="345"/>
        </w:trPr>
        <w:tc>
          <w:tcPr>
            <w:tcW w:w="1543" w:type="dxa"/>
            <w:vMerge w:val="restart"/>
            <w:vAlign w:val="center"/>
          </w:tcPr>
          <w:p w14:paraId="67DF0074"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道家</w:t>
            </w:r>
          </w:p>
        </w:tc>
        <w:tc>
          <w:tcPr>
            <w:tcW w:w="1543" w:type="dxa"/>
            <w:vAlign w:val="center"/>
          </w:tcPr>
          <w:p w14:paraId="545AFBD0"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无</w:t>
            </w:r>
          </w:p>
        </w:tc>
        <w:tc>
          <w:tcPr>
            <w:tcW w:w="1543" w:type="dxa"/>
            <w:vMerge w:val="restart"/>
            <w:vAlign w:val="center"/>
          </w:tcPr>
          <w:p w14:paraId="22F716E8"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Merge w:val="restart"/>
            <w:vAlign w:val="center"/>
          </w:tcPr>
          <w:p w14:paraId="2938A90B"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Merge w:val="restart"/>
            <w:vAlign w:val="center"/>
          </w:tcPr>
          <w:p w14:paraId="690C39B5"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1550C7C6" w14:textId="77777777">
        <w:trPr>
          <w:trHeight w:val="345"/>
        </w:trPr>
        <w:tc>
          <w:tcPr>
            <w:tcW w:w="1543" w:type="dxa"/>
            <w:vMerge/>
            <w:vAlign w:val="center"/>
          </w:tcPr>
          <w:p w14:paraId="435D1F61"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Align w:val="center"/>
          </w:tcPr>
          <w:p w14:paraId="22E6577A"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无为</w:t>
            </w:r>
          </w:p>
        </w:tc>
        <w:tc>
          <w:tcPr>
            <w:tcW w:w="1543" w:type="dxa"/>
            <w:vMerge/>
            <w:vAlign w:val="center"/>
          </w:tcPr>
          <w:p w14:paraId="7444F101"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Merge/>
            <w:vAlign w:val="center"/>
          </w:tcPr>
          <w:p w14:paraId="4C7E8BA2"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Merge/>
            <w:vAlign w:val="center"/>
          </w:tcPr>
          <w:p w14:paraId="4012A922"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6688B3A0" w14:textId="77777777">
        <w:trPr>
          <w:trHeight w:val="345"/>
        </w:trPr>
        <w:tc>
          <w:tcPr>
            <w:tcW w:w="1543" w:type="dxa"/>
            <w:vMerge/>
            <w:vAlign w:val="center"/>
          </w:tcPr>
          <w:p w14:paraId="6B9160E9"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Align w:val="center"/>
          </w:tcPr>
          <w:p w14:paraId="55A1E3E9"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用</w:t>
            </w:r>
          </w:p>
        </w:tc>
        <w:tc>
          <w:tcPr>
            <w:tcW w:w="1543" w:type="dxa"/>
            <w:vMerge/>
            <w:vAlign w:val="center"/>
          </w:tcPr>
          <w:p w14:paraId="1623082E"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Merge/>
            <w:vAlign w:val="center"/>
          </w:tcPr>
          <w:p w14:paraId="6B696936"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Merge/>
            <w:vAlign w:val="center"/>
          </w:tcPr>
          <w:p w14:paraId="2EB0C2FE"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4B1F7C73" w14:textId="77777777">
        <w:trPr>
          <w:trHeight w:val="354"/>
        </w:trPr>
        <w:tc>
          <w:tcPr>
            <w:tcW w:w="1543" w:type="dxa"/>
            <w:vAlign w:val="center"/>
          </w:tcPr>
          <w:p w14:paraId="31BC0472"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墨家</w:t>
            </w:r>
          </w:p>
        </w:tc>
        <w:tc>
          <w:tcPr>
            <w:tcW w:w="1543" w:type="dxa"/>
            <w:vAlign w:val="center"/>
          </w:tcPr>
          <w:p w14:paraId="133A21EE"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爱</w:t>
            </w:r>
          </w:p>
        </w:tc>
        <w:tc>
          <w:tcPr>
            <w:tcW w:w="1543" w:type="dxa"/>
            <w:vAlign w:val="center"/>
          </w:tcPr>
          <w:p w14:paraId="3CDA60AF"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3" w:type="dxa"/>
            <w:vAlign w:val="center"/>
          </w:tcPr>
          <w:p w14:paraId="6635F6D7"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1544" w:type="dxa"/>
            <w:vAlign w:val="center"/>
          </w:tcPr>
          <w:p w14:paraId="7ED1A8A1" w14:textId="77777777" w:rsidR="00741F9C" w:rsidRDefault="00741F9C">
            <w:pPr>
              <w:pStyle w:val="a6"/>
              <w:spacing w:line="288" w:lineRule="auto"/>
              <w:ind w:firstLineChars="0" w:firstLine="0"/>
              <w:jc w:val="center"/>
              <w:rPr>
                <w:rFonts w:ascii="宋体" w:eastAsia="宋体" w:hAnsi="宋体" w:hint="eastAsia"/>
                <w:sz w:val="24"/>
                <w:szCs w:val="24"/>
              </w:rPr>
            </w:pPr>
          </w:p>
        </w:tc>
      </w:tr>
    </w:tbl>
    <w:p w14:paraId="18742DCE" w14:textId="77777777" w:rsidR="00741F9C" w:rsidRDefault="00741F9C">
      <w:pPr>
        <w:pStyle w:val="a6"/>
        <w:spacing w:line="288" w:lineRule="auto"/>
        <w:ind w:firstLineChars="0" w:firstLine="0"/>
        <w:rPr>
          <w:rFonts w:ascii="宋体" w:eastAsia="宋体" w:hAnsi="宋体" w:hint="eastAsia"/>
          <w:sz w:val="24"/>
          <w:szCs w:val="24"/>
        </w:rPr>
      </w:pPr>
    </w:p>
    <w:p w14:paraId="011182B9" w14:textId="77777777" w:rsidR="00741F9C" w:rsidRDefault="00000000">
      <w:pPr>
        <w:pStyle w:val="a6"/>
        <w:spacing w:line="288" w:lineRule="auto"/>
        <w:ind w:left="420" w:firstLineChars="0" w:firstLine="0"/>
        <w:rPr>
          <w:rFonts w:ascii="宋体" w:eastAsia="宋体" w:hAnsi="宋体" w:hint="eastAsia"/>
          <w:sz w:val="24"/>
          <w:szCs w:val="24"/>
        </w:rPr>
      </w:pPr>
      <w:r>
        <w:rPr>
          <w:rFonts w:ascii="宋体" w:eastAsia="宋体" w:hAnsi="宋体" w:hint="eastAsia"/>
          <w:sz w:val="24"/>
          <w:szCs w:val="24"/>
        </w:rPr>
        <w:t>注：对于《老子》四章此类较难的文本，也可以再用表格进行细分。</w:t>
      </w:r>
    </w:p>
    <w:tbl>
      <w:tblPr>
        <w:tblStyle w:val="a5"/>
        <w:tblW w:w="7678" w:type="dxa"/>
        <w:tblInd w:w="420" w:type="dxa"/>
        <w:tblLook w:val="04A0" w:firstRow="1" w:lastRow="0" w:firstColumn="1" w:lastColumn="0" w:noHBand="0" w:noVBand="1"/>
      </w:tblPr>
      <w:tblGrid>
        <w:gridCol w:w="2559"/>
        <w:gridCol w:w="2559"/>
        <w:gridCol w:w="2560"/>
      </w:tblGrid>
      <w:tr w:rsidR="00741F9C" w14:paraId="348F0B32" w14:textId="77777777">
        <w:trPr>
          <w:trHeight w:val="336"/>
        </w:trPr>
        <w:tc>
          <w:tcPr>
            <w:tcW w:w="2559" w:type="dxa"/>
          </w:tcPr>
          <w:p w14:paraId="2A14DBD9"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矛盾统一的概念</w:t>
            </w:r>
          </w:p>
        </w:tc>
        <w:tc>
          <w:tcPr>
            <w:tcW w:w="2559" w:type="dxa"/>
          </w:tcPr>
          <w:p w14:paraId="287CE748"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老子的态度</w:t>
            </w:r>
          </w:p>
        </w:tc>
        <w:tc>
          <w:tcPr>
            <w:tcW w:w="2560" w:type="dxa"/>
          </w:tcPr>
          <w:p w14:paraId="5ED9BBA4"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相关章句</w:t>
            </w:r>
          </w:p>
        </w:tc>
      </w:tr>
      <w:tr w:rsidR="00741F9C" w14:paraId="288BBBF6" w14:textId="77777777">
        <w:trPr>
          <w:trHeight w:val="331"/>
        </w:trPr>
        <w:tc>
          <w:tcPr>
            <w:tcW w:w="2559" w:type="dxa"/>
          </w:tcPr>
          <w:p w14:paraId="32EA68A5" w14:textId="0118ECE4" w:rsidR="00741F9C" w:rsidRDefault="00784815">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w:t>
            </w:r>
          </w:p>
        </w:tc>
        <w:tc>
          <w:tcPr>
            <w:tcW w:w="2559" w:type="dxa"/>
          </w:tcPr>
          <w:p w14:paraId="059760D4"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560" w:type="dxa"/>
          </w:tcPr>
          <w:p w14:paraId="32CE3218" w14:textId="77777777" w:rsidR="00741F9C" w:rsidRDefault="00741F9C">
            <w:pPr>
              <w:pStyle w:val="a6"/>
              <w:spacing w:line="288" w:lineRule="auto"/>
              <w:ind w:firstLineChars="0" w:firstLine="0"/>
              <w:jc w:val="center"/>
              <w:rPr>
                <w:rFonts w:ascii="宋体" w:eastAsia="宋体" w:hAnsi="宋体" w:hint="eastAsia"/>
                <w:sz w:val="24"/>
                <w:szCs w:val="24"/>
              </w:rPr>
            </w:pPr>
          </w:p>
        </w:tc>
      </w:tr>
      <w:tr w:rsidR="00741F9C" w14:paraId="1C2688C3" w14:textId="77777777">
        <w:trPr>
          <w:trHeight w:val="336"/>
        </w:trPr>
        <w:tc>
          <w:tcPr>
            <w:tcW w:w="2559" w:type="dxa"/>
          </w:tcPr>
          <w:p w14:paraId="3D6879F3" w14:textId="34448ED7" w:rsidR="00741F9C" w:rsidRDefault="00784815">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w:t>
            </w:r>
          </w:p>
        </w:tc>
        <w:tc>
          <w:tcPr>
            <w:tcW w:w="2559" w:type="dxa"/>
          </w:tcPr>
          <w:p w14:paraId="7710036E"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560" w:type="dxa"/>
          </w:tcPr>
          <w:p w14:paraId="0AD68BFE" w14:textId="77777777" w:rsidR="00741F9C" w:rsidRDefault="00741F9C">
            <w:pPr>
              <w:pStyle w:val="a6"/>
              <w:spacing w:line="288" w:lineRule="auto"/>
              <w:ind w:firstLineChars="0" w:firstLine="0"/>
              <w:jc w:val="center"/>
              <w:rPr>
                <w:rFonts w:ascii="宋体" w:eastAsia="宋体" w:hAnsi="宋体" w:hint="eastAsia"/>
                <w:sz w:val="24"/>
                <w:szCs w:val="24"/>
              </w:rPr>
            </w:pPr>
          </w:p>
        </w:tc>
      </w:tr>
    </w:tbl>
    <w:p w14:paraId="674CCDAA" w14:textId="30C5C3EA" w:rsidR="00741F9C" w:rsidRDefault="00784815" w:rsidP="00784815">
      <w:pPr>
        <w:widowControl/>
        <w:spacing w:line="360" w:lineRule="auto"/>
        <w:ind w:firstLineChars="200" w:firstLine="482"/>
        <w:jc w:val="left"/>
        <w:rPr>
          <w:rFonts w:ascii="宋体" w:eastAsia="宋体" w:hAnsi="宋体" w:cs="方正书宋简体" w:hint="eastAsia"/>
          <w:color w:val="231F20"/>
          <w:kern w:val="0"/>
          <w:sz w:val="24"/>
          <w:szCs w:val="24"/>
          <w:lang w:bidi="ar"/>
        </w:rPr>
      </w:pPr>
      <w:r>
        <w:rPr>
          <w:rFonts w:ascii="宋体" w:eastAsia="宋体" w:hAnsi="宋体" w:cs="方正书宋简体" w:hint="eastAsia"/>
          <w:b/>
          <w:bCs/>
          <w:color w:val="231F20"/>
          <w:kern w:val="0"/>
          <w:sz w:val="24"/>
          <w:szCs w:val="24"/>
          <w:lang w:bidi="ar"/>
        </w:rPr>
        <w:t>设计</w:t>
      </w:r>
      <w:r w:rsidR="00000000">
        <w:rPr>
          <w:rFonts w:ascii="宋体" w:eastAsia="宋体" w:hAnsi="宋体" w:cs="方正书宋简体" w:hint="eastAsia"/>
          <w:b/>
          <w:bCs/>
          <w:color w:val="231F20"/>
          <w:kern w:val="0"/>
          <w:sz w:val="24"/>
          <w:szCs w:val="24"/>
          <w:lang w:bidi="ar"/>
        </w:rPr>
        <w:t>意图</w:t>
      </w:r>
      <w:r w:rsidR="00000000">
        <w:rPr>
          <w:rFonts w:ascii="宋体" w:eastAsia="宋体" w:hAnsi="宋体" w:cs="方正书宋简体"/>
          <w:b/>
          <w:bCs/>
          <w:color w:val="231F20"/>
          <w:kern w:val="0"/>
          <w:sz w:val="24"/>
          <w:szCs w:val="24"/>
          <w:lang w:bidi="ar"/>
        </w:rPr>
        <w:t>：</w:t>
      </w:r>
      <w:r w:rsidR="00000000">
        <w:rPr>
          <w:rFonts w:ascii="宋体" w:eastAsia="宋体" w:hAnsi="宋体" w:cs="方正书宋简体"/>
          <w:color w:val="231F20"/>
          <w:kern w:val="0"/>
          <w:sz w:val="24"/>
          <w:szCs w:val="24"/>
          <w:lang w:bidi="ar"/>
        </w:rPr>
        <w:t>虚词表格和概念卡片将分散的语言知识点结构化，便于迁移至课外文言阅读。同时，这一过程培养了学生使用工具书的自主学习能力，将“教师依赖型”文言学习转变为“自主探究型”。更重要的是，语言任务并非孤立存在——概念梳理直接服务于后续的学派比较与思想研读，实现了语言与思维、文化的有机整合。</w:t>
      </w:r>
    </w:p>
    <w:p w14:paraId="376D723A"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（二）思维发展与提升：在比较与批判中锤炼理性</w:t>
      </w:r>
    </w:p>
    <w:p w14:paraId="02B9350D" w14:textId="77777777" w:rsidR="00741F9C" w:rsidRDefault="00000000">
      <w:pPr>
        <w:widowControl/>
        <w:spacing w:line="360" w:lineRule="auto"/>
        <w:ind w:firstLineChars="200" w:firstLine="482"/>
        <w:jc w:val="left"/>
        <w:rPr>
          <w:rFonts w:ascii="宋体" w:eastAsia="宋体" w:hAnsi="宋体" w:cs="方正书宋简体" w:hint="eastAsia"/>
          <w:color w:val="231F20"/>
          <w:kern w:val="0"/>
          <w:sz w:val="24"/>
          <w:szCs w:val="24"/>
          <w:lang w:bidi="ar"/>
        </w:rPr>
      </w:pPr>
      <w:r>
        <w:rPr>
          <w:rFonts w:ascii="宋体" w:eastAsia="宋体" w:hAnsi="宋体" w:cs="方正书宋简体"/>
          <w:b/>
          <w:bCs/>
          <w:color w:val="231F20"/>
          <w:kern w:val="0"/>
          <w:sz w:val="24"/>
          <w:szCs w:val="24"/>
          <w:lang w:bidi="ar"/>
        </w:rPr>
        <w:t>设计理念：</w:t>
      </w:r>
      <w:r>
        <w:rPr>
          <w:rFonts w:ascii="宋体" w:eastAsia="宋体" w:hAnsi="宋体" w:cs="方正书宋简体"/>
          <w:color w:val="231F20"/>
          <w:kern w:val="0"/>
          <w:sz w:val="24"/>
          <w:szCs w:val="24"/>
          <w:lang w:bidi="ar"/>
        </w:rPr>
        <w:t>本单元的思维训练包含三个递进层次——①厘清单</w:t>
      </w:r>
      <w:proofErr w:type="gramStart"/>
      <w:r>
        <w:rPr>
          <w:rFonts w:ascii="宋体" w:eastAsia="宋体" w:hAnsi="宋体" w:cs="方正书宋简体"/>
          <w:color w:val="231F20"/>
          <w:kern w:val="0"/>
          <w:sz w:val="24"/>
          <w:szCs w:val="24"/>
          <w:lang w:bidi="ar"/>
        </w:rPr>
        <w:t>一</w:t>
      </w:r>
      <w:proofErr w:type="gramEnd"/>
      <w:r>
        <w:rPr>
          <w:rFonts w:ascii="宋体" w:eastAsia="宋体" w:hAnsi="宋体" w:cs="方正书宋简体"/>
          <w:color w:val="231F20"/>
          <w:kern w:val="0"/>
          <w:sz w:val="24"/>
          <w:szCs w:val="24"/>
          <w:lang w:bidi="ar"/>
        </w:rPr>
        <w:t>文本的内部逻辑；②比较不同文本之间的观点异同；③发现经典论证的逻辑瑕疵并进行修正。每一层次均通过表格、思维导图等可视化工具将隐性思维过程外显化，便于教师诊断思维盲点。</w:t>
      </w:r>
    </w:p>
    <w:p w14:paraId="4A191E46" w14:textId="485BAC7C" w:rsidR="00741F9C" w:rsidRDefault="00000000">
      <w:pPr>
        <w:widowControl/>
        <w:spacing w:line="360" w:lineRule="auto"/>
        <w:ind w:firstLineChars="200" w:firstLine="482"/>
        <w:jc w:val="left"/>
        <w:rPr>
          <w:rFonts w:ascii="宋体" w:eastAsia="宋体" w:hAnsi="宋体" w:cs="方正书宋简体" w:hint="eastAsia"/>
          <w:b/>
          <w:bCs/>
          <w:color w:val="231F20"/>
          <w:kern w:val="0"/>
          <w:sz w:val="24"/>
          <w:szCs w:val="24"/>
          <w:lang w:bidi="ar"/>
        </w:rPr>
      </w:pPr>
      <w:r>
        <w:rPr>
          <w:rFonts w:ascii="宋体" w:eastAsia="宋体" w:hAnsi="宋体" w:cs="方正书宋简体"/>
          <w:b/>
          <w:bCs/>
          <w:color w:val="231F20"/>
          <w:kern w:val="0"/>
          <w:sz w:val="24"/>
          <w:szCs w:val="24"/>
          <w:lang w:bidi="ar"/>
        </w:rPr>
        <w:t>案例</w:t>
      </w:r>
      <w:r w:rsidR="00784815">
        <w:rPr>
          <w:rFonts w:ascii="宋体" w:eastAsia="宋体" w:hAnsi="宋体" w:cs="方正书宋简体" w:hint="eastAsia"/>
          <w:b/>
          <w:bCs/>
          <w:color w:val="231F20"/>
          <w:kern w:val="0"/>
          <w:sz w:val="24"/>
          <w:szCs w:val="24"/>
          <w:lang w:bidi="ar"/>
        </w:rPr>
        <w:t>阐释</w:t>
      </w:r>
      <w:r>
        <w:rPr>
          <w:rFonts w:ascii="宋体" w:eastAsia="宋体" w:hAnsi="宋体" w:cs="方正书宋简体"/>
          <w:b/>
          <w:bCs/>
          <w:color w:val="231F20"/>
          <w:kern w:val="0"/>
          <w:sz w:val="24"/>
          <w:szCs w:val="24"/>
          <w:lang w:bidi="ar"/>
        </w:rPr>
        <w:t>：</w:t>
      </w:r>
    </w:p>
    <w:p w14:paraId="0941D17F" w14:textId="77777777" w:rsidR="00741F9C" w:rsidRDefault="00000000">
      <w:pPr>
        <w:widowControl/>
        <w:spacing w:line="360" w:lineRule="auto"/>
        <w:ind w:firstLineChars="200" w:firstLine="480"/>
        <w:jc w:val="left"/>
        <w:rPr>
          <w:rFonts w:ascii="宋体" w:eastAsia="宋体" w:hAnsi="宋体" w:cs="方正书宋简体"/>
          <w:color w:val="231F20"/>
          <w:kern w:val="0"/>
          <w:sz w:val="24"/>
          <w:szCs w:val="24"/>
          <w:lang w:bidi="ar"/>
        </w:rPr>
      </w:pPr>
      <w:r>
        <w:rPr>
          <w:rFonts w:ascii="宋体" w:eastAsia="宋体" w:hAnsi="宋体" w:cs="方正书宋简体" w:hint="eastAsia"/>
          <w:color w:val="231F20"/>
          <w:kern w:val="0"/>
          <w:sz w:val="24"/>
          <w:szCs w:val="24"/>
          <w:lang w:bidi="ar"/>
        </w:rPr>
        <w:t>(1)</w:t>
      </w:r>
      <w:r>
        <w:rPr>
          <w:rFonts w:ascii="楷体" w:eastAsia="楷体" w:hAnsi="楷体" w:cs="楷体"/>
          <w:color w:val="231F20"/>
          <w:kern w:val="0"/>
          <w:sz w:val="24"/>
          <w:szCs w:val="24"/>
          <w:lang w:bidi="ar"/>
        </w:rPr>
        <w:t>层次</w:t>
      </w:r>
      <w:proofErr w:type="gramStart"/>
      <w:r>
        <w:rPr>
          <w:rFonts w:ascii="楷体" w:eastAsia="楷体" w:hAnsi="楷体" w:cs="楷体"/>
          <w:color w:val="231F20"/>
          <w:kern w:val="0"/>
          <w:sz w:val="24"/>
          <w:szCs w:val="24"/>
          <w:lang w:bidi="ar"/>
        </w:rPr>
        <w:t>一</w:t>
      </w:r>
      <w:proofErr w:type="gramEnd"/>
      <w:r>
        <w:rPr>
          <w:rFonts w:ascii="楷体" w:eastAsia="楷体" w:hAnsi="楷体" w:cs="楷体"/>
          <w:color w:val="231F20"/>
          <w:kern w:val="0"/>
          <w:sz w:val="24"/>
          <w:szCs w:val="24"/>
          <w:lang w:bidi="ar"/>
        </w:rPr>
        <w:t>（比较思维）：</w:t>
      </w:r>
      <w:r>
        <w:rPr>
          <w:rFonts w:ascii="宋体" w:eastAsia="宋体" w:hAnsi="宋体" w:cs="方正书宋简体"/>
          <w:color w:val="231F20"/>
          <w:kern w:val="0"/>
          <w:sz w:val="24"/>
          <w:szCs w:val="24"/>
          <w:lang w:bidi="ar"/>
        </w:rPr>
        <w:t>在“研读·发现”环节，要求学生分别比较儒家内部（孔子、《大学》、孟子）以及道家内部（老子、庄子）的思想异同，填写异同表并分析差异原因（个性因素与历史背景）进而要求对比儒、道、墨三家之间的学说观念与处事态度的异同，探究差异形成的社会根源（如阶层立场、救</w:t>
      </w:r>
      <w:proofErr w:type="gramStart"/>
      <w:r>
        <w:rPr>
          <w:rFonts w:ascii="宋体" w:eastAsia="宋体" w:hAnsi="宋体" w:cs="方正书宋简体"/>
          <w:color w:val="231F20"/>
          <w:kern w:val="0"/>
          <w:sz w:val="24"/>
          <w:szCs w:val="24"/>
          <w:lang w:bidi="ar"/>
        </w:rPr>
        <w:t>世</w:t>
      </w:r>
      <w:proofErr w:type="gramEnd"/>
      <w:r>
        <w:rPr>
          <w:rFonts w:ascii="宋体" w:eastAsia="宋体" w:hAnsi="宋体" w:cs="方正书宋简体"/>
          <w:color w:val="231F20"/>
          <w:kern w:val="0"/>
          <w:sz w:val="24"/>
          <w:szCs w:val="24"/>
          <w:lang w:bidi="ar"/>
        </w:rPr>
        <w:t>路径的不同）。</w:t>
      </w:r>
    </w:p>
    <w:p w14:paraId="6A7D34B2" w14:textId="2B11A407" w:rsidR="00784815" w:rsidRPr="00784815" w:rsidRDefault="00784815" w:rsidP="00784815">
      <w:pPr>
        <w:widowControl/>
        <w:spacing w:line="360" w:lineRule="auto"/>
        <w:ind w:firstLineChars="200" w:firstLine="480"/>
        <w:jc w:val="center"/>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表二  诸子思想观念比较</w:t>
      </w:r>
    </w:p>
    <w:tbl>
      <w:tblPr>
        <w:tblStyle w:val="a5"/>
        <w:tblW w:w="8081" w:type="dxa"/>
        <w:tblInd w:w="420" w:type="dxa"/>
        <w:tblLook w:val="04A0" w:firstRow="1" w:lastRow="0" w:firstColumn="1" w:lastColumn="0" w:noHBand="0" w:noVBand="1"/>
      </w:tblPr>
      <w:tblGrid>
        <w:gridCol w:w="2039"/>
        <w:gridCol w:w="2014"/>
        <w:gridCol w:w="2014"/>
        <w:gridCol w:w="2014"/>
      </w:tblGrid>
      <w:tr w:rsidR="00741F9C" w14:paraId="663C9B5A" w14:textId="77777777">
        <w:trPr>
          <w:trHeight w:val="439"/>
        </w:trPr>
        <w:tc>
          <w:tcPr>
            <w:tcW w:w="2039" w:type="dxa"/>
            <w:vAlign w:val="center"/>
          </w:tcPr>
          <w:p w14:paraId="4C69FF46"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Align w:val="center"/>
          </w:tcPr>
          <w:p w14:paraId="16064F0F"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同</w:t>
            </w:r>
          </w:p>
        </w:tc>
        <w:tc>
          <w:tcPr>
            <w:tcW w:w="2014" w:type="dxa"/>
            <w:vAlign w:val="center"/>
          </w:tcPr>
          <w:p w14:paraId="012FE257"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异</w:t>
            </w:r>
          </w:p>
        </w:tc>
        <w:tc>
          <w:tcPr>
            <w:tcW w:w="2014" w:type="dxa"/>
            <w:vAlign w:val="center"/>
          </w:tcPr>
          <w:p w14:paraId="03F57045"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产生差异的原因</w:t>
            </w:r>
          </w:p>
        </w:tc>
      </w:tr>
      <w:tr w:rsidR="00741F9C" w14:paraId="540F8FBA" w14:textId="77777777">
        <w:trPr>
          <w:trHeight w:val="338"/>
        </w:trPr>
        <w:tc>
          <w:tcPr>
            <w:tcW w:w="2039" w:type="dxa"/>
            <w:vMerge w:val="restart"/>
            <w:vAlign w:val="center"/>
          </w:tcPr>
          <w:p w14:paraId="3A2B6352"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孔子、《大学》、孟子思想观念比较</w:t>
            </w:r>
          </w:p>
        </w:tc>
        <w:tc>
          <w:tcPr>
            <w:tcW w:w="2014" w:type="dxa"/>
            <w:vMerge w:val="restart"/>
            <w:vAlign w:val="center"/>
          </w:tcPr>
          <w:p w14:paraId="576F1ACA"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Merge w:val="restart"/>
            <w:vAlign w:val="center"/>
          </w:tcPr>
          <w:p w14:paraId="2F7B63FF"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Align w:val="center"/>
          </w:tcPr>
          <w:p w14:paraId="6A9922DF"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个性原因：</w:t>
            </w:r>
          </w:p>
        </w:tc>
      </w:tr>
      <w:tr w:rsidR="00741F9C" w14:paraId="30269F60" w14:textId="77777777">
        <w:trPr>
          <w:trHeight w:val="338"/>
        </w:trPr>
        <w:tc>
          <w:tcPr>
            <w:tcW w:w="2039" w:type="dxa"/>
            <w:vMerge/>
            <w:vAlign w:val="center"/>
          </w:tcPr>
          <w:p w14:paraId="4C5F603A"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Merge/>
            <w:vAlign w:val="center"/>
          </w:tcPr>
          <w:p w14:paraId="6ED01ECE"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Merge/>
            <w:vAlign w:val="center"/>
          </w:tcPr>
          <w:p w14:paraId="5F60F8A7"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Align w:val="center"/>
          </w:tcPr>
          <w:p w14:paraId="72ABF7A6"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历史背景：</w:t>
            </w:r>
          </w:p>
        </w:tc>
      </w:tr>
      <w:tr w:rsidR="00741F9C" w14:paraId="24E30962" w14:textId="77777777">
        <w:trPr>
          <w:trHeight w:val="338"/>
        </w:trPr>
        <w:tc>
          <w:tcPr>
            <w:tcW w:w="2039" w:type="dxa"/>
            <w:vMerge w:val="restart"/>
            <w:vAlign w:val="center"/>
          </w:tcPr>
          <w:p w14:paraId="584D1064"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老子、庄子思想观念比较</w:t>
            </w:r>
          </w:p>
        </w:tc>
        <w:tc>
          <w:tcPr>
            <w:tcW w:w="2014" w:type="dxa"/>
            <w:vMerge w:val="restart"/>
            <w:vAlign w:val="center"/>
          </w:tcPr>
          <w:p w14:paraId="348D7EE4"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Merge w:val="restart"/>
            <w:vAlign w:val="center"/>
          </w:tcPr>
          <w:p w14:paraId="6E244CB1"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Align w:val="center"/>
          </w:tcPr>
          <w:p w14:paraId="2F2407D7"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个性原因：</w:t>
            </w:r>
          </w:p>
        </w:tc>
      </w:tr>
      <w:tr w:rsidR="00741F9C" w14:paraId="09AF1E7E" w14:textId="77777777">
        <w:trPr>
          <w:trHeight w:val="338"/>
        </w:trPr>
        <w:tc>
          <w:tcPr>
            <w:tcW w:w="2039" w:type="dxa"/>
            <w:vMerge/>
            <w:vAlign w:val="center"/>
          </w:tcPr>
          <w:p w14:paraId="03CEF518"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Merge/>
            <w:vAlign w:val="center"/>
          </w:tcPr>
          <w:p w14:paraId="371D0A26"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Merge/>
            <w:vAlign w:val="center"/>
          </w:tcPr>
          <w:p w14:paraId="715A58DB" w14:textId="77777777" w:rsidR="00741F9C" w:rsidRDefault="00741F9C">
            <w:pPr>
              <w:pStyle w:val="a6"/>
              <w:spacing w:line="288" w:lineRule="auto"/>
              <w:ind w:firstLineChars="0" w:firstLine="0"/>
              <w:jc w:val="center"/>
              <w:rPr>
                <w:rFonts w:ascii="宋体" w:eastAsia="宋体" w:hAnsi="宋体" w:hint="eastAsia"/>
                <w:sz w:val="24"/>
                <w:szCs w:val="24"/>
              </w:rPr>
            </w:pPr>
          </w:p>
        </w:tc>
        <w:tc>
          <w:tcPr>
            <w:tcW w:w="2014" w:type="dxa"/>
            <w:vAlign w:val="center"/>
          </w:tcPr>
          <w:p w14:paraId="744C295F" w14:textId="77777777" w:rsidR="00741F9C" w:rsidRDefault="00000000">
            <w:pPr>
              <w:pStyle w:val="a6"/>
              <w:spacing w:line="288" w:lineRule="auto"/>
              <w:ind w:firstLineChars="0" w:firstLine="0"/>
              <w:jc w:val="center"/>
              <w:rPr>
                <w:rFonts w:ascii="宋体" w:eastAsia="宋体" w:hAnsi="宋体" w:hint="eastAsia"/>
                <w:sz w:val="24"/>
                <w:szCs w:val="24"/>
              </w:rPr>
            </w:pPr>
            <w:r>
              <w:rPr>
                <w:rFonts w:ascii="宋体" w:eastAsia="宋体" w:hAnsi="宋体" w:hint="eastAsia"/>
                <w:sz w:val="24"/>
                <w:szCs w:val="24"/>
              </w:rPr>
              <w:t>历史背景：</w:t>
            </w:r>
          </w:p>
        </w:tc>
      </w:tr>
    </w:tbl>
    <w:p w14:paraId="79822D57" w14:textId="5ECE70CA"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lastRenderedPageBreak/>
        <w:t>(2)</w:t>
      </w:r>
      <w:r>
        <w:rPr>
          <w:rFonts w:ascii="楷体" w:eastAsia="楷体" w:hAnsi="楷体" w:cs="楷体"/>
          <w:color w:val="231F20"/>
          <w:kern w:val="0"/>
          <w:sz w:val="24"/>
          <w:szCs w:val="24"/>
          <w:lang w:bidi="ar"/>
        </w:rPr>
        <w:t>层次二（批判性思维）：</w:t>
      </w:r>
      <w:r>
        <w:rPr>
          <w:rFonts w:ascii="宋体" w:eastAsia="宋体" w:hAnsi="宋体" w:cs="方正书宋简体"/>
          <w:color w:val="231F20"/>
          <w:kern w:val="0"/>
          <w:sz w:val="24"/>
          <w:szCs w:val="24"/>
          <w:lang w:bidi="ar"/>
        </w:rPr>
        <w:t>在“深化·反思”环节，引导学生从论证逻辑角度分析《大学之道》《人皆有不忍人之心》《五石之瓠》《兼爱》等篇目中可能存在的论证瑕疵。</w:t>
      </w:r>
    </w:p>
    <w:p w14:paraId="557E9F16"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（三）审美鉴赏与创造：在风格品味与创意表达中涵养语感</w:t>
      </w:r>
    </w:p>
    <w:p w14:paraId="381A5B16" w14:textId="77777777" w:rsidR="00741F9C" w:rsidRDefault="00000000">
      <w:pPr>
        <w:widowControl/>
        <w:spacing w:line="360" w:lineRule="auto"/>
        <w:ind w:firstLineChars="200" w:firstLine="482"/>
        <w:jc w:val="left"/>
        <w:rPr>
          <w:rFonts w:ascii="宋体" w:eastAsia="宋体" w:hAnsi="宋体" w:cs="方正书宋简体" w:hint="eastAsia"/>
          <w:color w:val="231F20"/>
          <w:kern w:val="0"/>
          <w:sz w:val="24"/>
          <w:szCs w:val="24"/>
          <w:lang w:bidi="ar"/>
        </w:rPr>
      </w:pPr>
      <w:r>
        <w:rPr>
          <w:rFonts w:ascii="宋体" w:eastAsia="宋体" w:hAnsi="宋体" w:cs="方正书宋简体"/>
          <w:b/>
          <w:bCs/>
          <w:color w:val="231F20"/>
          <w:kern w:val="0"/>
          <w:sz w:val="24"/>
          <w:szCs w:val="24"/>
          <w:lang w:bidi="ar"/>
        </w:rPr>
        <w:t>设计理念：</w:t>
      </w:r>
      <w:r>
        <w:rPr>
          <w:rFonts w:ascii="宋体" w:eastAsia="宋体" w:hAnsi="宋体" w:cs="方正书宋简体"/>
          <w:color w:val="231F20"/>
          <w:kern w:val="0"/>
          <w:sz w:val="24"/>
          <w:szCs w:val="24"/>
          <w:lang w:bidi="ar"/>
        </w:rPr>
        <w:t>先秦诸子文本具有鲜明的论说风格差异</w:t>
      </w:r>
      <w:r>
        <w:rPr>
          <w:rFonts w:ascii="宋体" w:eastAsia="宋体" w:hAnsi="宋体" w:cs="方正书宋简体" w:hint="eastAsia"/>
          <w:color w:val="231F20"/>
          <w:kern w:val="0"/>
          <w:sz w:val="24"/>
          <w:szCs w:val="24"/>
          <w:lang w:bidi="ar"/>
        </w:rPr>
        <w:t>，</w:t>
      </w:r>
      <w:r>
        <w:rPr>
          <w:rFonts w:ascii="宋体" w:eastAsia="宋体" w:hAnsi="宋体" w:cs="方正书宋简体"/>
          <w:color w:val="231F20"/>
          <w:kern w:val="0"/>
          <w:sz w:val="24"/>
          <w:szCs w:val="24"/>
          <w:lang w:bidi="ar"/>
        </w:rPr>
        <w:t>审美鉴赏任务不应止于说出风格名称，而应要求学生结合具体语句说明感受；创意表达任务则要求学生在理解诸子精神内核的基础上进行现代语境下的转化性写作。</w:t>
      </w:r>
    </w:p>
    <w:p w14:paraId="11EC039D" w14:textId="64E986B7" w:rsidR="00741F9C" w:rsidRDefault="00000000">
      <w:pPr>
        <w:widowControl/>
        <w:spacing w:line="360" w:lineRule="auto"/>
        <w:ind w:firstLineChars="200" w:firstLine="482"/>
        <w:jc w:val="left"/>
        <w:rPr>
          <w:rFonts w:ascii="宋体" w:eastAsia="宋体" w:hAnsi="宋体" w:cs="方正书宋简体" w:hint="eastAsia"/>
          <w:b/>
          <w:bCs/>
          <w:color w:val="231F20"/>
          <w:kern w:val="0"/>
          <w:sz w:val="24"/>
          <w:szCs w:val="24"/>
          <w:lang w:bidi="ar"/>
        </w:rPr>
      </w:pPr>
      <w:r>
        <w:rPr>
          <w:rFonts w:ascii="宋体" w:eastAsia="宋体" w:hAnsi="宋体" w:cs="方正书宋简体"/>
          <w:b/>
          <w:bCs/>
          <w:color w:val="231F20"/>
          <w:kern w:val="0"/>
          <w:sz w:val="24"/>
          <w:szCs w:val="24"/>
          <w:lang w:bidi="ar"/>
        </w:rPr>
        <w:t>案例</w:t>
      </w:r>
      <w:r w:rsidR="00784815">
        <w:rPr>
          <w:rFonts w:ascii="宋体" w:eastAsia="宋体" w:hAnsi="宋体" w:cs="方正书宋简体" w:hint="eastAsia"/>
          <w:b/>
          <w:bCs/>
          <w:color w:val="231F20"/>
          <w:kern w:val="0"/>
          <w:sz w:val="24"/>
          <w:szCs w:val="24"/>
          <w:lang w:bidi="ar"/>
        </w:rPr>
        <w:t>阐释</w:t>
      </w:r>
      <w:r>
        <w:rPr>
          <w:rFonts w:ascii="宋体" w:eastAsia="宋体" w:hAnsi="宋体" w:cs="方正书宋简体"/>
          <w:b/>
          <w:bCs/>
          <w:color w:val="231F20"/>
          <w:kern w:val="0"/>
          <w:sz w:val="24"/>
          <w:szCs w:val="24"/>
          <w:lang w:bidi="ar"/>
        </w:rPr>
        <w:t>：</w:t>
      </w:r>
    </w:p>
    <w:p w14:paraId="66E51041" w14:textId="77777777"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（1）</w:t>
      </w:r>
      <w:r>
        <w:rPr>
          <w:rFonts w:ascii="楷体" w:eastAsia="楷体" w:hAnsi="楷体" w:cs="楷体"/>
          <w:color w:val="231F20"/>
          <w:kern w:val="0"/>
          <w:sz w:val="24"/>
          <w:szCs w:val="24"/>
          <w:lang w:bidi="ar"/>
        </w:rPr>
        <w:t>审美判断：</w:t>
      </w:r>
      <w:r>
        <w:rPr>
          <w:rFonts w:ascii="宋体" w:eastAsia="宋体" w:hAnsi="宋体" w:cs="方正书宋简体"/>
          <w:color w:val="231F20"/>
          <w:kern w:val="0"/>
          <w:sz w:val="24"/>
          <w:szCs w:val="24"/>
          <w:lang w:bidi="ar"/>
        </w:rPr>
        <w:t>在“研读·发现”环节，设计开放性任务：“总结概括各篇行文风格，谈谈六篇诸子经典中，从自身审美倾向而言你最喜欢哪一种？请结合具体语句说明理由。”此任务不设标准答案，学生可以从语言节奏、比喻艺术、说理气势、修辞特色等角度进行个性化评价。</w:t>
      </w:r>
    </w:p>
    <w:p w14:paraId="038F4A4B" w14:textId="77777777"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（2）</w:t>
      </w:r>
      <w:r>
        <w:rPr>
          <w:rFonts w:ascii="楷体" w:eastAsia="楷体" w:hAnsi="楷体" w:cs="楷体"/>
          <w:color w:val="231F20"/>
          <w:kern w:val="0"/>
          <w:sz w:val="24"/>
          <w:szCs w:val="24"/>
          <w:lang w:bidi="ar"/>
        </w:rPr>
        <w:t>创意表达：</w:t>
      </w:r>
      <w:r>
        <w:rPr>
          <w:rFonts w:ascii="宋体" w:eastAsia="宋体" w:hAnsi="宋体" w:cs="方正书宋简体"/>
          <w:color w:val="231F20"/>
          <w:kern w:val="0"/>
          <w:sz w:val="24"/>
          <w:szCs w:val="24"/>
          <w:lang w:bidi="ar"/>
        </w:rPr>
        <w:t>在“抒发·构建”环节，设计两项写作任务：①学校“诸子百家文化周”</w:t>
      </w:r>
      <w:proofErr w:type="gramStart"/>
      <w:r>
        <w:rPr>
          <w:rFonts w:ascii="宋体" w:eastAsia="宋体" w:hAnsi="宋体" w:cs="方正书宋简体"/>
          <w:color w:val="231F20"/>
          <w:kern w:val="0"/>
          <w:sz w:val="24"/>
          <w:szCs w:val="24"/>
          <w:lang w:bidi="ar"/>
        </w:rPr>
        <w:t>微信公众号推文</w:t>
      </w:r>
      <w:proofErr w:type="gramEnd"/>
      <w:r>
        <w:rPr>
          <w:rFonts w:ascii="宋体" w:eastAsia="宋体" w:hAnsi="宋体" w:cs="方正书宋简体"/>
          <w:color w:val="231F20"/>
          <w:kern w:val="0"/>
          <w:sz w:val="24"/>
          <w:szCs w:val="24"/>
          <w:lang w:bidi="ar"/>
        </w:rPr>
        <w:t>撰写，主题为“诸子与后世名人”（如庄子对陶渊明、苏轼的影响），要求格式符合公众号文体；②书信写作《XX（诸子人物），现在的我想对你说》，要求结合自身生活实例，谈某一思想如何帮助自己解决现实困惑。</w:t>
      </w:r>
    </w:p>
    <w:p w14:paraId="2DC816EA" w14:textId="6DE20C25" w:rsidR="00741F9C" w:rsidRDefault="00000000" w:rsidP="00784815">
      <w:pPr>
        <w:widowControl/>
        <w:spacing w:line="360" w:lineRule="auto"/>
        <w:ind w:firstLineChars="200" w:firstLine="482"/>
        <w:jc w:val="left"/>
        <w:rPr>
          <w:rFonts w:ascii="宋体" w:eastAsia="宋体" w:hAnsi="宋体" w:cs="方正书宋简体" w:hint="eastAsia"/>
          <w:color w:val="231F20"/>
          <w:kern w:val="0"/>
          <w:sz w:val="24"/>
          <w:szCs w:val="24"/>
          <w:lang w:bidi="ar"/>
        </w:rPr>
      </w:pPr>
      <w:r>
        <w:rPr>
          <w:rFonts w:ascii="宋体" w:eastAsia="宋体" w:hAnsi="宋体" w:cs="方正书宋简体"/>
          <w:b/>
          <w:bCs/>
          <w:color w:val="231F20"/>
          <w:kern w:val="0"/>
          <w:sz w:val="24"/>
          <w:szCs w:val="24"/>
          <w:lang w:bidi="ar"/>
        </w:rPr>
        <w:t>策略意图：</w:t>
      </w:r>
      <w:r>
        <w:rPr>
          <w:rFonts w:ascii="宋体" w:eastAsia="宋体" w:hAnsi="宋体" w:cs="方正书宋简体"/>
          <w:color w:val="231F20"/>
          <w:kern w:val="0"/>
          <w:sz w:val="24"/>
          <w:szCs w:val="24"/>
          <w:lang w:bidi="ar"/>
        </w:rPr>
        <w:t>审美判断任务尊重学生的个体直觉，同时要求有理有据的阐释，提升了审美体验的理性成分。</w:t>
      </w:r>
      <w:proofErr w:type="gramStart"/>
      <w:r>
        <w:rPr>
          <w:rFonts w:ascii="宋体" w:eastAsia="宋体" w:hAnsi="宋体" w:cs="方正书宋简体"/>
          <w:color w:val="231F20"/>
          <w:kern w:val="0"/>
          <w:sz w:val="24"/>
          <w:szCs w:val="24"/>
          <w:lang w:bidi="ar"/>
        </w:rPr>
        <w:t>推文写作</w:t>
      </w:r>
      <w:proofErr w:type="gramEnd"/>
      <w:r>
        <w:rPr>
          <w:rFonts w:ascii="宋体" w:eastAsia="宋体" w:hAnsi="宋体" w:cs="方正书宋简体"/>
          <w:color w:val="231F20"/>
          <w:kern w:val="0"/>
          <w:sz w:val="24"/>
          <w:szCs w:val="24"/>
          <w:lang w:bidi="ar"/>
        </w:rPr>
        <w:t>不仅要求学生理解诸子思想对后世文人的精神滋养，还要求他们适应新媒体写作场景，实现了“古为今用”的创造性转化。书信写作则建立了与古人的直接对话关系，使审美体验从“旁观式欣赏”转向“代入式共情”。</w:t>
      </w:r>
    </w:p>
    <w:p w14:paraId="1EAA43A5"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（四）文化传承与理解：在历史语境与现实关怀中建构人格</w:t>
      </w:r>
    </w:p>
    <w:p w14:paraId="69FAF90C" w14:textId="77777777" w:rsidR="00741F9C" w:rsidRDefault="00000000">
      <w:pPr>
        <w:widowControl/>
        <w:spacing w:line="360" w:lineRule="auto"/>
        <w:ind w:firstLineChars="200" w:firstLine="482"/>
        <w:jc w:val="left"/>
        <w:rPr>
          <w:rFonts w:ascii="宋体" w:eastAsia="宋体" w:hAnsi="宋体" w:cs="方正书宋简体" w:hint="eastAsia"/>
          <w:color w:val="231F20"/>
          <w:kern w:val="0"/>
          <w:sz w:val="24"/>
          <w:szCs w:val="24"/>
          <w:lang w:bidi="ar"/>
        </w:rPr>
      </w:pPr>
      <w:r>
        <w:rPr>
          <w:rFonts w:ascii="宋体" w:eastAsia="宋体" w:hAnsi="宋体" w:cs="方正书宋简体"/>
          <w:b/>
          <w:bCs/>
          <w:color w:val="231F20"/>
          <w:kern w:val="0"/>
          <w:sz w:val="24"/>
          <w:szCs w:val="24"/>
          <w:lang w:bidi="ar"/>
        </w:rPr>
        <w:t>设计理念：</w:t>
      </w:r>
      <w:r>
        <w:rPr>
          <w:rFonts w:ascii="宋体" w:eastAsia="宋体" w:hAnsi="宋体" w:cs="方正书宋简体"/>
          <w:color w:val="231F20"/>
          <w:kern w:val="0"/>
          <w:sz w:val="24"/>
          <w:szCs w:val="24"/>
          <w:lang w:bidi="ar"/>
        </w:rPr>
        <w:t>文化传承不止于记住“仁”“无为”“兼爱”等概念，更在于理解“诸子为何提出这些主张”以及“这些主张对当代青少年有何意义”。作业设计应避免两种偏差：一是脱离历史语境的抽象说教，二是割裂古今的博物馆式陈列。正确的路径是在历史语境中理解思想的产生，在现实关怀中实现意义的转化。</w:t>
      </w:r>
    </w:p>
    <w:p w14:paraId="18022E5D" w14:textId="6F3E9C17" w:rsidR="00741F9C" w:rsidRDefault="00000000">
      <w:pPr>
        <w:widowControl/>
        <w:spacing w:line="360" w:lineRule="auto"/>
        <w:ind w:firstLineChars="200" w:firstLine="482"/>
        <w:jc w:val="left"/>
        <w:rPr>
          <w:rFonts w:ascii="宋体" w:eastAsia="宋体" w:hAnsi="宋体" w:cs="方正书宋简体" w:hint="eastAsia"/>
          <w:b/>
          <w:bCs/>
          <w:color w:val="231F20"/>
          <w:kern w:val="0"/>
          <w:sz w:val="24"/>
          <w:szCs w:val="24"/>
          <w:lang w:bidi="ar"/>
        </w:rPr>
      </w:pPr>
      <w:r>
        <w:rPr>
          <w:rFonts w:ascii="宋体" w:eastAsia="宋体" w:hAnsi="宋体" w:cs="方正书宋简体"/>
          <w:b/>
          <w:bCs/>
          <w:color w:val="231F20"/>
          <w:kern w:val="0"/>
          <w:sz w:val="24"/>
          <w:szCs w:val="24"/>
          <w:lang w:bidi="ar"/>
        </w:rPr>
        <w:t>案例</w:t>
      </w:r>
      <w:r w:rsidR="00784815">
        <w:rPr>
          <w:rFonts w:ascii="宋体" w:eastAsia="宋体" w:hAnsi="宋体" w:cs="方正书宋简体" w:hint="eastAsia"/>
          <w:b/>
          <w:bCs/>
          <w:color w:val="231F20"/>
          <w:kern w:val="0"/>
          <w:sz w:val="24"/>
          <w:szCs w:val="24"/>
          <w:lang w:bidi="ar"/>
        </w:rPr>
        <w:t>阐释</w:t>
      </w:r>
      <w:r>
        <w:rPr>
          <w:rFonts w:ascii="宋体" w:eastAsia="宋体" w:hAnsi="宋体" w:cs="方正书宋简体"/>
          <w:b/>
          <w:bCs/>
          <w:color w:val="231F20"/>
          <w:kern w:val="0"/>
          <w:sz w:val="24"/>
          <w:szCs w:val="24"/>
          <w:lang w:bidi="ar"/>
        </w:rPr>
        <w:t>：</w:t>
      </w:r>
    </w:p>
    <w:p w14:paraId="47FF6532" w14:textId="77777777"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lastRenderedPageBreak/>
        <w:t>（1）</w:t>
      </w:r>
      <w:r>
        <w:rPr>
          <w:rFonts w:ascii="楷体" w:eastAsia="楷体" w:hAnsi="楷体" w:cs="楷体"/>
          <w:color w:val="231F20"/>
          <w:kern w:val="0"/>
          <w:sz w:val="24"/>
          <w:szCs w:val="24"/>
          <w:lang w:bidi="ar"/>
        </w:rPr>
        <w:t>历史语境中的理解：</w:t>
      </w:r>
      <w:r>
        <w:rPr>
          <w:rFonts w:ascii="宋体" w:eastAsia="宋体" w:hAnsi="宋体" w:cs="方正书宋简体"/>
          <w:color w:val="231F20"/>
          <w:kern w:val="0"/>
          <w:sz w:val="24"/>
          <w:szCs w:val="24"/>
          <w:lang w:bidi="ar"/>
        </w:rPr>
        <w:t>在前述比较表格中专门设置“产生差异的原因”一栏（含“个性原因”与“历史背景”两子项），要求学生结合春秋战国的社会动荡、礼崩乐坏、士人阶层兴起等背景，解释孔子重“礼乐教化”、老子尚“小国寡民”、墨子</w:t>
      </w:r>
      <w:proofErr w:type="gramStart"/>
      <w:r>
        <w:rPr>
          <w:rFonts w:ascii="宋体" w:eastAsia="宋体" w:hAnsi="宋体" w:cs="方正书宋简体"/>
          <w:color w:val="231F20"/>
          <w:kern w:val="0"/>
          <w:sz w:val="24"/>
          <w:szCs w:val="24"/>
          <w:lang w:bidi="ar"/>
        </w:rPr>
        <w:t>倡</w:t>
      </w:r>
      <w:proofErr w:type="gramEnd"/>
      <w:r>
        <w:rPr>
          <w:rFonts w:ascii="宋体" w:eastAsia="宋体" w:hAnsi="宋体" w:cs="方正书宋简体"/>
          <w:color w:val="231F20"/>
          <w:kern w:val="0"/>
          <w:sz w:val="24"/>
          <w:szCs w:val="24"/>
          <w:lang w:bidi="ar"/>
        </w:rPr>
        <w:t>“兼相爱交相利”的深层动因。这一设计迫使学生在具体历史条件中理解思想的合理性，避免抽象的价值评判。</w:t>
      </w:r>
    </w:p>
    <w:p w14:paraId="6E66E147" w14:textId="77777777"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（2）</w:t>
      </w:r>
      <w:r>
        <w:rPr>
          <w:rFonts w:ascii="楷体" w:eastAsia="楷体" w:hAnsi="楷体" w:cs="楷体"/>
          <w:color w:val="231F20"/>
          <w:kern w:val="0"/>
          <w:sz w:val="24"/>
          <w:szCs w:val="24"/>
          <w:lang w:bidi="ar"/>
        </w:rPr>
        <w:t>后世影响的延伸：</w:t>
      </w:r>
      <w:r>
        <w:rPr>
          <w:rFonts w:ascii="宋体" w:eastAsia="宋体" w:hAnsi="宋体" w:cs="方正书宋简体"/>
          <w:color w:val="231F20"/>
          <w:kern w:val="0"/>
          <w:sz w:val="24"/>
          <w:szCs w:val="24"/>
          <w:lang w:bidi="ar"/>
        </w:rPr>
        <w:t>公众</w:t>
      </w:r>
      <w:proofErr w:type="gramStart"/>
      <w:r>
        <w:rPr>
          <w:rFonts w:ascii="宋体" w:eastAsia="宋体" w:hAnsi="宋体" w:cs="方正书宋简体"/>
          <w:color w:val="231F20"/>
          <w:kern w:val="0"/>
          <w:sz w:val="24"/>
          <w:szCs w:val="24"/>
          <w:lang w:bidi="ar"/>
        </w:rPr>
        <w:t>号推文任务</w:t>
      </w:r>
      <w:proofErr w:type="gramEnd"/>
      <w:r>
        <w:rPr>
          <w:rFonts w:ascii="宋体" w:eastAsia="宋体" w:hAnsi="宋体" w:cs="方正书宋简体"/>
          <w:color w:val="231F20"/>
          <w:kern w:val="0"/>
          <w:sz w:val="24"/>
          <w:szCs w:val="24"/>
          <w:lang w:bidi="ar"/>
        </w:rPr>
        <w:t>要求选择一位诸子，讨论其对后世文人（如庄子对苏轼、陶渊明，孟子对韩愈，墨子对后世侠义精神）的影响，将文化传承置于历史长河中考察，建立“先秦思想—后世接受—当代价值”的连续链条。</w:t>
      </w:r>
    </w:p>
    <w:p w14:paraId="386DA0BC" w14:textId="77777777"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（3）</w:t>
      </w:r>
      <w:r>
        <w:rPr>
          <w:rFonts w:ascii="楷体" w:eastAsia="楷体" w:hAnsi="楷体" w:cs="楷体"/>
          <w:color w:val="231F20"/>
          <w:kern w:val="0"/>
          <w:sz w:val="24"/>
          <w:szCs w:val="24"/>
          <w:lang w:bidi="ar"/>
        </w:rPr>
        <w:t>现实关怀中的转化：</w:t>
      </w:r>
      <w:r>
        <w:rPr>
          <w:rFonts w:ascii="宋体" w:eastAsia="宋体" w:hAnsi="宋体" w:cs="方正书宋简体"/>
          <w:color w:val="231F20"/>
          <w:kern w:val="0"/>
          <w:sz w:val="24"/>
          <w:szCs w:val="24"/>
          <w:lang w:bidi="ar"/>
        </w:rPr>
        <w:t>书信写作任务以“现在的我想对你说”为形式，要求学生在信中结合自己的生活实例，反思诸子思想对自我“立德树人”的启示。例如，学生可以谈“知其不可而为之”的坚持精神如何帮助自己面对学业挫折，或谈“无为”思想如何缓解焦虑情绪。</w:t>
      </w:r>
    </w:p>
    <w:p w14:paraId="0189EE23" w14:textId="77777777" w:rsidR="00741F9C" w:rsidRDefault="00000000">
      <w:pPr>
        <w:widowControl/>
        <w:spacing w:line="360" w:lineRule="auto"/>
        <w:ind w:firstLineChars="200" w:firstLine="482"/>
        <w:jc w:val="left"/>
        <w:rPr>
          <w:rFonts w:ascii="宋体" w:eastAsia="宋体" w:hAnsi="宋体" w:cs="方正书宋简体" w:hint="eastAsia"/>
          <w:color w:val="231F20"/>
          <w:kern w:val="0"/>
          <w:sz w:val="24"/>
          <w:szCs w:val="24"/>
          <w:lang w:bidi="ar"/>
        </w:rPr>
      </w:pPr>
      <w:r>
        <w:rPr>
          <w:rFonts w:ascii="宋体" w:eastAsia="宋体" w:hAnsi="宋体" w:cs="方正书宋简体"/>
          <w:b/>
          <w:bCs/>
          <w:color w:val="231F20"/>
          <w:kern w:val="0"/>
          <w:sz w:val="24"/>
          <w:szCs w:val="24"/>
          <w:lang w:bidi="ar"/>
        </w:rPr>
        <w:t>策略意图：</w:t>
      </w:r>
      <w:r>
        <w:rPr>
          <w:rFonts w:ascii="宋体" w:eastAsia="宋体" w:hAnsi="宋体" w:cs="方正书宋简体"/>
          <w:color w:val="231F20"/>
          <w:kern w:val="0"/>
          <w:sz w:val="24"/>
          <w:szCs w:val="24"/>
          <w:lang w:bidi="ar"/>
        </w:rPr>
        <w:t>通过“差异原因分析”和“后世影响梳理”，让学生认识到思想不是凭空产生的也不是孤立存在的，建立起历史唯物主义文化观。书信写作则避免了传统德育作业中“向孔子学习什么”的外在说教，通过对话媒介实现内化反思，使文化传承真正落实为学生的精神成长与行为准则。</w:t>
      </w:r>
    </w:p>
    <w:p w14:paraId="7A61DC47" w14:textId="64A13222" w:rsidR="00741F9C" w:rsidRDefault="00000000">
      <w:pPr>
        <w:widowControl/>
        <w:spacing w:line="360" w:lineRule="auto"/>
        <w:jc w:val="left"/>
        <w:rPr>
          <w:rFonts w:ascii="黑体" w:eastAsia="黑体" w:hAnsi="黑体" w:cs="黑体" w:hint="eastAsia"/>
          <w:color w:val="231F20"/>
          <w:kern w:val="0"/>
          <w:sz w:val="28"/>
          <w:szCs w:val="28"/>
          <w:lang w:bidi="ar"/>
        </w:rPr>
      </w:pPr>
      <w:r>
        <w:rPr>
          <w:rFonts w:ascii="黑体" w:eastAsia="黑体" w:hAnsi="黑体" w:cs="黑体"/>
          <w:color w:val="231F20"/>
          <w:kern w:val="0"/>
          <w:sz w:val="28"/>
          <w:szCs w:val="28"/>
          <w:lang w:bidi="ar"/>
        </w:rPr>
        <w:t>四、</w:t>
      </w:r>
      <w:r w:rsidR="00784815">
        <w:rPr>
          <w:rFonts w:ascii="黑体" w:eastAsia="黑体" w:hAnsi="黑体" w:cs="黑体" w:hint="eastAsia"/>
          <w:color w:val="231F20"/>
          <w:kern w:val="0"/>
          <w:sz w:val="28"/>
          <w:szCs w:val="28"/>
          <w:lang w:bidi="ar"/>
        </w:rPr>
        <w:t>作业</w:t>
      </w:r>
      <w:r>
        <w:rPr>
          <w:rFonts w:ascii="黑体" w:eastAsia="黑体" w:hAnsi="黑体" w:cs="黑体"/>
          <w:color w:val="231F20"/>
          <w:kern w:val="0"/>
          <w:sz w:val="28"/>
          <w:szCs w:val="28"/>
          <w:lang w:bidi="ar"/>
        </w:rPr>
        <w:t>设计成效与反思</w:t>
      </w:r>
    </w:p>
    <w:p w14:paraId="4198A671"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（一）实践成效</w:t>
      </w:r>
    </w:p>
    <w:p w14:paraId="1AB00868"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文言自主学习能力</w:t>
      </w:r>
      <w:r>
        <w:rPr>
          <w:rFonts w:ascii="宋体" w:eastAsia="宋体" w:hAnsi="宋体" w:cs="方正书宋简体" w:hint="eastAsia"/>
          <w:color w:val="231F20"/>
          <w:kern w:val="0"/>
          <w:sz w:val="24"/>
          <w:szCs w:val="24"/>
          <w:lang w:bidi="ar"/>
        </w:rPr>
        <w:t>有所</w:t>
      </w:r>
      <w:r>
        <w:rPr>
          <w:rFonts w:ascii="宋体" w:eastAsia="宋体" w:hAnsi="宋体" w:cs="方正书宋简体"/>
          <w:color w:val="231F20"/>
          <w:kern w:val="0"/>
          <w:sz w:val="24"/>
          <w:szCs w:val="24"/>
          <w:lang w:bidi="ar"/>
        </w:rPr>
        <w:t>提升。虚词整理和概念卡片任务促使学生主动查阅工具书的比例</w:t>
      </w:r>
      <w:r>
        <w:rPr>
          <w:rFonts w:ascii="宋体" w:eastAsia="宋体" w:hAnsi="宋体" w:cs="方正书宋简体" w:hint="eastAsia"/>
          <w:color w:val="231F20"/>
          <w:kern w:val="0"/>
          <w:sz w:val="24"/>
          <w:szCs w:val="24"/>
          <w:lang w:bidi="ar"/>
        </w:rPr>
        <w:t>有所上升</w:t>
      </w:r>
      <w:r>
        <w:rPr>
          <w:rFonts w:ascii="宋体" w:eastAsia="宋体" w:hAnsi="宋体" w:cs="方正书宋简体"/>
          <w:color w:val="231F20"/>
          <w:kern w:val="0"/>
          <w:sz w:val="24"/>
          <w:szCs w:val="24"/>
          <w:lang w:bidi="ar"/>
        </w:rPr>
        <w:t>。多数学生能够独立归纳“之”“而”等虚词的常见用法，并尝试迁移至课外文言阅读。</w:t>
      </w:r>
    </w:p>
    <w:p w14:paraId="4DECEF62"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批判性思维初步显现。在“论证缺陷分析”任务中，</w:t>
      </w:r>
      <w:r>
        <w:rPr>
          <w:rFonts w:ascii="宋体" w:eastAsia="宋体" w:hAnsi="宋体" w:cs="方正书宋简体" w:hint="eastAsia"/>
          <w:color w:val="231F20"/>
          <w:kern w:val="0"/>
          <w:sz w:val="24"/>
          <w:szCs w:val="24"/>
          <w:lang w:bidi="ar"/>
        </w:rPr>
        <w:t>超过半数的学生</w:t>
      </w:r>
      <w:r>
        <w:rPr>
          <w:rFonts w:ascii="宋体" w:eastAsia="宋体" w:hAnsi="宋体" w:cs="方正书宋简体"/>
          <w:color w:val="231F20"/>
          <w:kern w:val="0"/>
          <w:sz w:val="24"/>
          <w:szCs w:val="24"/>
          <w:lang w:bidi="ar"/>
        </w:rPr>
        <w:t>能够至少指出《兼爱》或《五石之瓠》中的一处逻辑漏洞，并能提出简单的修正思路。</w:t>
      </w:r>
    </w:p>
    <w:p w14:paraId="46C503A2" w14:textId="77777777" w:rsidR="00741F9C" w:rsidRDefault="00000000">
      <w:pPr>
        <w:widowControl/>
        <w:spacing w:line="360" w:lineRule="auto"/>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 xml:space="preserve">   </w:t>
      </w:r>
      <w:r>
        <w:rPr>
          <w:rFonts w:ascii="宋体" w:eastAsia="宋体" w:hAnsi="宋体" w:cs="方正书宋简体"/>
          <w:color w:val="231F20"/>
          <w:kern w:val="0"/>
          <w:sz w:val="24"/>
          <w:szCs w:val="24"/>
          <w:lang w:bidi="ar"/>
        </w:rPr>
        <w:t>文化认同的内化表达。书信写作任务中，</w:t>
      </w:r>
      <w:r>
        <w:rPr>
          <w:rFonts w:ascii="宋体" w:eastAsia="宋体" w:hAnsi="宋体" w:cs="方正书宋简体" w:hint="eastAsia"/>
          <w:color w:val="231F20"/>
          <w:kern w:val="0"/>
          <w:sz w:val="24"/>
          <w:szCs w:val="24"/>
          <w:lang w:bidi="ar"/>
        </w:rPr>
        <w:t>绝大部分</w:t>
      </w:r>
      <w:r>
        <w:rPr>
          <w:rFonts w:ascii="宋体" w:eastAsia="宋体" w:hAnsi="宋体" w:cs="方正书宋简体"/>
          <w:color w:val="231F20"/>
          <w:kern w:val="0"/>
          <w:sz w:val="24"/>
          <w:szCs w:val="24"/>
          <w:lang w:bidi="ar"/>
        </w:rPr>
        <w:t>学生能够结合自身经历展开对话，情感真挚。</w:t>
      </w:r>
      <w:r>
        <w:rPr>
          <w:rFonts w:ascii="宋体" w:eastAsia="宋体" w:hAnsi="宋体" w:cs="方正书宋简体" w:hint="eastAsia"/>
          <w:color w:val="231F20"/>
          <w:kern w:val="0"/>
          <w:sz w:val="24"/>
          <w:szCs w:val="24"/>
          <w:lang w:bidi="ar"/>
        </w:rPr>
        <w:t>这样的表达</w:t>
      </w:r>
      <w:r>
        <w:rPr>
          <w:rFonts w:ascii="宋体" w:eastAsia="宋体" w:hAnsi="宋体" w:cs="方正书宋简体"/>
          <w:color w:val="231F20"/>
          <w:kern w:val="0"/>
          <w:sz w:val="24"/>
          <w:szCs w:val="24"/>
          <w:lang w:bidi="ar"/>
        </w:rPr>
        <w:t>超越了概念复述，显示出文化传承的真实发生。</w:t>
      </w:r>
    </w:p>
    <w:p w14:paraId="7FB4F4BD" w14:textId="77777777" w:rsidR="00741F9C" w:rsidRDefault="00000000">
      <w:pPr>
        <w:widowControl/>
        <w:spacing w:line="360" w:lineRule="auto"/>
        <w:jc w:val="left"/>
        <w:rPr>
          <w:rFonts w:ascii="黑体" w:eastAsia="黑体" w:hAnsi="黑体" w:cs="黑体" w:hint="eastAsia"/>
          <w:color w:val="231F20"/>
          <w:kern w:val="0"/>
          <w:sz w:val="24"/>
          <w:szCs w:val="24"/>
          <w:lang w:bidi="ar"/>
        </w:rPr>
      </w:pPr>
      <w:r>
        <w:rPr>
          <w:rFonts w:ascii="黑体" w:eastAsia="黑体" w:hAnsi="黑体" w:cs="黑体"/>
          <w:color w:val="231F20"/>
          <w:kern w:val="0"/>
          <w:sz w:val="24"/>
          <w:szCs w:val="24"/>
          <w:lang w:bidi="ar"/>
        </w:rPr>
        <w:t>（二）问题与改进</w:t>
      </w:r>
    </w:p>
    <w:p w14:paraId="461F5A88" w14:textId="170D2A94"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hint="eastAsia"/>
          <w:color w:val="231F20"/>
          <w:kern w:val="0"/>
          <w:sz w:val="24"/>
          <w:szCs w:val="24"/>
          <w:lang w:bidi="ar"/>
        </w:rPr>
        <w:t>首先，</w:t>
      </w:r>
      <w:r>
        <w:rPr>
          <w:rFonts w:ascii="宋体" w:eastAsia="宋体" w:hAnsi="宋体" w:cs="方正书宋简体"/>
          <w:color w:val="231F20"/>
          <w:kern w:val="0"/>
          <w:sz w:val="24"/>
          <w:szCs w:val="24"/>
          <w:lang w:bidi="ar"/>
        </w:rPr>
        <w:t>部分文言基础薄弱的学生在虚词整理任务中感到吃力，后续需要提供分层支架（如预设半成品的表格模板）。</w:t>
      </w:r>
      <w:r>
        <w:rPr>
          <w:rFonts w:ascii="宋体" w:eastAsia="宋体" w:hAnsi="宋体" w:cs="方正书宋简体" w:hint="eastAsia"/>
          <w:color w:val="231F20"/>
          <w:kern w:val="0"/>
          <w:sz w:val="24"/>
          <w:szCs w:val="24"/>
          <w:lang w:bidi="ar"/>
        </w:rPr>
        <w:t>其次</w:t>
      </w:r>
      <w:r>
        <w:rPr>
          <w:rFonts w:ascii="宋体" w:eastAsia="宋体" w:hAnsi="宋体" w:cs="方正书宋简体"/>
          <w:color w:val="231F20"/>
          <w:kern w:val="0"/>
          <w:sz w:val="24"/>
          <w:szCs w:val="24"/>
          <w:lang w:bidi="ar"/>
        </w:rPr>
        <w:t>，批判性思维任务对多数学生</w:t>
      </w:r>
      <w:proofErr w:type="gramStart"/>
      <w:r>
        <w:rPr>
          <w:rFonts w:ascii="宋体" w:eastAsia="宋体" w:hAnsi="宋体" w:cs="方正书宋简体"/>
          <w:color w:val="231F20"/>
          <w:kern w:val="0"/>
          <w:sz w:val="24"/>
          <w:szCs w:val="24"/>
          <w:lang w:bidi="ar"/>
        </w:rPr>
        <w:t>而言</w:t>
      </w:r>
      <w:r>
        <w:rPr>
          <w:rFonts w:ascii="宋体" w:eastAsia="宋体" w:hAnsi="宋体" w:cs="方正书宋简体"/>
          <w:color w:val="231F20"/>
          <w:kern w:val="0"/>
          <w:sz w:val="24"/>
          <w:szCs w:val="24"/>
          <w:lang w:bidi="ar"/>
        </w:rPr>
        <w:lastRenderedPageBreak/>
        <w:t>挑战</w:t>
      </w:r>
      <w:proofErr w:type="gramEnd"/>
      <w:r>
        <w:rPr>
          <w:rFonts w:ascii="宋体" w:eastAsia="宋体" w:hAnsi="宋体" w:cs="方正书宋简体"/>
          <w:color w:val="231F20"/>
          <w:kern w:val="0"/>
          <w:sz w:val="24"/>
          <w:szCs w:val="24"/>
          <w:lang w:bidi="ar"/>
        </w:rPr>
        <w:t>较大，部分学生出现“为批判而批判”的倾向（如强行指出不存在的逻辑问题），需要在任务前增加“逻辑谬误识别”的指导。其三，书信写作中仍有少数学生停留在空泛表态层面，未能与具体生活实例结合，后续可增加优秀范例的展示与评议环节。</w:t>
      </w:r>
    </w:p>
    <w:p w14:paraId="5C314CB7" w14:textId="77777777" w:rsidR="00741F9C" w:rsidRDefault="00000000">
      <w:pPr>
        <w:widowControl/>
        <w:spacing w:line="360" w:lineRule="auto"/>
        <w:jc w:val="left"/>
        <w:rPr>
          <w:rFonts w:ascii="黑体" w:eastAsia="黑体" w:hAnsi="黑体" w:cs="黑体" w:hint="eastAsia"/>
          <w:color w:val="231F20"/>
          <w:kern w:val="0"/>
          <w:sz w:val="28"/>
          <w:szCs w:val="28"/>
          <w:lang w:bidi="ar"/>
        </w:rPr>
      </w:pPr>
      <w:r>
        <w:rPr>
          <w:rFonts w:ascii="黑体" w:eastAsia="黑体" w:hAnsi="黑体" w:cs="黑体"/>
          <w:color w:val="231F20"/>
          <w:kern w:val="0"/>
          <w:sz w:val="28"/>
          <w:szCs w:val="28"/>
          <w:lang w:bidi="ar"/>
        </w:rPr>
        <w:t>五、结论与启示</w:t>
      </w:r>
    </w:p>
    <w:p w14:paraId="0D199107"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本文以统编高中语文选择性必修上册第二单元为例，探讨了核心素养视域下先秦诸子单元作业设计的实践策略。研究表明，有效的单元作业设计应遵循以语言为基础、以思辨为进阶、以审美为桥梁、以文化为归宿的整合逻辑。具体而言：</w:t>
      </w:r>
    </w:p>
    <w:p w14:paraId="2898D5D8"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第一，语言任务必须服务于思想理解，避免“为翻译而翻译”的机械训练。自主梳理类任务将语言学习转化为结构化、可迁移的认知工具。</w:t>
      </w:r>
    </w:p>
    <w:p w14:paraId="0724C706"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第二，思维训练应当形成比较与批判的递进序列。从单一文本内部逻辑到不同学派横向比较，再到经典论证的理性审视，作业设计应推动学生从“识记理解”走向“分析评价”。</w:t>
      </w:r>
    </w:p>
    <w:p w14:paraId="2D49404B"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第三，审美体验需要通过创意表达实现外化。</w:t>
      </w:r>
      <w:r>
        <w:rPr>
          <w:rFonts w:ascii="宋体" w:eastAsia="宋体" w:hAnsi="宋体" w:cs="方正书宋简体" w:hint="eastAsia"/>
          <w:color w:val="231F20"/>
          <w:kern w:val="0"/>
          <w:sz w:val="24"/>
          <w:szCs w:val="24"/>
          <w:lang w:bidi="ar"/>
        </w:rPr>
        <w:t>通过任务的设计，</w:t>
      </w:r>
      <w:r>
        <w:rPr>
          <w:rFonts w:ascii="宋体" w:eastAsia="宋体" w:hAnsi="宋体" w:cs="方正书宋简体"/>
          <w:color w:val="231F20"/>
          <w:kern w:val="0"/>
          <w:sz w:val="24"/>
          <w:szCs w:val="24"/>
          <w:lang w:bidi="ar"/>
        </w:rPr>
        <w:t>使审美鉴赏从被动接受变为主动创造，同时连接古今情感与表达方式。</w:t>
      </w:r>
    </w:p>
    <w:p w14:paraId="467E1F68" w14:textId="77777777" w:rsidR="00741F9C" w:rsidRDefault="00000000">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第四，文化传承必须在历史语境与现实关怀的双向互动中完成建构。脱离历史语境的说教是无效的，作业应搭建“历史理解—后世影响—当代转化”的链条。</w:t>
      </w:r>
    </w:p>
    <w:p w14:paraId="35DC7803" w14:textId="6F273CA4" w:rsidR="00741F9C" w:rsidRDefault="00000000" w:rsidP="00784815">
      <w:pPr>
        <w:widowControl/>
        <w:spacing w:line="360" w:lineRule="auto"/>
        <w:ind w:firstLineChars="200" w:firstLine="480"/>
        <w:jc w:val="left"/>
        <w:rPr>
          <w:rFonts w:ascii="宋体" w:eastAsia="宋体" w:hAnsi="宋体" w:cs="方正书宋简体" w:hint="eastAsia"/>
          <w:color w:val="231F20"/>
          <w:kern w:val="0"/>
          <w:sz w:val="24"/>
          <w:szCs w:val="24"/>
          <w:lang w:bidi="ar"/>
        </w:rPr>
      </w:pPr>
      <w:r>
        <w:rPr>
          <w:rFonts w:ascii="宋体" w:eastAsia="宋体" w:hAnsi="宋体" w:cs="方正书宋简体"/>
          <w:color w:val="231F20"/>
          <w:kern w:val="0"/>
          <w:sz w:val="24"/>
          <w:szCs w:val="24"/>
          <w:lang w:bidi="ar"/>
        </w:rPr>
        <w:t>上述策略对其他传统文化类单元（如古代诗歌、史传文学）的作业设计具有可迁移性：关键在于把握文本的独特性（论说风格、思想张力），设计与之匹配的比较性、批判性、表达性任务，并将语言学习有机嵌入其中。当然，本研究仅为初步探索，作业设计的素养测评工具开发、长期效果追踪等问题仍有待后续研究深入。</w:t>
      </w:r>
    </w:p>
    <w:p w14:paraId="6A076FA7" w14:textId="09143791" w:rsidR="00741F9C" w:rsidRPr="00784815" w:rsidRDefault="00000000">
      <w:pPr>
        <w:widowControl/>
        <w:spacing w:line="360" w:lineRule="auto"/>
        <w:jc w:val="left"/>
        <w:rPr>
          <w:rFonts w:ascii="黑体" w:eastAsia="黑体" w:hAnsi="黑体" w:cs="黑体" w:hint="eastAsia"/>
          <w:color w:val="231F20"/>
          <w:kern w:val="0"/>
          <w:sz w:val="24"/>
          <w:szCs w:val="24"/>
          <w:lang w:bidi="ar"/>
        </w:rPr>
      </w:pPr>
      <w:r w:rsidRPr="00784815">
        <w:rPr>
          <w:rFonts w:ascii="黑体" w:eastAsia="黑体" w:hAnsi="黑体" w:cs="黑体"/>
          <w:color w:val="231F20"/>
          <w:kern w:val="0"/>
          <w:sz w:val="24"/>
          <w:szCs w:val="24"/>
          <w:lang w:bidi="ar"/>
        </w:rPr>
        <w:t>参考文献</w:t>
      </w:r>
    </w:p>
    <w:p w14:paraId="1852088A" w14:textId="77777777" w:rsidR="00741F9C" w:rsidRPr="00784815" w:rsidRDefault="00000000">
      <w:pPr>
        <w:widowControl/>
        <w:numPr>
          <w:ilvl w:val="0"/>
          <w:numId w:val="1"/>
        </w:numPr>
        <w:spacing w:line="360" w:lineRule="auto"/>
        <w:jc w:val="left"/>
        <w:rPr>
          <w:rFonts w:ascii="宋体" w:eastAsia="宋体" w:hAnsi="宋体" w:cs="方正书宋简体" w:hint="eastAsia"/>
          <w:color w:val="231F20"/>
          <w:kern w:val="0"/>
          <w:sz w:val="24"/>
          <w:szCs w:val="24"/>
          <w:lang w:bidi="ar"/>
        </w:rPr>
      </w:pPr>
      <w:r w:rsidRPr="00784815">
        <w:rPr>
          <w:rFonts w:ascii="宋体" w:eastAsia="宋体" w:hAnsi="宋体" w:cs="方正书宋简体"/>
          <w:color w:val="231F20"/>
          <w:kern w:val="0"/>
          <w:sz w:val="24"/>
          <w:szCs w:val="24"/>
          <w:lang w:bidi="ar"/>
        </w:rPr>
        <w:t>中华人民共和国教育部. 普通高中语文课程标准（2017年版2020年修订）[S]. 北京: 人民教育出版社, 2020: 4-5.</w:t>
      </w:r>
    </w:p>
    <w:p w14:paraId="3A63125B" w14:textId="77777777" w:rsidR="00741F9C" w:rsidRPr="00784815" w:rsidRDefault="00000000">
      <w:pPr>
        <w:widowControl/>
        <w:spacing w:line="360" w:lineRule="auto"/>
        <w:jc w:val="left"/>
        <w:rPr>
          <w:rFonts w:ascii="宋体" w:eastAsia="宋体" w:hAnsi="宋体" w:cs="方正书宋简体" w:hint="eastAsia"/>
          <w:color w:val="231F20"/>
          <w:kern w:val="0"/>
          <w:sz w:val="24"/>
          <w:szCs w:val="24"/>
          <w:lang w:bidi="ar"/>
        </w:rPr>
      </w:pPr>
      <w:r w:rsidRPr="00784815">
        <w:rPr>
          <w:rFonts w:ascii="宋体" w:eastAsia="宋体" w:hAnsi="宋体" w:cs="方正书宋简体"/>
          <w:color w:val="231F20"/>
          <w:kern w:val="0"/>
          <w:sz w:val="24"/>
          <w:szCs w:val="24"/>
          <w:lang w:bidi="ar"/>
        </w:rPr>
        <w:t>[</w:t>
      </w:r>
      <w:r w:rsidRPr="00784815">
        <w:rPr>
          <w:rFonts w:ascii="宋体" w:eastAsia="宋体" w:hAnsi="宋体" w:cs="方正书宋简体" w:hint="eastAsia"/>
          <w:color w:val="231F20"/>
          <w:kern w:val="0"/>
          <w:sz w:val="24"/>
          <w:szCs w:val="24"/>
          <w:lang w:bidi="ar"/>
        </w:rPr>
        <w:t>2</w:t>
      </w:r>
      <w:r w:rsidRPr="00784815">
        <w:rPr>
          <w:rFonts w:ascii="宋体" w:eastAsia="宋体" w:hAnsi="宋体" w:cs="方正书宋简体"/>
          <w:color w:val="231F20"/>
          <w:kern w:val="0"/>
          <w:sz w:val="24"/>
          <w:szCs w:val="24"/>
          <w:lang w:bidi="ar"/>
        </w:rPr>
        <w:t>]王荣生.“语文学习任务群”的含义——语文课程标准文本中的关键词[J].中国教育学刊,2022,(11):71-77.</w:t>
      </w:r>
    </w:p>
    <w:p w14:paraId="7765A83A" w14:textId="77777777" w:rsidR="00741F9C" w:rsidRPr="00784815" w:rsidRDefault="00000000">
      <w:pPr>
        <w:widowControl/>
        <w:spacing w:line="360" w:lineRule="auto"/>
        <w:jc w:val="left"/>
        <w:rPr>
          <w:rFonts w:ascii="宋体" w:eastAsia="宋体" w:hAnsi="宋体" w:cs="方正书宋简体" w:hint="eastAsia"/>
          <w:color w:val="231F20"/>
          <w:kern w:val="0"/>
          <w:sz w:val="24"/>
          <w:szCs w:val="24"/>
          <w:lang w:bidi="ar"/>
        </w:rPr>
      </w:pPr>
      <w:r w:rsidRPr="00784815">
        <w:rPr>
          <w:rFonts w:ascii="宋体" w:eastAsia="宋体" w:hAnsi="宋体" w:cs="方正书宋简体" w:hint="eastAsia"/>
          <w:color w:val="231F20"/>
          <w:kern w:val="0"/>
          <w:sz w:val="24"/>
          <w:szCs w:val="24"/>
          <w:lang w:bidi="ar"/>
        </w:rPr>
        <w:t>[3]蔡俐.基于核心素养的高中语文高阶思维培养教学策略探析[J].学</w:t>
      </w:r>
      <w:proofErr w:type="gramStart"/>
      <w:r w:rsidRPr="00784815">
        <w:rPr>
          <w:rFonts w:ascii="宋体" w:eastAsia="宋体" w:hAnsi="宋体" w:cs="方正书宋简体" w:hint="eastAsia"/>
          <w:color w:val="231F20"/>
          <w:kern w:val="0"/>
          <w:sz w:val="24"/>
          <w:szCs w:val="24"/>
          <w:lang w:bidi="ar"/>
        </w:rPr>
        <w:t>苑教育</w:t>
      </w:r>
      <w:proofErr w:type="gramEnd"/>
      <w:r w:rsidRPr="00784815">
        <w:rPr>
          <w:rFonts w:ascii="宋体" w:eastAsia="宋体" w:hAnsi="宋体" w:cs="方正书宋简体" w:hint="eastAsia"/>
          <w:color w:val="231F20"/>
          <w:kern w:val="0"/>
          <w:sz w:val="24"/>
          <w:szCs w:val="24"/>
          <w:lang w:bidi="ar"/>
        </w:rPr>
        <w:t>,2026,(14):58-60.</w:t>
      </w:r>
    </w:p>
    <w:p w14:paraId="375F203D" w14:textId="77777777" w:rsidR="00741F9C" w:rsidRPr="00784815" w:rsidRDefault="00000000">
      <w:pPr>
        <w:widowControl/>
        <w:spacing w:line="360" w:lineRule="auto"/>
        <w:jc w:val="left"/>
        <w:rPr>
          <w:rFonts w:ascii="宋体" w:eastAsia="宋体" w:hAnsi="宋体" w:cs="方正书宋简体" w:hint="eastAsia"/>
          <w:color w:val="231F20"/>
          <w:kern w:val="0"/>
          <w:sz w:val="24"/>
          <w:szCs w:val="24"/>
          <w:lang w:bidi="ar"/>
        </w:rPr>
      </w:pPr>
      <w:r w:rsidRPr="00784815">
        <w:rPr>
          <w:rFonts w:ascii="宋体" w:eastAsia="宋体" w:hAnsi="宋体" w:cs="方正书宋简体"/>
          <w:color w:val="231F20"/>
          <w:kern w:val="0"/>
          <w:sz w:val="24"/>
          <w:szCs w:val="24"/>
          <w:lang w:bidi="ar"/>
        </w:rPr>
        <w:lastRenderedPageBreak/>
        <w:t>[</w:t>
      </w:r>
      <w:r w:rsidRPr="00784815">
        <w:rPr>
          <w:rFonts w:ascii="宋体" w:eastAsia="宋体" w:hAnsi="宋体" w:cs="方正书宋简体" w:hint="eastAsia"/>
          <w:color w:val="231F20"/>
          <w:kern w:val="0"/>
          <w:sz w:val="24"/>
          <w:szCs w:val="24"/>
          <w:lang w:bidi="ar"/>
        </w:rPr>
        <w:t>4</w:t>
      </w:r>
      <w:r w:rsidRPr="00784815">
        <w:rPr>
          <w:rFonts w:ascii="宋体" w:eastAsia="宋体" w:hAnsi="宋体" w:cs="方正书宋简体"/>
          <w:color w:val="231F20"/>
          <w:kern w:val="0"/>
          <w:sz w:val="24"/>
          <w:szCs w:val="24"/>
          <w:lang w:bidi="ar"/>
        </w:rPr>
        <w:t>]俞小刚.基于核心素养提升的高中语文单元作业设计[J].中学课程辅导,2023,(29):99-101.</w:t>
      </w:r>
    </w:p>
    <w:sectPr w:rsidR="00741F9C" w:rsidRPr="007848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苹方-简"/>
    <w:charset w:val="00"/>
    <w:family w:val="auto"/>
    <w:pitch w:val="default"/>
  </w:font>
  <w:font w:name="楷体">
    <w:altName w:val="汉仪楷体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DC8F24"/>
    <w:multiLevelType w:val="singleLevel"/>
    <w:tmpl w:val="AEDC8F24"/>
    <w:lvl w:ilvl="0">
      <w:start w:val="1"/>
      <w:numFmt w:val="decimal"/>
      <w:suff w:val="space"/>
      <w:lvlText w:val="[%1]"/>
      <w:lvlJc w:val="left"/>
    </w:lvl>
  </w:abstractNum>
  <w:num w:numId="1" w16cid:durableId="1750270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BFBB4FBB"/>
    <w:rsid w:val="00307ABE"/>
    <w:rsid w:val="00741F9C"/>
    <w:rsid w:val="00784815"/>
    <w:rsid w:val="17CE297A"/>
    <w:rsid w:val="25CF00BB"/>
    <w:rsid w:val="2FEB9D1A"/>
    <w:rsid w:val="4CF78696"/>
    <w:rsid w:val="56E58B2D"/>
    <w:rsid w:val="5C16A97F"/>
    <w:rsid w:val="5FFF2F5C"/>
    <w:rsid w:val="6D55E861"/>
    <w:rsid w:val="6FBF80B3"/>
    <w:rsid w:val="76BE4AC2"/>
    <w:rsid w:val="77DF44BA"/>
    <w:rsid w:val="77ED5BD2"/>
    <w:rsid w:val="7BCA5F76"/>
    <w:rsid w:val="7BF92321"/>
    <w:rsid w:val="7D7AF044"/>
    <w:rsid w:val="7FD99E01"/>
    <w:rsid w:val="7FDB9A00"/>
    <w:rsid w:val="8FBF5D84"/>
    <w:rsid w:val="B77648D5"/>
    <w:rsid w:val="BFBB4FBB"/>
    <w:rsid w:val="D7FD6995"/>
    <w:rsid w:val="DFEBDA2D"/>
    <w:rsid w:val="EFFD4351"/>
    <w:rsid w:val="EFFF5BDC"/>
    <w:rsid w:val="EFFFA302"/>
    <w:rsid w:val="F67F9103"/>
    <w:rsid w:val="F8EE4894"/>
    <w:rsid w:val="FFFA8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76FC5"/>
  <w15:docId w15:val="{0FA10C0B-2977-4871-AB1D-8D9662129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pPr>
      <w:tabs>
        <w:tab w:val="center" w:pos="4153"/>
        <w:tab w:val="right" w:pos="8306"/>
      </w:tabs>
      <w:snapToGrid w:val="0"/>
      <w:jc w:val="left"/>
    </w:pPr>
    <w:rPr>
      <w:sz w:val="18"/>
      <w:szCs w:val="18"/>
    </w:rPr>
  </w:style>
  <w:style w:type="paragraph" w:styleId="a4">
    <w:name w:val="Normal (Web)"/>
    <w:basedOn w:val="a"/>
    <w:rPr>
      <w:sz w:val="24"/>
    </w:rPr>
  </w:style>
  <w:style w:type="table" w:styleId="a5">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3012</Words>
  <Characters>3074</Characters>
  <Application>Microsoft Office Word</Application>
  <DocSecurity>0</DocSecurity>
  <Lines>192</Lines>
  <Paragraphs>144</Paragraphs>
  <ScaleCrop>false</ScaleCrop>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华伊悦</dc:creator>
  <cp:lastModifiedBy>官 上</cp:lastModifiedBy>
  <cp:revision>2</cp:revision>
  <dcterms:created xsi:type="dcterms:W3CDTF">2026-06-03T03:07:00Z</dcterms:created>
  <dcterms:modified xsi:type="dcterms:W3CDTF">2026-06-04T00:31:00Z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9EEF79F6313868C870CF1F6A126EF0FD_43</vt:lpwstr>
  </property>
</Properties>
</file>