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550DD">
      <w:pPr>
        <w:pStyle w:val="2"/>
        <w:widowControl/>
        <w:shd w:val="clear" w:color="auto" w:fill="FFFFFF"/>
        <w:spacing w:beforeAutospacing="0" w:afterAutospacing="0"/>
        <w:jc w:val="center"/>
        <w:rPr>
          <w:rFonts w:hint="default" w:ascii="Times New Roman" w:hAnsi="Times New Roman"/>
          <w:color w:val="0F1115"/>
          <w:sz w:val="30"/>
          <w:szCs w:val="30"/>
          <w:shd w:val="clear" w:color="auto" w:fill="FFFFFF"/>
        </w:rPr>
      </w:pPr>
      <w:r>
        <w:rPr>
          <w:rFonts w:hint="default" w:ascii="Times New Roman" w:hAnsi="Times New Roman"/>
          <w:color w:val="0F1115"/>
          <w:sz w:val="30"/>
          <w:szCs w:val="30"/>
          <w:shd w:val="clear" w:color="auto" w:fill="FFFFFF"/>
        </w:rPr>
        <w:t>学历案与数字技术协同促进</w:t>
      </w:r>
      <w:r>
        <w:rPr>
          <w:rFonts w:ascii="Times New Roman" w:hAnsi="Times New Roman"/>
          <w:color w:val="0F1115"/>
          <w:sz w:val="30"/>
          <w:szCs w:val="30"/>
          <w:shd w:val="clear" w:color="auto" w:fill="FFFFFF"/>
        </w:rPr>
        <w:t>课堂教学</w:t>
      </w:r>
      <w:r>
        <w:rPr>
          <w:rFonts w:hint="default" w:ascii="Times New Roman" w:hAnsi="Times New Roman"/>
          <w:color w:val="0F1115"/>
          <w:sz w:val="30"/>
          <w:szCs w:val="30"/>
          <w:shd w:val="clear" w:color="auto" w:fill="FFFFFF"/>
        </w:rPr>
        <w:t>的</w:t>
      </w:r>
      <w:r>
        <w:rPr>
          <w:rFonts w:ascii="Times New Roman" w:hAnsi="Times New Roman"/>
          <w:color w:val="0F1115"/>
          <w:sz w:val="30"/>
          <w:szCs w:val="30"/>
          <w:shd w:val="clear" w:color="auto" w:fill="FFFFFF"/>
        </w:rPr>
        <w:t>实践</w:t>
      </w:r>
      <w:r>
        <w:rPr>
          <w:rFonts w:hint="default" w:ascii="Times New Roman" w:hAnsi="Times New Roman"/>
          <w:color w:val="0F1115"/>
          <w:sz w:val="30"/>
          <w:szCs w:val="30"/>
          <w:shd w:val="clear" w:color="auto" w:fill="FFFFFF"/>
        </w:rPr>
        <w:t>研究</w:t>
      </w:r>
    </w:p>
    <w:p w14:paraId="1549F6F1">
      <w:pPr>
        <w:pStyle w:val="2"/>
        <w:widowControl/>
        <w:shd w:val="clear" w:color="auto" w:fill="FFFFFF"/>
        <w:spacing w:beforeAutospacing="0" w:afterAutospacing="0"/>
        <w:jc w:val="center"/>
        <w:rPr>
          <w:rFonts w:hint="default"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</w:pPr>
      <w:r>
        <w:rPr>
          <w:rFonts w:hint="default"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——基于“棱柱”第一课时三轮教学的对比分析</w:t>
      </w:r>
    </w:p>
    <w:p w14:paraId="5313F594">
      <w:pPr>
        <w:pStyle w:val="3"/>
        <w:widowControl/>
        <w:shd w:val="clear" w:color="auto" w:fill="FFFFFF"/>
        <w:spacing w:beforeAutospacing="0" w:afterAutospacing="0"/>
        <w:jc w:val="center"/>
        <w:rPr>
          <w:rStyle w:val="12"/>
          <w:rFonts w:hint="default"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</w:pPr>
      <w:r>
        <w:rPr>
          <w:rStyle w:val="12"/>
          <w:rFonts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夏芳</w:t>
      </w:r>
    </w:p>
    <w:p w14:paraId="5D3AC32A">
      <w:pPr>
        <w:pStyle w:val="3"/>
        <w:widowControl/>
        <w:shd w:val="clear" w:color="auto" w:fill="FFFFFF"/>
        <w:spacing w:beforeAutospacing="0" w:afterAutospacing="0"/>
        <w:jc w:val="center"/>
        <w:rPr>
          <w:rStyle w:val="12"/>
          <w:rFonts w:hint="default"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</w:pPr>
      <w:r>
        <w:rPr>
          <w:rStyle w:val="12"/>
          <w:rFonts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上海市第四中学</w:t>
      </w:r>
    </w:p>
    <w:p w14:paraId="20D95ACC">
      <w:pPr>
        <w:rPr>
          <w:rStyle w:val="12"/>
          <w:rFonts w:ascii="Times New Roman" w:hAnsi="Times New Roman" w:cs="Times New Roman"/>
          <w:b w:val="0"/>
          <w:color w:val="0F1115"/>
          <w:szCs w:val="21"/>
          <w:shd w:val="clear" w:color="auto" w:fill="FFFFFF"/>
        </w:rPr>
      </w:pPr>
      <w:bookmarkStart w:id="7" w:name="_GoBack"/>
      <w:bookmarkEnd w:id="7"/>
    </w:p>
    <w:p w14:paraId="0C40D578">
      <w:pPr>
        <w:pStyle w:val="3"/>
        <w:widowControl/>
        <w:shd w:val="clear" w:color="auto" w:fill="FFFFFF"/>
        <w:spacing w:beforeAutospacing="0" w:afterAutospacing="0"/>
        <w:jc w:val="both"/>
        <w:rPr>
          <w:rFonts w:hint="default" w:ascii="Times New Roman" w:hAnsi="Times New Roman"/>
          <w:b w:val="0"/>
          <w:bCs w:val="0"/>
          <w:color w:val="0F1115"/>
          <w:sz w:val="21"/>
          <w:szCs w:val="21"/>
        </w:rPr>
      </w:pPr>
      <w:r>
        <w:rPr>
          <w:rStyle w:val="12"/>
          <w:rFonts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【</w:t>
      </w:r>
      <w:r>
        <w:rPr>
          <w:rStyle w:val="12"/>
          <w:rFonts w:hint="default"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摘要</w:t>
      </w:r>
      <w:r>
        <w:rPr>
          <w:rStyle w:val="12"/>
          <w:rFonts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】</w:t>
      </w:r>
      <w:r>
        <w:rPr>
          <w:rFonts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在课堂中应用数字技术有助于提高</w:t>
      </w:r>
      <w:r>
        <w:rPr>
          <w:rFonts w:hint="default"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学生的</w:t>
      </w:r>
      <w:r>
        <w:rPr>
          <w:rFonts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课堂效率</w:t>
      </w:r>
      <w:r>
        <w:rPr>
          <w:rFonts w:hint="default"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，</w:t>
      </w:r>
      <w:r>
        <w:rPr>
          <w:rFonts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学历案的设计与实践</w:t>
      </w:r>
      <w:r>
        <w:rPr>
          <w:rFonts w:hint="default"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是当前课堂教学改革的</w:t>
      </w:r>
      <w:r>
        <w:rPr>
          <w:rFonts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重要方向之一。本文</w:t>
      </w:r>
      <w:r>
        <w:rPr>
          <w:rFonts w:hint="default"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以“棱柱”第一课时的三轮教学实践为载体，</w:t>
      </w:r>
      <w:r>
        <w:rPr>
          <w:rFonts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重点研究学历案与数字技术协同对于对课堂教学的促进作用，通过</w:t>
      </w:r>
      <w:r>
        <w:rPr>
          <w:rFonts w:hint="default"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对比分析三轮授课中教师提问结构和学生认知参与的变化</w:t>
      </w:r>
      <w:r>
        <w:rPr>
          <w:rFonts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，结合教学原理，分析过程，发现学历案的设计</w:t>
      </w:r>
      <w:r>
        <w:rPr>
          <w:rFonts w:hint="default"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改变</w:t>
      </w:r>
      <w:r>
        <w:rPr>
          <w:rFonts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了以往教案的</w:t>
      </w:r>
      <w:r>
        <w:rPr>
          <w:rFonts w:hint="default"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提问结构</w:t>
      </w:r>
      <w:r>
        <w:rPr>
          <w:rFonts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，数字技术的引入可以开展高效的思考和讨论，</w:t>
      </w:r>
      <w:r>
        <w:rPr>
          <w:rFonts w:hint="default"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防止</w:t>
      </w:r>
      <w:r>
        <w:rPr>
          <w:rFonts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教学</w:t>
      </w:r>
      <w:r>
        <w:rPr>
          <w:rFonts w:hint="default"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任务下降，有效促进了学生的深度学习。</w:t>
      </w:r>
      <w:r>
        <w:rPr>
          <w:rFonts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并对一线教师提出可行性教学参考</w:t>
      </w:r>
      <w:r>
        <w:rPr>
          <w:rFonts w:hint="default"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研究表明</w:t>
      </w:r>
      <w:r>
        <w:rPr>
          <w:rFonts w:ascii="Times New Roman" w:hAnsi="Times New Roman"/>
          <w:b w:val="0"/>
          <w:bCs w:val="0"/>
          <w:color w:val="0F1115"/>
          <w:sz w:val="21"/>
          <w:szCs w:val="21"/>
          <w:shd w:val="clear" w:color="auto" w:fill="FFFFFF"/>
        </w:rPr>
        <w:t>。</w:t>
      </w:r>
    </w:p>
    <w:p w14:paraId="078C3C88">
      <w:pPr>
        <w:pStyle w:val="9"/>
        <w:widowControl/>
        <w:shd w:val="clear" w:color="auto" w:fill="FFFFFF"/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</w:pPr>
      <w:r>
        <w:rPr>
          <w:rFonts w:ascii="Times New Roman" w:hAnsi="Times New Roman" w:eastAsia="宋体" w:cs="Times New Roman"/>
          <w:color w:val="0F1115"/>
          <w:kern w:val="0"/>
          <w:sz w:val="21"/>
          <w:szCs w:val="21"/>
          <w:shd w:val="clear" w:color="auto" w:fill="FFFFFF"/>
        </w:rPr>
        <w:t>【关键词】学历案</w:t>
      </w:r>
      <w:r>
        <w:rPr>
          <w:rFonts w:hint="eastAsia" w:ascii="Times New Roman" w:hAnsi="Times New Roman" w:eastAsia="宋体" w:cs="Times New Roman"/>
          <w:color w:val="0F1115"/>
          <w:kern w:val="0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F1115"/>
          <w:kern w:val="0"/>
          <w:sz w:val="21"/>
          <w:szCs w:val="21"/>
          <w:shd w:val="clear" w:color="auto" w:fill="FFFFFF"/>
        </w:rPr>
        <w:t>数字技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术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 xml:space="preserve"> 课堂教学 提问结构 教学任务 深度学习</w:t>
      </w:r>
    </w:p>
    <w:p w14:paraId="2BBF0F5F">
      <w:pPr>
        <w:pStyle w:val="9"/>
        <w:widowControl/>
        <w:shd w:val="clear" w:color="auto" w:fill="FFFFFF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【正文】</w:t>
      </w:r>
    </w:p>
    <w:p w14:paraId="35D530EA">
      <w:pPr>
        <w:pStyle w:val="3"/>
        <w:spacing w:beforeAutospacing="0" w:afterAutospacing="0"/>
        <w:rPr>
          <w:rFonts w:hint="default"/>
        </w:rPr>
      </w:pPr>
      <w:r>
        <w:rPr>
          <w:rFonts w:hint="default"/>
          <w:sz w:val="21"/>
          <w:szCs w:val="21"/>
        </w:rPr>
        <w:t>一、研究的背景</w:t>
      </w:r>
    </w:p>
    <w:p w14:paraId="5C9D5876">
      <w:pPr>
        <w:pStyle w:val="4"/>
        <w:widowControl/>
        <w:shd w:val="clear" w:color="auto" w:fill="FFFFFF"/>
        <w:spacing w:beforeAutospacing="0" w:afterAutospacing="0"/>
        <w:ind w:firstLine="422" w:firstLineChars="200"/>
        <w:jc w:val="both"/>
        <w:rPr>
          <w:rFonts w:hint="default" w:ascii="Times New Roman" w:hAnsi="Times New Roman"/>
          <w:color w:val="0F1115"/>
          <w:sz w:val="21"/>
          <w:szCs w:val="21"/>
        </w:rPr>
      </w:pP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（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val="en-US" w:eastAsia="zh-CN"/>
        </w:rPr>
        <w:t>一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）</w:t>
      </w:r>
      <w:r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  <w:t>从教案到学历案的必然转向</w:t>
      </w:r>
    </w:p>
    <w:p w14:paraId="77BE7897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《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  <w:lang w:val="en-US" w:eastAsia="zh-CN"/>
        </w:rPr>
        <w:t>普通高中数学课程标准（2017年版2020年修订）解读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》强调“</w:t>
      </w:r>
      <w:r>
        <w:rPr>
          <w:rFonts w:hint="eastAsia" w:ascii="楷体" w:hAnsi="楷体" w:eastAsia="楷体" w:cs="楷体"/>
          <w:color w:val="0F1115"/>
          <w:sz w:val="21"/>
          <w:szCs w:val="21"/>
          <w:shd w:val="clear" w:color="auto" w:fill="FFFFFF"/>
          <w:lang w:val="en-US" w:eastAsia="zh-CN"/>
        </w:rPr>
        <w:t>结合数学学科特点，为学生的个性化发展提供多样化的课程形式和内容，以充分满足学生的自主选择，促进学生的自主发展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”</w:t>
      </w:r>
      <w:r>
        <w:rPr>
          <w:rStyle w:val="15"/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footnoteReference w:id="0"/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。在这一背景下，传统的以教师“教”为核心的教案模式面临挑战。</w:t>
      </w:r>
    </w:p>
    <w:p w14:paraId="0F13D80A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学历案（Learning Plan）是在传统学案基础上发展而来的一种全新教学模式，其核心是</w:t>
      </w:r>
      <w:r>
        <w:rPr>
          <w:rFonts w:hint="eastAsia" w:ascii="楷体" w:hAnsi="楷体" w:eastAsia="楷体" w:cs="楷体"/>
          <w:color w:val="0F1115"/>
          <w:sz w:val="21"/>
          <w:szCs w:val="21"/>
          <w:shd w:val="clear" w:color="auto" w:fill="FFFFFF"/>
        </w:rPr>
        <w:t>从学生的“学”这一角度出发，合理规划学习内容，科学设计学习路径</w:t>
      </w:r>
      <w:r>
        <w:rPr>
          <w:rStyle w:val="15"/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footnoteReference w:id="1"/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。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  <w:lang w:val="en-US" w:eastAsia="zh-CN"/>
        </w:rPr>
        <w:t>卢明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  <w:lang w:eastAsia="zh-CN"/>
        </w:rPr>
        <w:t>、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崔允漷指出</w:t>
      </w:r>
      <w:r>
        <w:rPr>
          <w:rFonts w:hint="eastAsia" w:ascii="楷体" w:hAnsi="楷体" w:eastAsia="楷体" w:cs="楷体"/>
          <w:color w:val="0F1115"/>
          <w:sz w:val="21"/>
          <w:szCs w:val="21"/>
          <w:shd w:val="clear" w:color="auto" w:fill="FFFFFF"/>
        </w:rPr>
        <w:t>学历案是关于学习经历或过程的方案，包括“学习课时、学习目标、评价任务、学习过程、</w:t>
      </w:r>
      <w:r>
        <w:rPr>
          <w:rStyle w:val="14"/>
          <w:rFonts w:hint="eastAsia" w:ascii="楷体" w:hAnsi="楷体" w:eastAsia="楷体" w:cs="楷体"/>
        </w:rPr>
        <w:t>检测与作业、学后反思”</w:t>
      </w:r>
      <w:r>
        <w:rPr>
          <w:rFonts w:hint="eastAsia" w:ascii="楷体" w:hAnsi="楷体" w:eastAsia="楷体" w:cs="楷体"/>
          <w:color w:val="0F1115"/>
          <w:sz w:val="21"/>
          <w:szCs w:val="21"/>
          <w:shd w:val="clear" w:color="auto" w:fill="FFFFFF"/>
        </w:rPr>
        <w:t>等六个要素</w:t>
      </w:r>
      <w:r>
        <w:rPr>
          <w:rStyle w:val="15"/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footnoteReference w:id="2"/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。与教案相比，学历案的服务对象从教师转向学生，核心问题从“教师怎么教”转向“学生怎么学”。</w:t>
      </w:r>
    </w:p>
    <w:p w14:paraId="749CD05C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在实践中，学历案的落地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  <w:lang w:val="en-US" w:eastAsia="zh-CN"/>
        </w:rPr>
        <w:t>仍有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诸多困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  <w:lang w:val="en-US" w:eastAsia="zh-CN"/>
        </w:rPr>
        <w:t>难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，如何在课堂中真正发挥学历案引导学习、支持建构的功能，成为亟待解决的问题。</w:t>
      </w:r>
    </w:p>
    <w:p w14:paraId="00E7CB31">
      <w:pPr>
        <w:pStyle w:val="4"/>
        <w:widowControl/>
        <w:shd w:val="clear" w:color="auto" w:fill="FFFFFF"/>
        <w:spacing w:beforeAutospacing="0" w:afterAutospacing="0"/>
        <w:ind w:firstLine="422" w:firstLineChars="200"/>
        <w:jc w:val="both"/>
        <w:rPr>
          <w:rFonts w:hint="default" w:ascii="Times New Roman" w:hAnsi="Times New Roman"/>
          <w:color w:val="0F1115"/>
          <w:sz w:val="21"/>
          <w:szCs w:val="21"/>
        </w:rPr>
      </w:pP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（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val="en-US" w:eastAsia="zh-CN"/>
        </w:rPr>
        <w:t>二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）</w:t>
      </w:r>
      <w:r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  <w:t>数字技术赋能学历案教学的潜力</w:t>
      </w:r>
    </w:p>
    <w:p w14:paraId="4030E22E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本研究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中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的数字技术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赋能教学主要是指“三个助手”平台在课堂上的应用。“三个助手”平台是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上海市中小学教学数字化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的重要数字技术之一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。“三个助手”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平台由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“备课助手”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、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“教学助手”和“作业辅导助手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三个部分组成，它是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贯穿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了教学的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课前、课中、课后全流程的智能支持体系。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“三个助手”是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本研究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中所论述的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第三轮授课（协同型）流程中“平台发布任务”“平台上传”“教师点拨”等环节得以实现的技术基础。</w:t>
      </w:r>
    </w:p>
    <w:p w14:paraId="35C31ED7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而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学历案是课堂与课外在时间和空间上的有效延伸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  <w:lang w:val="en-US" w:eastAsia="zh-CN"/>
        </w:rPr>
        <w:t>.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左亭亭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  <w:lang w:val="en-US" w:eastAsia="zh-CN"/>
        </w:rPr>
        <w:t>指出“</w:t>
      </w:r>
      <w:r>
        <w:rPr>
          <w:rFonts w:hint="eastAsia" w:ascii="楷体" w:hAnsi="楷体" w:eastAsia="楷体" w:cs="楷体"/>
          <w:color w:val="0F1115"/>
          <w:sz w:val="21"/>
          <w:szCs w:val="21"/>
          <w:shd w:val="clear" w:color="auto" w:fill="FFFFFF"/>
        </w:rPr>
        <w:t>在智慧环境下，专家型教师能够更好地利用技术工具创造互动性学习体验</w:t>
      </w:r>
      <w:r>
        <w:rPr>
          <w:rFonts w:hint="eastAsia" w:ascii="楷体" w:hAnsi="楷体" w:eastAsia="楷体" w:cs="楷体"/>
          <w:color w:val="0F1115"/>
          <w:sz w:val="21"/>
          <w:szCs w:val="21"/>
          <w:shd w:val="clear" w:color="auto" w:fill="FFFFFF"/>
          <w:lang w:eastAsia="zh-CN"/>
        </w:rPr>
        <w:t>，</w:t>
      </w: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在智慧学习环境中，教师可以借助智能教学平台发起问题、收集反馈，学生可以通过移动设备记录、回答、互评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  <w:lang w:val="en-US" w:eastAsia="zh-CN"/>
        </w:rPr>
        <w:t>”</w:t>
      </w:r>
      <w:r>
        <w:rPr>
          <w:rStyle w:val="15"/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footnoteReference w:id="3"/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。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  <w:lang w:val="en-US" w:eastAsia="zh-CN"/>
        </w:rPr>
        <w:t>由此可知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数字技术与学历案的结合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在课堂教学中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具有巨大潜力。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但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如何将二者有机融合，构建可操作的教学模式，尚缺乏系统的行动研究。</w:t>
      </w:r>
    </w:p>
    <w:p w14:paraId="5B794665">
      <w:pPr>
        <w:pStyle w:val="4"/>
        <w:widowControl/>
        <w:shd w:val="clear" w:color="auto" w:fill="FFFFFF"/>
        <w:spacing w:beforeAutospacing="0" w:afterAutospacing="0"/>
        <w:ind w:firstLine="422" w:firstLineChars="200"/>
        <w:jc w:val="both"/>
        <w:rPr>
          <w:rFonts w:hint="default" w:ascii="Times New Roman" w:hAnsi="Times New Roman"/>
          <w:color w:val="0F1115"/>
          <w:sz w:val="21"/>
          <w:szCs w:val="21"/>
        </w:rPr>
      </w:pP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（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val="en-US" w:eastAsia="zh-CN"/>
        </w:rPr>
        <w:t>三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）</w:t>
      </w:r>
      <w:r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  <w:t>研究问题</w:t>
      </w:r>
    </w:p>
    <w:p w14:paraId="4F07E45D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笔者将“棱柱”第一课时在三个不同班级以三轮打磨不断改进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  <w:lang w:val="en-US" w:eastAsia="zh-CN"/>
        </w:rPr>
        <w:t>方式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分别进行教学，其中班级来源于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上海市某中学高二年级三个平行班级。三轮授课教师均为研究者本人，授课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主题内容一致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，课时长均为40分钟，课后作业相同。三个班级学生数学基础无显著差异（以最近一次期末考试成绩为依据）。</w:t>
      </w:r>
    </w:p>
    <w:p w14:paraId="5811E516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基于以上分析，本研究聚焦以下三个问题：（1）三轮授课中，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教师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的“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提问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结构”发生了怎样的变化？（2）三轮授课中，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课堂中的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教学任务的认知水平有何差异？（3）学历案与数字技术如何协同促进学生的深度学习？</w:t>
      </w:r>
    </w:p>
    <w:p w14:paraId="58DA71BC">
      <w:pPr>
        <w:pStyle w:val="3"/>
        <w:widowControl/>
        <w:shd w:val="clear" w:color="auto" w:fill="FFFFFF"/>
        <w:spacing w:beforeAutospacing="0" w:afterAutospacing="0"/>
        <w:jc w:val="both"/>
        <w:rPr>
          <w:rFonts w:hint="default" w:ascii="Times New Roman" w:hAnsi="Times New Roman"/>
          <w:color w:val="0F1115"/>
          <w:sz w:val="21"/>
          <w:szCs w:val="21"/>
        </w:rPr>
      </w:pPr>
      <w:r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  <w:t>二、</w:t>
      </w:r>
      <w:r>
        <w:rPr>
          <w:rFonts w:ascii="Times New Roman" w:hAnsi="Times New Roman"/>
          <w:color w:val="0F1115"/>
          <w:sz w:val="21"/>
          <w:szCs w:val="21"/>
          <w:shd w:val="clear" w:color="auto" w:fill="FFFFFF"/>
        </w:rPr>
        <w:t>研究</w:t>
      </w:r>
      <w:r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  <w:t>方法</w:t>
      </w:r>
    </w:p>
    <w:p w14:paraId="6D2F6B8F">
      <w:pPr>
        <w:pStyle w:val="4"/>
        <w:widowControl/>
        <w:shd w:val="clear" w:color="auto" w:fill="FFFFFF"/>
        <w:spacing w:beforeAutospacing="0" w:afterAutospacing="0"/>
        <w:ind w:firstLine="422" w:firstLineChars="200"/>
        <w:jc w:val="both"/>
        <w:rPr>
          <w:rFonts w:hint="default" w:ascii="Times New Roman" w:hAnsi="Times New Roman"/>
          <w:color w:val="0F1115"/>
          <w:sz w:val="21"/>
          <w:szCs w:val="21"/>
        </w:rPr>
      </w:pP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（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val="en-US" w:eastAsia="zh-CN"/>
        </w:rPr>
        <w:t>一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）</w:t>
      </w:r>
      <w:r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  <w:t xml:space="preserve"> 研究对象的选择</w:t>
      </w:r>
    </w:p>
    <w:p w14:paraId="72CDBC33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将三轮授课视为三次连续的“行动螺旋”：第一轮为“传统讲授型”，第二轮为“学历案引导型”，第三轮为“学历案+数字技术协同型”。研究对象基本情况如表1所示。</w:t>
      </w:r>
    </w:p>
    <w:p w14:paraId="6DCB8DBD">
      <w:pPr>
        <w:pStyle w:val="9"/>
        <w:widowControl/>
        <w:shd w:val="clear" w:color="auto" w:fill="FFFFFF"/>
        <w:jc w:val="center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  <w:t>表1 三轮授课研究对象基本情况</w:t>
      </w:r>
    </w:p>
    <w:tbl>
      <w:tblPr>
        <w:tblStyle w:val="10"/>
        <w:tblW w:w="8463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0"/>
        <w:gridCol w:w="1558"/>
        <w:gridCol w:w="996"/>
        <w:gridCol w:w="2124"/>
        <w:gridCol w:w="2725"/>
      </w:tblGrid>
      <w:tr w14:paraId="4B2800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1060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19D3DC4">
            <w:pPr>
              <w:widowControl/>
              <w:snapToGrid w:val="0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轮次</w:t>
            </w:r>
          </w:p>
        </w:tc>
        <w:tc>
          <w:tcPr>
            <w:tcW w:w="1558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5BA838F">
            <w:pPr>
              <w:widowControl/>
              <w:snapToGrid w:val="0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班级</w:t>
            </w:r>
          </w:p>
        </w:tc>
        <w:tc>
          <w:tcPr>
            <w:tcW w:w="996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C1870C4">
            <w:pPr>
              <w:widowControl/>
              <w:snapToGrid w:val="0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人数</w:t>
            </w:r>
          </w:p>
        </w:tc>
        <w:tc>
          <w:tcPr>
            <w:tcW w:w="2124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3147C08">
            <w:pPr>
              <w:widowControl/>
              <w:snapToGrid w:val="0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教学形态</w:t>
            </w:r>
          </w:p>
        </w:tc>
        <w:tc>
          <w:tcPr>
            <w:tcW w:w="2725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B7F5240">
            <w:pPr>
              <w:widowControl/>
              <w:snapToGrid w:val="0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技术应用</w:t>
            </w:r>
          </w:p>
        </w:tc>
      </w:tr>
      <w:tr w14:paraId="4B4953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60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CB2156D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第一轮</w:t>
            </w:r>
          </w:p>
        </w:tc>
        <w:tc>
          <w:tcPr>
            <w:tcW w:w="1558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3D5CD82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高二6班</w:t>
            </w:r>
          </w:p>
        </w:tc>
        <w:tc>
          <w:tcPr>
            <w:tcW w:w="996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7E2FBF5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5</w:t>
            </w:r>
          </w:p>
        </w:tc>
        <w:tc>
          <w:tcPr>
            <w:tcW w:w="2124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7890AF8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传统讲授型</w:t>
            </w:r>
          </w:p>
        </w:tc>
        <w:tc>
          <w:tcPr>
            <w:tcW w:w="2725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CA2DC4B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无</w:t>
            </w:r>
          </w:p>
        </w:tc>
      </w:tr>
      <w:tr w14:paraId="4D550D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6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C2192C4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第二轮</w:t>
            </w:r>
          </w:p>
        </w:tc>
        <w:tc>
          <w:tcPr>
            <w:tcW w:w="1558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EE5ED3F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高二4班</w:t>
            </w:r>
          </w:p>
        </w:tc>
        <w:tc>
          <w:tcPr>
            <w:tcW w:w="99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89BD177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6</w:t>
            </w:r>
          </w:p>
        </w:tc>
        <w:tc>
          <w:tcPr>
            <w:tcW w:w="212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050A3FB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学历案引导型</w:t>
            </w:r>
          </w:p>
        </w:tc>
        <w:tc>
          <w:tcPr>
            <w:tcW w:w="2725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0429AAC">
            <w:pPr>
              <w:widowControl/>
              <w:snapToGrid w:val="0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val="en-US" w:eastAsia="zh-CN" w:bidi="ar"/>
              </w:rPr>
              <w:t>无</w:t>
            </w:r>
          </w:p>
        </w:tc>
      </w:tr>
      <w:tr w14:paraId="4D0B77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60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90F2813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第三轮</w:t>
            </w:r>
          </w:p>
        </w:tc>
        <w:tc>
          <w:tcPr>
            <w:tcW w:w="1558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6CC67B7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高二3班</w:t>
            </w:r>
          </w:p>
        </w:tc>
        <w:tc>
          <w:tcPr>
            <w:tcW w:w="996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B128EF9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5</w:t>
            </w:r>
          </w:p>
        </w:tc>
        <w:tc>
          <w:tcPr>
            <w:tcW w:w="2124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9211D3C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协同型</w:t>
            </w:r>
          </w:p>
        </w:tc>
        <w:tc>
          <w:tcPr>
            <w:tcW w:w="2725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34F1C25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“三个助手”整合</w:t>
            </w:r>
          </w:p>
        </w:tc>
      </w:tr>
    </w:tbl>
    <w:p w14:paraId="7C2454E6">
      <w:pPr>
        <w:pStyle w:val="4"/>
        <w:widowControl/>
        <w:shd w:val="clear" w:color="auto" w:fill="FFFFFF"/>
        <w:spacing w:beforeAutospacing="0" w:afterAutospacing="0"/>
        <w:ind w:firstLine="422" w:firstLineChars="200"/>
        <w:jc w:val="both"/>
        <w:rPr>
          <w:rFonts w:hint="default" w:ascii="Times New Roman" w:hAnsi="Times New Roman"/>
          <w:color w:val="0F1115"/>
          <w:sz w:val="21"/>
          <w:szCs w:val="21"/>
        </w:rPr>
      </w:pP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（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val="en-US" w:eastAsia="zh-CN"/>
        </w:rPr>
        <w:t>二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）</w:t>
      </w:r>
      <w:r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  <w:t xml:space="preserve"> 研究方法和过程</w:t>
      </w:r>
    </w:p>
    <w:p w14:paraId="4C62B5D9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本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文主要对三轮课堂进行对比分析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，每轮授课后进行课堂录像分析、学生学历案文本分析和课后反思，诊断问题、调整策略、优化设计。</w:t>
      </w:r>
    </w:p>
    <w:p w14:paraId="2FE77E7B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具体研究方法包括：（1）课堂实录分析：将三轮授课录像转录为文字，进行逐字记录；（2）对比分析：从“教学用问题”和“教学任务认知水平”两个维度进行量化统计和质性描述。</w:t>
      </w:r>
    </w:p>
    <w:p w14:paraId="08530FC2">
      <w:pPr>
        <w:pStyle w:val="4"/>
        <w:widowControl/>
        <w:shd w:val="clear" w:color="auto" w:fill="FFFFFF"/>
        <w:spacing w:beforeAutospacing="0" w:afterAutospacing="0"/>
        <w:ind w:firstLine="422" w:firstLineChars="200"/>
        <w:jc w:val="both"/>
        <w:rPr>
          <w:rFonts w:hint="default" w:ascii="Times New Roman" w:hAnsi="Times New Roman"/>
          <w:color w:val="0F1115"/>
          <w:sz w:val="21"/>
          <w:szCs w:val="21"/>
        </w:rPr>
      </w:pP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（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val="en-US" w:eastAsia="zh-CN"/>
        </w:rPr>
        <w:t>三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）</w:t>
      </w:r>
      <w:r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  <w:t>分析框架</w:t>
      </w:r>
    </w:p>
    <w:p w14:paraId="11A80CDE">
      <w:pPr>
        <w:pStyle w:val="5"/>
        <w:widowControl/>
        <w:shd w:val="clear" w:color="auto" w:fill="FFFFFF"/>
        <w:spacing w:beforeAutospacing="0" w:afterAutospacing="0"/>
        <w:ind w:firstLine="422" w:firstLineChars="200"/>
        <w:jc w:val="both"/>
        <w:rPr>
          <w:rFonts w:hint="default" w:ascii="Times New Roman" w:hAnsi="Times New Roman"/>
          <w:color w:val="0F1115"/>
          <w:sz w:val="21"/>
          <w:szCs w:val="21"/>
        </w:rPr>
      </w:pP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val="en-US" w:eastAsia="zh-CN"/>
        </w:rPr>
        <w:t>1.</w:t>
      </w:r>
      <w:r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  <w:t>“教学用问题”分析框架</w:t>
      </w:r>
    </w:p>
    <w:p w14:paraId="240E8B92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借鉴郭桂华、宋晓平</w:t>
      </w:r>
      <w:r>
        <w:rPr>
          <w:rStyle w:val="15"/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footnoteReference w:id="4"/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的“教学用问题”分类，将教师提问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结构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分为6种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“教学用问题”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：</w:t>
      </w:r>
    </w:p>
    <w:tbl>
      <w:tblPr>
        <w:tblStyle w:val="10"/>
        <w:tblpPr w:leftFromText="180" w:rightFromText="180" w:vertAnchor="text" w:horzAnchor="page" w:tblpX="1699" w:tblpY="351"/>
        <w:tblOverlap w:val="never"/>
        <w:tblW w:w="848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58"/>
        <w:gridCol w:w="3050"/>
        <w:gridCol w:w="3478"/>
      </w:tblGrid>
      <w:tr w14:paraId="0AA682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58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9EF16FC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“教学用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问题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”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类型</w:t>
            </w:r>
          </w:p>
        </w:tc>
        <w:tc>
          <w:tcPr>
            <w:tcW w:w="3050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A0CF0FA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描述</w:t>
            </w:r>
          </w:p>
        </w:tc>
        <w:tc>
          <w:tcPr>
            <w:tcW w:w="3478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BFE2365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示例</w:t>
            </w:r>
          </w:p>
        </w:tc>
      </w:tr>
      <w:tr w14:paraId="37D8DA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58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6F42972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元认知性问题</w:t>
            </w:r>
          </w:p>
        </w:tc>
        <w:tc>
          <w:tcPr>
            <w:tcW w:w="3050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F57A6DB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引导学生反思自己的思维策略</w:t>
            </w:r>
          </w:p>
        </w:tc>
        <w:tc>
          <w:tcPr>
            <w:tcW w:w="3478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74D58AA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“你是怎么想到这个方法的？”</w:t>
            </w:r>
          </w:p>
        </w:tc>
      </w:tr>
      <w:tr w14:paraId="68D64B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58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1F6AF83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开放性问题</w:t>
            </w:r>
          </w:p>
        </w:tc>
        <w:tc>
          <w:tcPr>
            <w:tcW w:w="3050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7A46D93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需要多方向、多角度思考</w:t>
            </w:r>
          </w:p>
        </w:tc>
        <w:tc>
          <w:tcPr>
            <w:tcW w:w="3478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AD20CE7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“你还能用其他方法证明吗？”</w:t>
            </w:r>
          </w:p>
        </w:tc>
      </w:tr>
      <w:tr w14:paraId="54B5EB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58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F5194D8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导向性问题</w:t>
            </w:r>
          </w:p>
        </w:tc>
        <w:tc>
          <w:tcPr>
            <w:tcW w:w="3050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A400418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指向问题解决的目标</w:t>
            </w:r>
          </w:p>
        </w:tc>
        <w:tc>
          <w:tcPr>
            <w:tcW w:w="3478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C90E067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“根据平行公理，我们能得到什么？”</w:t>
            </w:r>
          </w:p>
        </w:tc>
      </w:tr>
      <w:tr w14:paraId="2C827C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58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C6EC2C6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理解性问题</w:t>
            </w:r>
          </w:p>
        </w:tc>
        <w:tc>
          <w:tcPr>
            <w:tcW w:w="3050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5AA1E34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需要推理说明或论证</w:t>
            </w:r>
          </w:p>
        </w:tc>
        <w:tc>
          <w:tcPr>
            <w:tcW w:w="3478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D2F7731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“为什么侧面是平行四边形？”</w:t>
            </w:r>
          </w:p>
        </w:tc>
      </w:tr>
      <w:tr w14:paraId="2CAA4D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58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582778F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唤起性问题</w:t>
            </w:r>
          </w:p>
        </w:tc>
        <w:tc>
          <w:tcPr>
            <w:tcW w:w="3050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5D35AC8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判断学生是否掌握所学知识</w:t>
            </w:r>
          </w:p>
        </w:tc>
        <w:tc>
          <w:tcPr>
            <w:tcW w:w="3478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24209C0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“棱柱的侧面是什么图形？”</w:t>
            </w:r>
          </w:p>
        </w:tc>
      </w:tr>
      <w:tr w14:paraId="12E9D2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2" w:hRule="atLeast"/>
        </w:trPr>
        <w:tc>
          <w:tcPr>
            <w:tcW w:w="1958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79BEF92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判断性问题</w:t>
            </w:r>
          </w:p>
        </w:tc>
        <w:tc>
          <w:tcPr>
            <w:tcW w:w="3050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017B342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用“是/否”或简单事实回答</w:t>
            </w:r>
          </w:p>
        </w:tc>
        <w:tc>
          <w:tcPr>
            <w:tcW w:w="3478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A967B56">
            <w:pPr>
              <w:keepNext/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“这个说法对吗？”</w:t>
            </w:r>
          </w:p>
        </w:tc>
      </w:tr>
    </w:tbl>
    <w:p w14:paraId="0098889F">
      <w:pPr>
        <w:pStyle w:val="9"/>
        <w:widowControl/>
        <w:shd w:val="clear" w:color="auto" w:fill="FFFFFF"/>
        <w:jc w:val="center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  <w:t>表2 “教学用问题”类型及描述</w:t>
      </w:r>
    </w:p>
    <w:p w14:paraId="46066433">
      <w:pPr>
        <w:pStyle w:val="5"/>
        <w:widowControl/>
        <w:shd w:val="clear" w:color="auto" w:fill="FFFFFF"/>
        <w:spacing w:beforeAutospacing="0" w:afterAutospacing="0"/>
        <w:ind w:firstLine="422" w:firstLineChars="200"/>
        <w:jc w:val="both"/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val="en-US" w:eastAsia="zh-CN"/>
        </w:rPr>
      </w:pPr>
    </w:p>
    <w:p w14:paraId="77BDD603">
      <w:pPr>
        <w:pStyle w:val="5"/>
        <w:widowControl/>
        <w:shd w:val="clear" w:color="auto" w:fill="FFFFFF"/>
        <w:spacing w:beforeAutospacing="0" w:afterAutospacing="0"/>
        <w:ind w:firstLine="422" w:firstLineChars="200"/>
        <w:jc w:val="both"/>
        <w:rPr>
          <w:rFonts w:hint="default" w:ascii="Times New Roman" w:hAnsi="Times New Roman"/>
          <w:color w:val="0F1115"/>
          <w:sz w:val="21"/>
          <w:szCs w:val="21"/>
        </w:rPr>
      </w:pP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  <w:t xml:space="preserve"> 教学任务认知水平分析框架</w:t>
      </w:r>
    </w:p>
    <w:p w14:paraId="507B9804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借鉴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黄兴丰, 程龙海, 李士</w:t>
      </w:r>
      <w:r>
        <w:rPr>
          <w:rStyle w:val="15"/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footnoteReference w:id="5"/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的认知要求框架，将数学教学任务分为4种水平：</w:t>
      </w:r>
    </w:p>
    <w:p w14:paraId="37265D05">
      <w:pPr>
        <w:pStyle w:val="9"/>
        <w:widowControl/>
        <w:shd w:val="clear" w:color="auto" w:fill="FFFFFF"/>
        <w:jc w:val="center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  <w:t>表3 教学任务认知水平分类</w:t>
      </w:r>
    </w:p>
    <w:tbl>
      <w:tblPr>
        <w:tblStyle w:val="10"/>
        <w:tblW w:w="8463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2"/>
        <w:gridCol w:w="2749"/>
        <w:gridCol w:w="4812"/>
      </w:tblGrid>
      <w:tr w14:paraId="250130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902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3CF086D">
            <w:pPr>
              <w:widowControl/>
              <w:snapToGrid w:val="0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水平</w:t>
            </w:r>
          </w:p>
        </w:tc>
        <w:tc>
          <w:tcPr>
            <w:tcW w:w="2749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CF0D77C">
            <w:pPr>
              <w:widowControl/>
              <w:snapToGrid w:val="0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类型</w:t>
            </w:r>
          </w:p>
        </w:tc>
        <w:tc>
          <w:tcPr>
            <w:tcW w:w="4812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99C4812">
            <w:pPr>
              <w:widowControl/>
              <w:snapToGrid w:val="0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描述</w:t>
            </w:r>
          </w:p>
        </w:tc>
      </w:tr>
      <w:tr w14:paraId="6CFC4C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02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F4E4C50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低</w:t>
            </w:r>
          </w:p>
        </w:tc>
        <w:tc>
          <w:tcPr>
            <w:tcW w:w="2749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89ADAAA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A.记忆</w:t>
            </w:r>
          </w:p>
        </w:tc>
        <w:tc>
          <w:tcPr>
            <w:tcW w:w="4812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A97597B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简单回忆已学知识，不需理解</w:t>
            </w:r>
          </w:p>
        </w:tc>
      </w:tr>
      <w:tr w14:paraId="2E5C83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02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21B926F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低</w:t>
            </w:r>
          </w:p>
        </w:tc>
        <w:tc>
          <w:tcPr>
            <w:tcW w:w="2749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07969A2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B.无联系的程序</w:t>
            </w:r>
          </w:p>
        </w:tc>
        <w:tc>
          <w:tcPr>
            <w:tcW w:w="4812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73882EB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套用公式或步骤，与意义无关</w:t>
            </w:r>
          </w:p>
        </w:tc>
      </w:tr>
      <w:tr w14:paraId="5AB54E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02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B3866DE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高</w:t>
            </w:r>
          </w:p>
        </w:tc>
        <w:tc>
          <w:tcPr>
            <w:tcW w:w="2749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F6BC1F9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C.有联系的程序</w:t>
            </w:r>
          </w:p>
        </w:tc>
        <w:tc>
          <w:tcPr>
            <w:tcW w:w="4812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1113448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选择程序，理解意义，建立联系</w:t>
            </w:r>
          </w:p>
        </w:tc>
      </w:tr>
      <w:tr w14:paraId="1F7702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02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9486AE1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高</w:t>
            </w:r>
          </w:p>
        </w:tc>
        <w:tc>
          <w:tcPr>
            <w:tcW w:w="2749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811E131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D.做数学</w:t>
            </w:r>
          </w:p>
        </w:tc>
        <w:tc>
          <w:tcPr>
            <w:tcW w:w="4812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3185D0D">
            <w:pPr>
              <w:widowControl/>
              <w:snapToGrid w:val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无预设路径，需要探究内在结构</w:t>
            </w:r>
          </w:p>
        </w:tc>
      </w:tr>
    </w:tbl>
    <w:p w14:paraId="7AE3CB8B">
      <w:pPr>
        <w:pStyle w:val="3"/>
        <w:widowControl/>
        <w:shd w:val="clear" w:color="auto" w:fill="FFFFFF"/>
        <w:spacing w:beforeAutospacing="0" w:afterAutospacing="0"/>
        <w:jc w:val="both"/>
        <w:outlineLvl w:val="1"/>
        <w:rPr>
          <w:rFonts w:hint="default" w:ascii="Times New Roman" w:hAnsi="Times New Roman"/>
          <w:color w:val="0F1115"/>
          <w:sz w:val="21"/>
          <w:szCs w:val="21"/>
        </w:rPr>
      </w:pPr>
      <w:r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  <w:t>三、研究</w:t>
      </w:r>
      <w:r>
        <w:rPr>
          <w:rFonts w:ascii="Times New Roman" w:hAnsi="Times New Roman"/>
          <w:color w:val="0F1115"/>
          <w:sz w:val="21"/>
          <w:szCs w:val="21"/>
          <w:shd w:val="clear" w:color="auto" w:fill="FFFFFF"/>
        </w:rPr>
        <w:t>过程</w:t>
      </w:r>
    </w:p>
    <w:p w14:paraId="0AFDDC3F">
      <w:pPr>
        <w:pStyle w:val="4"/>
        <w:widowControl/>
        <w:shd w:val="clear" w:color="auto" w:fill="FFFFFF"/>
        <w:spacing w:beforeAutospacing="0" w:afterAutospacing="0"/>
        <w:ind w:firstLine="422" w:firstLineChars="200"/>
        <w:jc w:val="both"/>
        <w:outlineLvl w:val="2"/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</w:pP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（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val="en-US" w:eastAsia="zh-CN"/>
        </w:rPr>
        <w:t>一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）</w:t>
      </w:r>
      <w:r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  <w:t xml:space="preserve"> 三轮授课教学流程的整体对比</w:t>
      </w:r>
    </w:p>
    <w:p w14:paraId="1CFFCE32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从教学流程的整体结构看，三轮授课呈现出明显的演变趋势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，具体流程变化如下表：</w:t>
      </w:r>
    </w:p>
    <w:p w14:paraId="3B6B08B9">
      <w:pPr>
        <w:jc w:val="center"/>
        <w:rPr>
          <w:rFonts w:eastAsia="宋体"/>
        </w:rPr>
      </w:pPr>
      <w:r>
        <w:rPr>
          <w:rStyle w:val="12"/>
          <w:rFonts w:ascii="Times New Roman" w:hAnsi="Times New Roman" w:eastAsia="宋体" w:cs="Times New Roman"/>
          <w:bCs/>
          <w:color w:val="0F1115"/>
          <w:szCs w:val="21"/>
          <w:shd w:val="clear" w:color="auto" w:fill="FFFFFF"/>
        </w:rPr>
        <w:t>表</w:t>
      </w:r>
      <w:r>
        <w:rPr>
          <w:rStyle w:val="12"/>
          <w:rFonts w:hint="eastAsia" w:ascii="Times New Roman" w:hAnsi="Times New Roman" w:eastAsia="宋体" w:cs="Times New Roman"/>
          <w:bCs/>
          <w:color w:val="0F1115"/>
          <w:szCs w:val="21"/>
          <w:shd w:val="clear" w:color="auto" w:fill="FFFFFF"/>
        </w:rPr>
        <w:t>4</w:t>
      </w:r>
      <w:r>
        <w:rPr>
          <w:rStyle w:val="12"/>
          <w:rFonts w:ascii="Times New Roman" w:hAnsi="Times New Roman" w:eastAsia="宋体" w:cs="Times New Roman"/>
          <w:bCs/>
          <w:color w:val="0F1115"/>
          <w:szCs w:val="21"/>
          <w:shd w:val="clear" w:color="auto" w:fill="FFFFFF"/>
        </w:rPr>
        <w:t xml:space="preserve"> </w:t>
      </w:r>
      <w:r>
        <w:rPr>
          <w:rStyle w:val="12"/>
          <w:rFonts w:hint="eastAsia" w:ascii="Times New Roman" w:hAnsi="Times New Roman" w:eastAsia="宋体" w:cs="Times New Roman"/>
          <w:bCs/>
          <w:color w:val="0F1115"/>
          <w:szCs w:val="21"/>
          <w:shd w:val="clear" w:color="auto" w:fill="FFFFFF"/>
        </w:rPr>
        <w:t>三轮授课教学流程对比</w:t>
      </w:r>
    </w:p>
    <w:tbl>
      <w:tblPr>
        <w:tblStyle w:val="10"/>
        <w:tblW w:w="8464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85"/>
        <w:gridCol w:w="3160"/>
        <w:gridCol w:w="2519"/>
      </w:tblGrid>
      <w:tr w14:paraId="38CE4E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2785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F38DD49">
            <w:pPr>
              <w:widowControl/>
              <w:snapToGrid w:val="0"/>
              <w:jc w:val="left"/>
              <w:rPr>
                <w:rFonts w:ascii="var(--dsw-font-markdown-table-h" w:hAnsi="var(--dsw-font-markdown-table-h" w:eastAsia="var(--dsw-font-markdown-table-h" w:cs="var(--dsw-font-markdown-table-h"/>
                <w:b/>
                <w:bCs/>
                <w:szCs w:val="21"/>
              </w:rPr>
            </w:pPr>
            <w:r>
              <w:rPr>
                <w:rFonts w:ascii="var(--dsw-font-markdown-table-h" w:hAnsi="var(--dsw-font-markdown-table-h" w:eastAsia="var(--dsw-font-markdown-table-h" w:cs="var(--dsw-font-markdown-table-h"/>
                <w:b/>
                <w:bCs/>
                <w:kern w:val="0"/>
                <w:szCs w:val="21"/>
                <w:lang w:bidi="ar"/>
              </w:rPr>
              <w:t>第一轮授课（传统讲授型）</w:t>
            </w:r>
          </w:p>
        </w:tc>
        <w:tc>
          <w:tcPr>
            <w:tcW w:w="3160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0FAC3AD">
            <w:pPr>
              <w:widowControl/>
              <w:snapToGrid w:val="0"/>
              <w:jc w:val="left"/>
              <w:rPr>
                <w:rFonts w:ascii="var(--dsw-font-markdown-table-h" w:hAnsi="var(--dsw-font-markdown-table-h" w:eastAsia="var(--dsw-font-markdown-table-h" w:cs="var(--dsw-font-markdown-table-h"/>
                <w:b/>
                <w:bCs/>
                <w:szCs w:val="21"/>
              </w:rPr>
            </w:pPr>
            <w:r>
              <w:rPr>
                <w:rFonts w:ascii="var(--dsw-font-markdown-table-h" w:hAnsi="var(--dsw-font-markdown-table-h" w:eastAsia="var(--dsw-font-markdown-table-h" w:cs="var(--dsw-font-markdown-table-h"/>
                <w:b/>
                <w:bCs/>
                <w:kern w:val="0"/>
                <w:szCs w:val="21"/>
                <w:lang w:bidi="ar"/>
              </w:rPr>
              <w:t>第二轮授课（学历案引导型）</w:t>
            </w:r>
          </w:p>
        </w:tc>
        <w:tc>
          <w:tcPr>
            <w:tcW w:w="2519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DCBE635">
            <w:pPr>
              <w:widowControl/>
              <w:snapToGrid w:val="0"/>
              <w:jc w:val="left"/>
              <w:rPr>
                <w:rFonts w:ascii="var(--dsw-font-markdown-table-h" w:hAnsi="var(--dsw-font-markdown-table-h" w:eastAsia="var(--dsw-font-markdown-table-h" w:cs="var(--dsw-font-markdown-table-h"/>
                <w:b/>
                <w:bCs/>
                <w:szCs w:val="21"/>
              </w:rPr>
            </w:pPr>
            <w:r>
              <w:rPr>
                <w:rFonts w:ascii="var(--dsw-font-markdown-table-h" w:hAnsi="var(--dsw-font-markdown-table-h" w:eastAsia="var(--dsw-font-markdown-table-h" w:cs="var(--dsw-font-markdown-table-h"/>
                <w:b/>
                <w:bCs/>
                <w:kern w:val="0"/>
                <w:szCs w:val="21"/>
                <w:lang w:bidi="ar"/>
              </w:rPr>
              <w:t>第三轮授课（协同型）</w:t>
            </w:r>
          </w:p>
        </w:tc>
      </w:tr>
      <w:tr w14:paraId="7ABA28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785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4E1FDE6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复习提问</w:t>
            </w:r>
          </w:p>
        </w:tc>
        <w:tc>
          <w:tcPr>
            <w:tcW w:w="3160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E419941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复习提问</w:t>
            </w:r>
          </w:p>
        </w:tc>
        <w:tc>
          <w:tcPr>
            <w:tcW w:w="2519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C2EC550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平台发布任务</w:t>
            </w:r>
          </w:p>
        </w:tc>
      </w:tr>
      <w:tr w14:paraId="1313EC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785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2819387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教师讲解定义</w:t>
            </w:r>
          </w:p>
        </w:tc>
        <w:tc>
          <w:tcPr>
            <w:tcW w:w="3160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8095454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自主阅读学历案</w:t>
            </w:r>
          </w:p>
        </w:tc>
        <w:tc>
          <w:tcPr>
            <w:tcW w:w="251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E30B59A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课堂提问</w:t>
            </w:r>
          </w:p>
        </w:tc>
      </w:tr>
      <w:tr w14:paraId="180CE1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785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C27D05D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教师示范证明</w:t>
            </w:r>
          </w:p>
        </w:tc>
        <w:tc>
          <w:tcPr>
            <w:tcW w:w="3160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B94F996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填空式探究</w:t>
            </w:r>
          </w:p>
        </w:tc>
        <w:tc>
          <w:tcPr>
            <w:tcW w:w="251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9D94890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探究作答</w:t>
            </w:r>
          </w:p>
        </w:tc>
      </w:tr>
      <w:tr w14:paraId="1C5689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785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6DA3961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学生模仿练习</w:t>
            </w:r>
          </w:p>
        </w:tc>
        <w:tc>
          <w:tcPr>
            <w:tcW w:w="3160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579DFC2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小组讨论</w:t>
            </w:r>
          </w:p>
        </w:tc>
        <w:tc>
          <w:tcPr>
            <w:tcW w:w="251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068B254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平台上传</w:t>
            </w:r>
          </w:p>
        </w:tc>
      </w:tr>
      <w:tr w14:paraId="2F0BE2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785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4F49F9A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例题讲解</w:t>
            </w:r>
          </w:p>
        </w:tc>
        <w:tc>
          <w:tcPr>
            <w:tcW w:w="3160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64893B8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例题练习</w:t>
            </w:r>
          </w:p>
        </w:tc>
        <w:tc>
          <w:tcPr>
            <w:tcW w:w="251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21E2CCA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教师点拨</w:t>
            </w:r>
          </w:p>
        </w:tc>
      </w:tr>
      <w:tr w14:paraId="7CF369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785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95A3A17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课堂小结</w:t>
            </w:r>
          </w:p>
        </w:tc>
        <w:tc>
          <w:tcPr>
            <w:tcW w:w="3160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F52957E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学后反思</w:t>
            </w:r>
          </w:p>
        </w:tc>
        <w:tc>
          <w:tcPr>
            <w:tcW w:w="2519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0D566A0">
            <w:pPr>
              <w:widowControl/>
              <w:snapToGrid w:val="0"/>
              <w:jc w:val="left"/>
              <w:rPr>
                <w:rFonts w:ascii="var(--dsw-font-markdown-table)" w:hAnsi="var(--dsw-font-markdown-table)" w:eastAsia="var(--dsw-font-markdown-table)" w:cs="var(--dsw-font-markdown-table)"/>
                <w:szCs w:val="21"/>
              </w:rPr>
            </w:pPr>
            <w:r>
              <w:rPr>
                <w:rFonts w:ascii="var(--dsw-font-markdown-table)" w:hAnsi="var(--dsw-font-markdown-table)" w:eastAsia="var(--dsw-font-markdown-table)" w:cs="var(--dsw-font-markdown-table)"/>
                <w:kern w:val="0"/>
                <w:szCs w:val="21"/>
                <w:lang w:bidi="ar"/>
              </w:rPr>
              <w:t>学后反思</w:t>
            </w:r>
          </w:p>
        </w:tc>
      </w:tr>
    </w:tbl>
    <w:p w14:paraId="27952B78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从流程变化可以看出：第一轮以教师讲解为主线；第二轮增加了学生自主阅读和探究环节；第三轮则将技术深度整合，形成了“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提问-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探究-上传-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点评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-辨析”的完整学习闭环。</w:t>
      </w:r>
    </w:p>
    <w:p w14:paraId="6BE17602">
      <w:pPr>
        <w:pStyle w:val="4"/>
        <w:widowControl/>
        <w:shd w:val="clear" w:color="auto" w:fill="FFFFFF"/>
        <w:spacing w:beforeAutospacing="0" w:afterAutospacing="0"/>
        <w:ind w:firstLine="422" w:firstLineChars="200"/>
        <w:jc w:val="both"/>
        <w:outlineLvl w:val="2"/>
        <w:rPr>
          <w:rFonts w:hint="default" w:ascii="Times New Roman" w:hAnsi="Times New Roman"/>
          <w:color w:val="0F1115"/>
          <w:sz w:val="21"/>
          <w:szCs w:val="21"/>
        </w:rPr>
      </w:pP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（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val="en-US" w:eastAsia="zh-CN"/>
        </w:rPr>
        <w:t>二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）</w:t>
      </w:r>
      <w:r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  <w:t xml:space="preserve"> “教学用问题”的对比分析</w:t>
      </w:r>
    </w:p>
    <w:p w14:paraId="16C1B950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对三轮授课的教师提问进行编码统计，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以教师的提问和学生能够回答的问题为有效问题，对有效问题个数进行统计，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结果如表5所示。</w:t>
      </w:r>
    </w:p>
    <w:p w14:paraId="030623BE">
      <w:pPr>
        <w:pStyle w:val="9"/>
        <w:widowControl/>
        <w:shd w:val="clear" w:color="auto" w:fill="FFFFFF"/>
        <w:jc w:val="center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  <w:t>表</w:t>
      </w:r>
      <w:r>
        <w:rPr>
          <w:rStyle w:val="12"/>
          <w:rFonts w:hint="eastAsia"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  <w:t>5</w:t>
      </w:r>
      <w:r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  <w:t xml:space="preserve"> 三轮授课“教学用问题”类型分布对比</w:t>
      </w:r>
    </w:p>
    <w:tbl>
      <w:tblPr>
        <w:tblStyle w:val="10"/>
        <w:tblW w:w="8463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77"/>
        <w:gridCol w:w="2118"/>
        <w:gridCol w:w="2118"/>
        <w:gridCol w:w="1850"/>
      </w:tblGrid>
      <w:tr w14:paraId="66DC2A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2377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0AC9B90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问题类型</w:t>
            </w:r>
          </w:p>
        </w:tc>
        <w:tc>
          <w:tcPr>
            <w:tcW w:w="2118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5651223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第一轮</w:t>
            </w:r>
          </w:p>
        </w:tc>
        <w:tc>
          <w:tcPr>
            <w:tcW w:w="2118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4394A93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第二轮</w:t>
            </w:r>
          </w:p>
        </w:tc>
        <w:tc>
          <w:tcPr>
            <w:tcW w:w="1850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E17948E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第三轮</w:t>
            </w:r>
          </w:p>
        </w:tc>
      </w:tr>
      <w:tr w14:paraId="35395C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77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A46AF9C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元认知性问题</w:t>
            </w:r>
          </w:p>
        </w:tc>
        <w:tc>
          <w:tcPr>
            <w:tcW w:w="2118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99F1269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(0%)</w:t>
            </w:r>
          </w:p>
        </w:tc>
        <w:tc>
          <w:tcPr>
            <w:tcW w:w="2118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A8FAB96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%)</w:t>
            </w:r>
          </w:p>
        </w:tc>
        <w:tc>
          <w:tcPr>
            <w:tcW w:w="1850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8E0E0AB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%)</w:t>
            </w:r>
          </w:p>
        </w:tc>
      </w:tr>
      <w:tr w14:paraId="34B190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77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256AF11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开放性问题</w:t>
            </w:r>
          </w:p>
        </w:tc>
        <w:tc>
          <w:tcPr>
            <w:tcW w:w="2118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0997472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%)</w:t>
            </w:r>
          </w:p>
        </w:tc>
        <w:tc>
          <w:tcPr>
            <w:tcW w:w="2118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849D648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.5%)</w:t>
            </w:r>
          </w:p>
        </w:tc>
        <w:tc>
          <w:tcPr>
            <w:tcW w:w="1850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7A058F7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11.5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%)</w:t>
            </w:r>
          </w:p>
        </w:tc>
      </w:tr>
      <w:tr w14:paraId="2B277E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77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A03A82F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导向性问题</w:t>
            </w:r>
          </w:p>
        </w:tc>
        <w:tc>
          <w:tcPr>
            <w:tcW w:w="2118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87306EF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(7.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%)</w:t>
            </w:r>
          </w:p>
        </w:tc>
        <w:tc>
          <w:tcPr>
            <w:tcW w:w="2118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54CAA63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19.2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%)</w:t>
            </w:r>
          </w:p>
        </w:tc>
        <w:tc>
          <w:tcPr>
            <w:tcW w:w="1850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BE95FD0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(2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3.1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%)</w:t>
            </w:r>
          </w:p>
        </w:tc>
      </w:tr>
      <w:tr w14:paraId="254133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77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9CF0B8E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理解性问题</w:t>
            </w:r>
          </w:p>
        </w:tc>
        <w:tc>
          <w:tcPr>
            <w:tcW w:w="2118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BEBAD4E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%)</w:t>
            </w:r>
          </w:p>
        </w:tc>
        <w:tc>
          <w:tcPr>
            <w:tcW w:w="2118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28E4022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23.1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%)</w:t>
            </w:r>
          </w:p>
        </w:tc>
        <w:tc>
          <w:tcPr>
            <w:tcW w:w="1850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4F335FB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(2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3.1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%)</w:t>
            </w:r>
          </w:p>
        </w:tc>
      </w:tr>
      <w:tr w14:paraId="5B8CF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77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DCAB2DC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唤起性问题</w:t>
            </w:r>
          </w:p>
        </w:tc>
        <w:tc>
          <w:tcPr>
            <w:tcW w:w="2118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E02C2AC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(3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%)</w:t>
            </w:r>
          </w:p>
        </w:tc>
        <w:tc>
          <w:tcPr>
            <w:tcW w:w="2118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CD3D69E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(23.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%)</w:t>
            </w:r>
          </w:p>
        </w:tc>
        <w:tc>
          <w:tcPr>
            <w:tcW w:w="1850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52BFB96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(1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5.4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%)</w:t>
            </w:r>
          </w:p>
        </w:tc>
      </w:tr>
      <w:tr w14:paraId="7C3EF3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77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DCD75D5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判断性问题</w:t>
            </w:r>
          </w:p>
        </w:tc>
        <w:tc>
          <w:tcPr>
            <w:tcW w:w="2118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2EDBE87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(3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0%)</w:t>
            </w:r>
          </w:p>
        </w:tc>
        <w:tc>
          <w:tcPr>
            <w:tcW w:w="2118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F24B5CD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(1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5.4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%)</w:t>
            </w:r>
          </w:p>
        </w:tc>
        <w:tc>
          <w:tcPr>
            <w:tcW w:w="1850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3A75878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(7.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%)</w:t>
            </w:r>
          </w:p>
        </w:tc>
      </w:tr>
      <w:tr w14:paraId="11DDD6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77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C9927B2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Style w:val="12"/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>合计</w:t>
            </w:r>
          </w:p>
        </w:tc>
        <w:tc>
          <w:tcPr>
            <w:tcW w:w="2118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AD060C7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Cs w:val="21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b/>
                <w:kern w:val="0"/>
                <w:szCs w:val="21"/>
                <w:lang w:bidi="ar"/>
              </w:rPr>
              <w:t xml:space="preserve"> (100%)</w:t>
            </w:r>
          </w:p>
        </w:tc>
        <w:tc>
          <w:tcPr>
            <w:tcW w:w="2118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9EC6AAF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Cs w:val="21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b/>
                <w:kern w:val="0"/>
                <w:szCs w:val="21"/>
                <w:lang w:bidi="ar"/>
              </w:rPr>
              <w:t xml:space="preserve"> (100%)</w:t>
            </w:r>
          </w:p>
        </w:tc>
        <w:tc>
          <w:tcPr>
            <w:tcW w:w="1850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F729B43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Cs w:val="21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b/>
                <w:kern w:val="0"/>
                <w:szCs w:val="21"/>
                <w:lang w:bidi="ar"/>
              </w:rPr>
              <w:t xml:space="preserve"> (100%)</w:t>
            </w:r>
          </w:p>
        </w:tc>
      </w:tr>
    </w:tbl>
    <w:p w14:paraId="4CD4494F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从表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5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可以看出：</w:t>
      </w:r>
    </w:p>
    <w:p w14:paraId="7C457E37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第一轮授课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中学生主要能回答出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低认知水平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的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问题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，学生对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判断性问题和唤起性问题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的回答呼应率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合计占6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9.3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%，开放性问题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  <w:lang w:val="en-US" w:eastAsia="zh-CN"/>
        </w:rPr>
        <w:t>和元认知性问题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仅有1个同学能准确回答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  <w:lang w:eastAsia="zh-CN"/>
        </w:rPr>
        <w:t>。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对于开放性问题和元认知问题学生不知道如何思考也来不及思考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。正如杨向东</w:t>
      </w:r>
      <w:r>
        <w:rPr>
          <w:rStyle w:val="15"/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footnoteReference w:id="6"/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所指出的，这种提问结构“借着提问的形式进行知识灌输”。</w:t>
      </w:r>
    </w:p>
    <w:p w14:paraId="3C6CF3DC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</w:pP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第二轮授课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中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利用学历案将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一些判断性问题、唤起性问题转为理解性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eastAsia="zh-CN"/>
        </w:rPr>
        <w:t>、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导向性问题，学生不再仅仅是快速“判断”和“记起来”，而是去理解去思考，学生能正确回答这两类问题的占比为41.3%。同时学生对于开放性问题的呼应率和正确率变高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。</w:t>
      </w:r>
    </w:p>
    <w:p w14:paraId="0F4E9217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第三轮授课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中，教师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利用学历案与三个助手协同型，将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提问结构分布更加偏重“理解”、“导向”、“开放”和“元认知”，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学生能回答的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元认知性问题和开放性问题合计占3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0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.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7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%，导向性问题占23.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1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%。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第三轮授课中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教师关注学生的思维过程：“你是怎么想到这个方法的？”“你还能用其他方法证明吗？”这种转变与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郭桂华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宋晓平</w:t>
      </w:r>
      <w:r>
        <w:rPr>
          <w:rStyle w:val="15"/>
          <w:rFonts w:hint="eastAsia" w:ascii="楷体" w:hAnsi="楷体" w:eastAsia="楷体" w:cs="楷体"/>
          <w:color w:val="0F1115"/>
          <w:sz w:val="21"/>
          <w:szCs w:val="21"/>
          <w:shd w:val="clear" w:color="auto" w:fill="FFFFFF"/>
        </w:rPr>
        <w:footnoteReference w:id="7"/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研究中专家型教师的特征相符——</w:t>
      </w:r>
      <w:r>
        <w:rPr>
          <w:rFonts w:hint="eastAsia" w:ascii="楷体" w:hAnsi="楷体" w:eastAsia="楷体" w:cs="楷体"/>
          <w:color w:val="0F1115"/>
          <w:sz w:val="21"/>
          <w:szCs w:val="21"/>
          <w:shd w:val="clear" w:color="auto" w:fill="FFFFFF"/>
        </w:rPr>
        <w:t>综合使用各类问题，以元认知性问题促进思维启动，以开放性问题保证思维发散，以导向性问题维持思维目标。</w:t>
      </w:r>
    </w:p>
    <w:p w14:paraId="161AE2BC">
      <w:pPr>
        <w:pStyle w:val="9"/>
        <w:widowControl/>
        <w:shd w:val="clear" w:color="auto" w:fill="FFFFFF"/>
        <w:ind w:firstLine="422" w:firstLineChars="200"/>
        <w:outlineLvl w:val="2"/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</w:pPr>
      <w:r>
        <w:rPr>
          <w:rStyle w:val="12"/>
          <w:rFonts w:hint="eastAsia"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  <w:lang w:eastAsia="zh-CN"/>
        </w:rPr>
        <w:t>（</w:t>
      </w:r>
      <w:r>
        <w:rPr>
          <w:rStyle w:val="12"/>
          <w:rFonts w:hint="eastAsia"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  <w:lang w:val="en-US" w:eastAsia="zh-CN"/>
        </w:rPr>
        <w:t>三</w:t>
      </w:r>
      <w:r>
        <w:rPr>
          <w:rStyle w:val="12"/>
          <w:rFonts w:hint="eastAsia"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  <w:lang w:eastAsia="zh-CN"/>
        </w:rPr>
        <w:t>）</w:t>
      </w:r>
      <w:r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  <w:t xml:space="preserve"> 教学任务认知水平的对比分析</w:t>
      </w:r>
    </w:p>
    <w:p w14:paraId="6AA33E55">
      <w:pPr>
        <w:pStyle w:val="9"/>
        <w:widowControl/>
        <w:shd w:val="clear" w:color="auto" w:fill="FFFFFF"/>
        <w:ind w:firstLine="420" w:firstLineChars="200"/>
        <w:outlineLvl w:val="2"/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</w:pP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借鉴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黄兴丰, 程龙海, 李士</w:t>
      </w:r>
      <w:r>
        <w:rPr>
          <w:rStyle w:val="15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footnoteReference w:id="8"/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的认知要求框架，对三轮授课的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重要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教学任务进行认知水平分析。三轮授课涉及的核心教学任务包括：认识多面体、归纳棱柱特征、证明侧面形状、辨析定义条件、探究截面形状等。</w:t>
      </w:r>
    </w:p>
    <w:p w14:paraId="16871FF5">
      <w:pPr>
        <w:pStyle w:val="9"/>
        <w:widowControl/>
        <w:shd w:val="clear" w:color="auto" w:fill="FFFFFF"/>
        <w:jc w:val="center"/>
        <w:outlineLvl w:val="2"/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</w:pPr>
      <w:r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  <w:t>表</w:t>
      </w:r>
      <w:r>
        <w:rPr>
          <w:rStyle w:val="12"/>
          <w:rFonts w:hint="eastAsia"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  <w:t>6</w:t>
      </w:r>
      <w:r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  <w:t xml:space="preserve"> 三轮授课关键教学任务认知水平对比</w:t>
      </w:r>
    </w:p>
    <w:tbl>
      <w:tblPr>
        <w:tblStyle w:val="10"/>
        <w:tblW w:w="8463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97"/>
        <w:gridCol w:w="1732"/>
        <w:gridCol w:w="2167"/>
        <w:gridCol w:w="1567"/>
      </w:tblGrid>
      <w:tr w14:paraId="249045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2997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7B15C0F">
            <w:pPr>
              <w:pStyle w:val="9"/>
              <w:widowControl/>
              <w:shd w:val="clear" w:color="auto" w:fill="FFFFFF"/>
              <w:snapToGrid w:val="0"/>
              <w:jc w:val="center"/>
              <w:outlineLvl w:val="2"/>
              <w:rPr>
                <w:rStyle w:val="12"/>
                <w:rFonts w:ascii="Times New Roman" w:hAnsi="Times New Roman" w:eastAsia="宋体" w:cs="Times New Roman"/>
                <w:bCs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Cs/>
                <w:color w:val="0F1115"/>
                <w:sz w:val="21"/>
                <w:szCs w:val="21"/>
                <w:shd w:val="clear" w:color="auto" w:fill="FFFFFF"/>
              </w:rPr>
              <w:t>教学任务</w:t>
            </w:r>
          </w:p>
        </w:tc>
        <w:tc>
          <w:tcPr>
            <w:tcW w:w="1732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2494C">
            <w:pPr>
              <w:pStyle w:val="9"/>
              <w:widowControl/>
              <w:shd w:val="clear" w:color="auto" w:fill="FFFFFF"/>
              <w:snapToGrid w:val="0"/>
              <w:jc w:val="center"/>
              <w:outlineLvl w:val="2"/>
              <w:rPr>
                <w:rStyle w:val="12"/>
                <w:rFonts w:ascii="Times New Roman" w:hAnsi="Times New Roman" w:eastAsia="宋体" w:cs="Times New Roman"/>
                <w:bCs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Cs/>
                <w:color w:val="0F1115"/>
                <w:sz w:val="21"/>
                <w:szCs w:val="21"/>
                <w:shd w:val="clear" w:color="auto" w:fill="FFFFFF"/>
              </w:rPr>
              <w:t>第一轮</w:t>
            </w:r>
          </w:p>
        </w:tc>
        <w:tc>
          <w:tcPr>
            <w:tcW w:w="2167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AFFCFE7">
            <w:pPr>
              <w:pStyle w:val="9"/>
              <w:widowControl/>
              <w:shd w:val="clear" w:color="auto" w:fill="FFFFFF"/>
              <w:snapToGrid w:val="0"/>
              <w:jc w:val="center"/>
              <w:outlineLvl w:val="2"/>
              <w:rPr>
                <w:rStyle w:val="12"/>
                <w:rFonts w:ascii="Times New Roman" w:hAnsi="Times New Roman" w:eastAsia="宋体" w:cs="Times New Roman"/>
                <w:bCs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Cs/>
                <w:color w:val="0F1115"/>
                <w:sz w:val="21"/>
                <w:szCs w:val="21"/>
                <w:shd w:val="clear" w:color="auto" w:fill="FFFFFF"/>
              </w:rPr>
              <w:t>第二轮</w:t>
            </w:r>
          </w:p>
        </w:tc>
        <w:tc>
          <w:tcPr>
            <w:tcW w:w="1567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AB263CE">
            <w:pPr>
              <w:pStyle w:val="9"/>
              <w:widowControl/>
              <w:shd w:val="clear" w:color="auto" w:fill="FFFFFF"/>
              <w:snapToGrid w:val="0"/>
              <w:jc w:val="center"/>
              <w:outlineLvl w:val="2"/>
              <w:rPr>
                <w:rStyle w:val="12"/>
                <w:rFonts w:ascii="Times New Roman" w:hAnsi="Times New Roman" w:eastAsia="宋体" w:cs="Times New Roman"/>
                <w:bCs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Cs/>
                <w:color w:val="0F1115"/>
                <w:sz w:val="21"/>
                <w:szCs w:val="21"/>
                <w:shd w:val="clear" w:color="auto" w:fill="FFFFFF"/>
              </w:rPr>
              <w:t>第三轮</w:t>
            </w:r>
          </w:p>
        </w:tc>
      </w:tr>
      <w:tr w14:paraId="774276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997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498ECAA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认识多面体（从实物到抽象）</w:t>
            </w:r>
          </w:p>
        </w:tc>
        <w:tc>
          <w:tcPr>
            <w:tcW w:w="1732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262BD86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B→B</w:t>
            </w:r>
          </w:p>
        </w:tc>
        <w:tc>
          <w:tcPr>
            <w:tcW w:w="2167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F465228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B→B</w:t>
            </w:r>
          </w:p>
        </w:tc>
        <w:tc>
          <w:tcPr>
            <w:tcW w:w="1567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64BAAF8">
            <w:pPr>
              <w:pStyle w:val="9"/>
              <w:widowControl/>
              <w:shd w:val="clear" w:color="auto" w:fill="FFFFFF"/>
              <w:snapToGrid w:val="0"/>
              <w:jc w:val="center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B→B</w:t>
            </w:r>
          </w:p>
        </w:tc>
      </w:tr>
      <w:tr w14:paraId="4777FD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997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2CF46A8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归纳棱柱的共同特征</w:t>
            </w:r>
          </w:p>
        </w:tc>
        <w:tc>
          <w:tcPr>
            <w:tcW w:w="1732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9F1A714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C→</w:t>
            </w:r>
            <w:r>
              <w:rPr>
                <w:rStyle w:val="12"/>
                <w:rFonts w:hint="eastAsia"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A</w:t>
            </w: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（下降）</w:t>
            </w:r>
          </w:p>
        </w:tc>
        <w:tc>
          <w:tcPr>
            <w:tcW w:w="216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139929D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C→C（保持）</w:t>
            </w:r>
          </w:p>
        </w:tc>
        <w:tc>
          <w:tcPr>
            <w:tcW w:w="1567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A03F7F8">
            <w:pPr>
              <w:pStyle w:val="9"/>
              <w:widowControl/>
              <w:shd w:val="clear" w:color="auto" w:fill="FFFFFF"/>
              <w:snapToGrid w:val="0"/>
              <w:jc w:val="center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C→C（保持）</w:t>
            </w:r>
          </w:p>
        </w:tc>
      </w:tr>
      <w:tr w14:paraId="0CF775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997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0E91468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证明侧面是平行四边形</w:t>
            </w:r>
          </w:p>
        </w:tc>
        <w:tc>
          <w:tcPr>
            <w:tcW w:w="1732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92D7EBC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D→B（下降）</w:t>
            </w:r>
          </w:p>
        </w:tc>
        <w:tc>
          <w:tcPr>
            <w:tcW w:w="216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F0E97DA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D→</w:t>
            </w:r>
            <w:r>
              <w:rPr>
                <w:rStyle w:val="12"/>
                <w:rFonts w:hint="eastAsia"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D</w:t>
            </w: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（保持）</w:t>
            </w:r>
          </w:p>
        </w:tc>
        <w:tc>
          <w:tcPr>
            <w:tcW w:w="1567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4D8EBED">
            <w:pPr>
              <w:pStyle w:val="9"/>
              <w:widowControl/>
              <w:shd w:val="clear" w:color="auto" w:fill="FFFFFF"/>
              <w:snapToGrid w:val="0"/>
              <w:jc w:val="center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D→D（保持）</w:t>
            </w:r>
          </w:p>
        </w:tc>
      </w:tr>
      <w:tr w14:paraId="77559E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997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486E714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辨析“全等”条件能否省略</w:t>
            </w:r>
          </w:p>
        </w:tc>
        <w:tc>
          <w:tcPr>
            <w:tcW w:w="1732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1A2C45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C→A（下降）</w:t>
            </w:r>
          </w:p>
        </w:tc>
        <w:tc>
          <w:tcPr>
            <w:tcW w:w="216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BE6D2CD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D→B（下降）</w:t>
            </w:r>
          </w:p>
        </w:tc>
        <w:tc>
          <w:tcPr>
            <w:tcW w:w="1567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B62B9E6">
            <w:pPr>
              <w:pStyle w:val="9"/>
              <w:widowControl/>
              <w:shd w:val="clear" w:color="auto" w:fill="FFFFFF"/>
              <w:snapToGrid w:val="0"/>
              <w:jc w:val="center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D→D（保持）</w:t>
            </w:r>
          </w:p>
        </w:tc>
      </w:tr>
      <w:tr w14:paraId="373800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997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F91284A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辨析“侧棱平行”能否省略</w:t>
            </w:r>
          </w:p>
        </w:tc>
        <w:tc>
          <w:tcPr>
            <w:tcW w:w="1732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AD9E071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C→A（下降）</w:t>
            </w:r>
          </w:p>
        </w:tc>
        <w:tc>
          <w:tcPr>
            <w:tcW w:w="216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2191D31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hint="eastAsia"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D</w:t>
            </w: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→B（下降）</w:t>
            </w:r>
          </w:p>
        </w:tc>
        <w:tc>
          <w:tcPr>
            <w:tcW w:w="1567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CE66A6C">
            <w:pPr>
              <w:pStyle w:val="9"/>
              <w:widowControl/>
              <w:shd w:val="clear" w:color="auto" w:fill="FFFFFF"/>
              <w:snapToGrid w:val="0"/>
              <w:jc w:val="center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D→D（保持）</w:t>
            </w:r>
          </w:p>
        </w:tc>
      </w:tr>
      <w:tr w14:paraId="359F60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997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E6419C6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探究平行于底面的截面形状</w:t>
            </w:r>
          </w:p>
        </w:tc>
        <w:tc>
          <w:tcPr>
            <w:tcW w:w="1732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5D063A6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hint="eastAsia"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无此任务</w:t>
            </w:r>
          </w:p>
        </w:tc>
        <w:tc>
          <w:tcPr>
            <w:tcW w:w="2167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B98883B">
            <w:pPr>
              <w:pStyle w:val="9"/>
              <w:widowControl/>
              <w:shd w:val="clear" w:color="auto" w:fill="FFFFFF"/>
              <w:snapToGrid w:val="0"/>
              <w:jc w:val="left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C→</w:t>
            </w:r>
            <w:r>
              <w:rPr>
                <w:rStyle w:val="12"/>
                <w:rFonts w:hint="eastAsia"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C</w:t>
            </w: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（保持）</w:t>
            </w:r>
          </w:p>
        </w:tc>
        <w:tc>
          <w:tcPr>
            <w:tcW w:w="1567" w:type="dxa"/>
            <w:tcBorders>
              <w:bottom w:val="single" w:color="auto" w:sz="12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0D40B07">
            <w:pPr>
              <w:pStyle w:val="9"/>
              <w:widowControl/>
              <w:shd w:val="clear" w:color="auto" w:fill="FFFFFF"/>
              <w:snapToGrid w:val="0"/>
              <w:jc w:val="center"/>
              <w:outlineLvl w:val="2"/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</w:pPr>
            <w:r>
              <w:rPr>
                <w:rStyle w:val="12"/>
                <w:rFonts w:ascii="Times New Roman" w:hAnsi="Times New Roman" w:eastAsia="宋体" w:cs="Times New Roman"/>
                <w:b w:val="0"/>
                <w:color w:val="0F1115"/>
                <w:sz w:val="21"/>
                <w:szCs w:val="21"/>
                <w:shd w:val="clear" w:color="auto" w:fill="FFFFFF"/>
              </w:rPr>
              <w:t>C→C（保持）</w:t>
            </w:r>
          </w:p>
        </w:tc>
      </w:tr>
    </w:tbl>
    <w:p w14:paraId="6EEDC5AA">
      <w:pPr>
        <w:pStyle w:val="9"/>
        <w:widowControl/>
        <w:numPr>
          <w:ilvl w:val="0"/>
          <w:numId w:val="1"/>
        </w:numPr>
        <w:shd w:val="clear" w:color="auto" w:fill="FFFFFF"/>
        <w:ind w:firstLine="422" w:firstLineChars="200"/>
        <w:outlineLvl w:val="2"/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</w:pPr>
      <w:r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  <w:t>第一轮：高认知任务普遍下降</w:t>
      </w:r>
    </w:p>
    <w:p w14:paraId="60C05FB1">
      <w:pPr>
        <w:pStyle w:val="9"/>
        <w:widowControl/>
        <w:shd w:val="clear" w:color="auto" w:fill="FFFFFF"/>
        <w:ind w:firstLine="420" w:firstLineChars="200"/>
        <w:outlineLvl w:val="2"/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</w:pP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在“归纳棱柱的共同特征”环节，教师呈现三棱柱、四棱柱、六棱柱的图片，要求学生观察并归纳共同特征。这原本属于C水平（有联系的程序）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问题，这个问题的设置目的是希望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学生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能够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在观察中建立联系，抽象出本质属性。但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实际课堂中，学生反应缓慢，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教师为了“节省时间”，直接给出了答案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。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学生的归纳过程被教师的直接告知所替代，C水平的任务下降为A水平（记忆）。</w:t>
      </w:r>
    </w:p>
    <w:p w14:paraId="3C5FB45D">
      <w:pPr>
        <w:pStyle w:val="9"/>
        <w:widowControl/>
        <w:shd w:val="clear" w:color="auto" w:fill="FFFFFF"/>
        <w:ind w:firstLine="420" w:firstLineChars="200"/>
        <w:outlineLvl w:val="2"/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</w:pP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在“证明侧面是平行四边形”环节，教师设置了开放性问题：“棱柱的侧面是什么图形？你能证明吗？”这属于D水平（做数学）——学生需要自主探究证明路径，无预设解法。但课堂实录显示，教师提出问题后，学生沉默，教师随即自问自答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eastAsia="zh-CN"/>
        </w:rPr>
        <w:t>，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教师将原本需要学生自主建构的证明任务，降为“对/错”的判断性问题。学生只需被动应答，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课堂中教学任务的实践降为B水平。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这与黄兴丰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vertAlign w:val="superscript"/>
        </w:rPr>
        <w:fldChar w:fldCharType="begin"/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vertAlign w:val="superscript"/>
        </w:rPr>
        <w:instrText xml:space="preserve"> REF _Ref5452 \r \h </w:instrTex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vertAlign w:val="superscript"/>
        </w:rPr>
        <w:fldChar w:fldCharType="separate"/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vertAlign w:val="superscript"/>
        </w:rPr>
        <w:t>[9]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vertAlign w:val="superscript"/>
        </w:rPr>
        <w:fldChar w:fldCharType="end"/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的研究发现一致：教师为了追求教学进度，往往“包办代替了学生的探究思维”。</w:t>
      </w:r>
    </w:p>
    <w:p w14:paraId="139757FB">
      <w:pPr>
        <w:pStyle w:val="9"/>
        <w:widowControl/>
        <w:shd w:val="clear" w:color="auto" w:fill="FFFFFF"/>
        <w:ind w:firstLine="420" w:firstLineChars="200"/>
        <w:outlineLvl w:val="2"/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</w:pP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第一轮授课中教学任务设置了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高水平任务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，但在课堂实践中，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学生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eastAsia="zh-CN"/>
        </w:rPr>
        <w:t>的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反应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eastAsia="zh-CN"/>
        </w:rPr>
        <w:t>是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纸上记忆或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机械地跟随教师的步骤，并未理解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概念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。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整节课中教学任务整体呈现出高认知任务实践结果普遍下降趋势。</w:t>
      </w:r>
    </w:p>
    <w:p w14:paraId="5A9A52C7">
      <w:pPr>
        <w:pStyle w:val="9"/>
        <w:widowControl/>
        <w:shd w:val="clear" w:color="auto" w:fill="FFFFFF"/>
        <w:ind w:firstLine="422" w:firstLineChars="200"/>
        <w:outlineLvl w:val="2"/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</w:pPr>
      <w:r>
        <w:rPr>
          <w:rStyle w:val="12"/>
          <w:rFonts w:hint="eastAsia"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  <w:lang w:val="en-US" w:eastAsia="zh-CN"/>
        </w:rPr>
        <w:t>2.</w:t>
      </w:r>
      <w:r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  <w:t xml:space="preserve"> 第二轮：部分任务保持，部分下降</w:t>
      </w:r>
    </w:p>
    <w:p w14:paraId="7F6D7601">
      <w:pPr>
        <w:pStyle w:val="9"/>
        <w:widowControl/>
        <w:shd w:val="clear" w:color="auto" w:fill="FFFFFF"/>
        <w:ind w:firstLine="420" w:firstLineChars="200"/>
        <w:outlineLvl w:val="2"/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</w:pP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在第二轮授课中，学历案引入了填空式脚手架，帮助学生梳理证明思路：</w:t>
      </w:r>
    </w:p>
    <w:p w14:paraId="0190B1DC">
      <w:pPr>
        <w:pStyle w:val="9"/>
        <w:widowControl/>
        <w:shd w:val="clear" w:color="auto" w:fill="FFFFFF"/>
        <w:ind w:firstLine="420" w:firstLineChars="200"/>
        <w:outlineLvl w:val="2"/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</w:pP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证明思路：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br w:type="textWrapping"/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（1）由棱柱上下底面平行，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同时被第三个面相交，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面面平行的性质定理得 ______ // ______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br w:type="textWrapping"/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（2）由棱柱的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性质可知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侧棱 ______ // ______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br w:type="textWrapping"/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（3）所以四边形ABED为 ______</w:t>
      </w:r>
    </w:p>
    <w:p w14:paraId="478249D1">
      <w:pPr>
        <w:pStyle w:val="9"/>
        <w:widowControl/>
        <w:shd w:val="clear" w:color="auto" w:fill="FFFFFF"/>
        <w:ind w:firstLine="420" w:firstLineChars="200"/>
        <w:outlineLvl w:val="2"/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</w:pP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这一设计有效降低了认知负荷，学生能够顺利完成证明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，理解证明依据和逻辑，体现出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C水平（有联系的程序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）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。课堂观察显示，学生在“你还有其他方法吗？”的开放题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D水平任务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中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可以类比证明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，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如有学生提出证明侧面是平行四边形，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除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了两组对边平行还可以利用一组对边平行且相等来证明。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这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表明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学历案的脚手架有效地提高了学生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eastAsia="zh-CN"/>
        </w:rPr>
        <w:t>的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理解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，激发了他们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发散性学习能力和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解决问题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eastAsia="zh-CN"/>
        </w:rPr>
        <w:t>的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能力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。因此在第二轮授课中，这个D水平的教学任务实践仍保持D水平。</w:t>
      </w:r>
    </w:p>
    <w:p w14:paraId="7906178E">
      <w:pPr>
        <w:pStyle w:val="9"/>
        <w:widowControl/>
        <w:shd w:val="clear" w:color="auto" w:fill="FFFFFF"/>
        <w:ind w:firstLine="420" w:firstLineChars="200"/>
        <w:outlineLvl w:val="2"/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</w:pP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在“辨析定义条件”环节，教师提出问题：“判定多面体为棱柱时，‘底面上多边形全等’的表述能否省略？为什么？”这属于D水平（做数学）——学生需要批判性思考，甚至尝试举反例。然而，由于前序环节耗时过长，教师在此环节仓促收尾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。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这一现象印证了Stein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  <w:vertAlign w:val="superscript"/>
        </w:rPr>
        <w:fldChar w:fldCharType="begin"/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  <w:vertAlign w:val="superscript"/>
        </w:rPr>
        <w:instrText xml:space="preserve"> REF _Ref23684 \r \h </w:instrTex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  <w:vertAlign w:val="superscript"/>
        </w:rPr>
        <w:fldChar w:fldCharType="separate"/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  <w:vertAlign w:val="superscript"/>
        </w:rPr>
        <w:t>[8]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  <w:vertAlign w:val="superscript"/>
        </w:rPr>
        <w:fldChar w:fldCharType="end"/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的观点：保持高认知水平的教学是困难的，需要足够的时间让学生思考、讨论、实践。</w:t>
      </w:r>
    </w:p>
    <w:p w14:paraId="17C323BA">
      <w:pPr>
        <w:pStyle w:val="9"/>
        <w:widowControl/>
        <w:shd w:val="clear" w:color="auto" w:fill="FFFFFF"/>
        <w:ind w:firstLine="420" w:firstLineChars="200"/>
        <w:outlineLvl w:val="2"/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</w:pP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第二轮授课较第一次轮授课，将普通教案改为学历案，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对于高认知的C、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D水平任务，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学生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能够利用脚手架式的填空题去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理解证明的内在逻辑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，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一些高认知水平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任务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能保持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，但由于时间关系，其他一些不能保持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。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整节课中教学任务中的高认知任务实践结果为部分能保持，部分呈下降情况。</w:t>
      </w:r>
    </w:p>
    <w:p w14:paraId="6EE8BAD8">
      <w:pPr>
        <w:pStyle w:val="9"/>
        <w:widowControl/>
        <w:shd w:val="clear" w:color="auto" w:fill="FFFFFF"/>
        <w:ind w:firstLine="422" w:firstLineChars="200"/>
        <w:outlineLvl w:val="2"/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</w:pPr>
      <w:r>
        <w:rPr>
          <w:rStyle w:val="12"/>
          <w:rFonts w:hint="eastAsia"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  <w:lang w:val="en-US" w:eastAsia="zh-CN"/>
        </w:rPr>
        <w:t>3.</w:t>
      </w:r>
      <w:r>
        <w:rPr>
          <w:rStyle w:val="12"/>
          <w:rFonts w:ascii="Times New Roman" w:hAnsi="Times New Roman" w:eastAsia="宋体" w:cs="Times New Roman"/>
          <w:bCs/>
          <w:color w:val="0F1115"/>
          <w:sz w:val="21"/>
          <w:szCs w:val="21"/>
          <w:shd w:val="clear" w:color="auto" w:fill="FFFFFF"/>
        </w:rPr>
        <w:t xml:space="preserve"> 第三轮：高认知任务有效保持</w:t>
      </w:r>
    </w:p>
    <w:p w14:paraId="12DA6FBC">
      <w:pPr>
        <w:pStyle w:val="9"/>
        <w:widowControl/>
        <w:shd w:val="clear" w:color="auto" w:fill="FFFFFF"/>
        <w:ind w:firstLine="420" w:firstLineChars="200"/>
        <w:outlineLvl w:val="2"/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</w:pP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第三轮授课中，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教师不仅在课堂上使用学历案，并借助“三个助手”平台，学生课堂利用平板上课，以学历案+数字技术协同教学，学生在“关键教学任务”中表现优异。</w:t>
      </w:r>
    </w:p>
    <w:p w14:paraId="4016F73C">
      <w:pPr>
        <w:pStyle w:val="9"/>
        <w:widowControl/>
        <w:shd w:val="clear" w:color="auto" w:fill="FFFFFF"/>
        <w:ind w:firstLine="420" w:firstLineChars="200"/>
        <w:outlineLvl w:val="2"/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</w:pP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在“辨析定义条件”环节，教师设计了两个层层递进的问题：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（1）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判定多面体为棱柱时，“底面上多边形全等”的表述能否省略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？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为什么？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（2）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特征中，“侧棱平行”的表述能否省略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？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为什么？</w:t>
      </w:r>
    </w:p>
    <w:p w14:paraId="244EA114">
      <w:pPr>
        <w:pStyle w:val="9"/>
        <w:widowControl/>
        <w:shd w:val="clear" w:color="auto" w:fill="FFFFFF"/>
        <w:ind w:firstLine="420" w:firstLineChars="200"/>
        <w:outlineLvl w:val="2"/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</w:pP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教师在平台发起投票，学生选择“能/不能”。平台即时生成投票结果，直观呈现学生的认知差异。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不同观点的学生分别阐述理由，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有学生尝试举反例说明，课堂讨论深入。D水平的任务不仅保持，而且通过技术手段引发了认知冲突和深度思考。</w:t>
      </w:r>
    </w:p>
    <w:p w14:paraId="340511A0">
      <w:pPr>
        <w:pStyle w:val="9"/>
        <w:widowControl/>
        <w:shd w:val="clear" w:color="auto" w:fill="FFFFFF"/>
        <w:ind w:firstLine="420" w:firstLineChars="200"/>
        <w:outlineLvl w:val="2"/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eastAsia="zh-CN"/>
        </w:rPr>
      </w:pP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在“探究截面形状”环节，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教师引导学生利用本节课开始学习的棱柱的结构性质去判断，从棱柱中归纳总结了其结构性质，再利用图形的结构性质去猜想几何体性质并证明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eastAsia="zh-CN"/>
        </w:rPr>
        <w:t>。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学生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在平台上绘制并上传截面图形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，小组代表口述证明过程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eastAsia="zh-CN"/>
        </w:rPr>
        <w:t>，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C水平的任务得以保持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eastAsia="zh-CN"/>
        </w:rPr>
        <w:t>。</w:t>
      </w:r>
    </w:p>
    <w:p w14:paraId="3AF41D52">
      <w:pPr>
        <w:pStyle w:val="9"/>
        <w:widowControl/>
        <w:shd w:val="clear" w:color="auto" w:fill="FFFFFF"/>
        <w:ind w:firstLine="420" w:firstLineChars="200"/>
        <w:outlineLvl w:val="2"/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</w:pP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对比第二轮中这个教学任务实践结果也是保持C水平，但第二轮中学生是将图片旋转，利用棱柱的定义与性质去证明，体现了学生有联系的程序水平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C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。在第三轮授课中同学们在平台上传的答案有多种证明方式，已超出水平C。第三轮授课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中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，仍是沿用学历案，但将普通的课堂ppt教学变成“三个助手”智能教学，整节课中学历案提供思维脚手架，在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教学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助手中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发布任务，平板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收到任务，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并上次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小组研讨的答案，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学生可在即时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数据分析中了解其他同学的思维，促进自己的思维，提高了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val="en-US" w:eastAsia="zh-CN"/>
        </w:rPr>
        <w:t>效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率，增加了思考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eastAsia="zh-CN"/>
        </w:rPr>
        <w:t>的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深度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  <w:lang w:eastAsia="zh-CN"/>
        </w:rPr>
        <w:t>。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第三轮的学历案与数字教学协同的情况下，授课中的高认知教学任务中的实践结果都是能保持同等水平。</w:t>
      </w:r>
    </w:p>
    <w:p w14:paraId="1C1CD75C">
      <w:pPr>
        <w:pStyle w:val="3"/>
        <w:widowControl/>
        <w:shd w:val="clear" w:color="auto" w:fill="FFFFFF"/>
        <w:spacing w:beforeAutospacing="0" w:afterAutospacing="0"/>
        <w:ind w:firstLine="422" w:firstLineChars="200"/>
        <w:jc w:val="both"/>
        <w:outlineLvl w:val="1"/>
        <w:rPr>
          <w:rFonts w:hint="default" w:ascii="Times New Roman" w:hAnsi="Times New Roman"/>
          <w:color w:val="0F1115"/>
          <w:sz w:val="21"/>
          <w:szCs w:val="21"/>
        </w:rPr>
      </w:pP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（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val="en-US" w:eastAsia="zh-CN"/>
        </w:rPr>
        <w:t>四</w:t>
      </w:r>
      <w:r>
        <w:rPr>
          <w:rFonts w:hint="eastAsia" w:ascii="Times New Roman" w:hAnsi="Times New Roman"/>
          <w:color w:val="0F1115"/>
          <w:sz w:val="21"/>
          <w:szCs w:val="21"/>
          <w:shd w:val="clear" w:color="auto" w:fill="FFFFFF"/>
          <w:lang w:eastAsia="zh-CN"/>
        </w:rPr>
        <w:t>）</w:t>
      </w:r>
      <w:r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  <w:t>学生学历案填写情况分析</w:t>
      </w:r>
    </w:p>
    <w:p w14:paraId="5E2B2F1F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对第三轮授课学生学历案进行文本分析，结果显示：在证明环节，全班4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5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人全部完成填空，其中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40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人（88.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8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%）答案正确；在“其他方法”开放题中，共收到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4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种不同思路，包括平行公理法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和向量平移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；在学后反思中，32人（7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1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.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1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%）提出了有深度的问题或反思，如“我一开始只想到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证明两组对边平行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，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后来发现可以一组平行且相等，而且可以有两个，这一下子就搞懂三种方法了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”。</w:t>
      </w:r>
    </w:p>
    <w:p w14:paraId="7443FAAD">
      <w:pPr>
        <w:pStyle w:val="3"/>
        <w:widowControl/>
        <w:shd w:val="clear" w:color="auto" w:fill="FFFFFF"/>
        <w:spacing w:beforeAutospacing="0" w:afterAutospacing="0"/>
        <w:jc w:val="both"/>
        <w:outlineLvl w:val="1"/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</w:pPr>
      <w:r>
        <w:rPr>
          <w:rFonts w:ascii="Times New Roman" w:hAnsi="Times New Roman"/>
          <w:color w:val="0F1115"/>
          <w:sz w:val="21"/>
          <w:szCs w:val="21"/>
          <w:shd w:val="clear" w:color="auto" w:fill="FFFFFF"/>
        </w:rPr>
        <w:t>四、研究结论</w:t>
      </w:r>
    </w:p>
    <w:p w14:paraId="4AE7B172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郭桂华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  <w:vertAlign w:val="superscript"/>
        </w:rPr>
        <w:fldChar w:fldCharType="begin"/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  <w:vertAlign w:val="superscript"/>
        </w:rPr>
        <w:instrText xml:space="preserve"> REF _Ref5097 \r \h </w:instrTex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  <w:vertAlign w:val="superscript"/>
        </w:rPr>
        <w:fldChar w:fldCharType="separate"/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  <w:vertAlign w:val="superscript"/>
        </w:rPr>
        <w:t>[7]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  <w:vertAlign w:val="superscript"/>
        </w:rPr>
        <w:fldChar w:fldCharType="end"/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研究发现，专家型教师综合使用各类问题，以元认知性问题促进思维启动，以开放性问题保证思维发散。</w:t>
      </w:r>
      <w:r>
        <w:rPr>
          <w:rFonts w:hint="eastAsia" w:ascii="Times New Roman" w:hAnsi="Times New Roman" w:cs="Times New Roman"/>
          <w:color w:val="0F1115"/>
          <w:sz w:val="21"/>
          <w:szCs w:val="21"/>
          <w:shd w:val="clear" w:color="auto" w:fill="FFFFFF"/>
        </w:rPr>
        <w:t>学历案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改变</w:t>
      </w:r>
      <w:r>
        <w:rPr>
          <w:rFonts w:hint="eastAsia" w:ascii="Times New Roman" w:hAnsi="Times New Roman" w:cs="Times New Roman"/>
          <w:color w:val="0F1115"/>
          <w:sz w:val="21"/>
          <w:szCs w:val="21"/>
          <w:shd w:val="clear" w:color="auto" w:fill="FFFFFF"/>
        </w:rPr>
        <w:t>了课堂教学任务的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提问结构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，它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不仅是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学生学习的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“认知脚手架”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，更是专家型教师在课堂的体现。学生能够顺着“架子”攀登元认知性问题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。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 xml:space="preserve"> </w:t>
      </w:r>
    </w:p>
    <w:p w14:paraId="30B306B9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但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学历案在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脚手架的设计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中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需要在“开放性”与“结构性”之间寻找平衡，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在“时间上”与“思维上”找平衡，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“三个助手”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数字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平台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的加入为这一难题提供了有效的帮助。数字化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平台让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课堂上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全员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学生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参与成为可能，让思维过程可视化，让学生互评成为常态。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两者的协同为课堂中教学任务认知水平的保持提供了重要保障，教学任务认知水平的平稳落地保障了课堂效率，因此学历案与数字技术的协同有效促进了课堂教学，为广大一线教师在实践教学中提供了重要的参考依据。</w:t>
      </w:r>
    </w:p>
    <w:p w14:paraId="5FFEA720">
      <w:pPr>
        <w:pStyle w:val="9"/>
        <w:widowControl/>
        <w:shd w:val="clear" w:color="auto" w:fill="FFFFFF"/>
        <w:ind w:firstLine="420" w:firstLineChars="200"/>
        <w:rPr>
          <w:rFonts w:ascii="Times New Roman" w:hAnsi="Times New Roman" w:eastAsia="宋体" w:cs="Times New Roman"/>
          <w:color w:val="0F1115"/>
          <w:sz w:val="21"/>
          <w:szCs w:val="21"/>
        </w:rPr>
      </w:pP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学历案与数字技术的协同，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能够有效帮助学生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深度学习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，</w:t>
      </w:r>
      <w:r>
        <w:rPr>
          <w:rStyle w:val="12"/>
          <w:rFonts w:hint="eastAsia"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主要体现在以下三个方面：（1）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思维可视化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。学历案上的填空和开放题，通过平台实时呈现，使学生的思维过程从“内隐”变为“外显”，为教师诊断和同伴互评提供基础。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（2）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即时反馈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。平台的投票、互评功能，使评价从“课后”走向“课中”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，有利于过程性评价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，从“教师主导”走向“生生互动”。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（3）</w:t>
      </w:r>
      <w:r>
        <w:rPr>
          <w:rStyle w:val="12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认知冲突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。在辨析环节，平台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的实时数据分析反馈能够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直观呈现认知差异，驱动</w:t>
      </w:r>
      <w:r>
        <w:rPr>
          <w:rFonts w:hint="eastAsia"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学生</w:t>
      </w:r>
      <w:r>
        <w:rPr>
          <w:rFonts w:ascii="Times New Roman" w:hAnsi="Times New Roman" w:eastAsia="宋体" w:cs="Times New Roman"/>
          <w:color w:val="0F1115"/>
          <w:sz w:val="21"/>
          <w:szCs w:val="21"/>
          <w:shd w:val="clear" w:color="auto" w:fill="FFFFFF"/>
        </w:rPr>
        <w:t>深度思考。</w:t>
      </w:r>
    </w:p>
    <w:p w14:paraId="73DEEBF9">
      <w:pPr>
        <w:pStyle w:val="3"/>
        <w:widowControl/>
        <w:shd w:val="clear" w:color="auto" w:fill="FFFFFF"/>
        <w:spacing w:beforeAutospacing="0" w:afterAutospacing="0"/>
        <w:jc w:val="both"/>
        <w:rPr>
          <w:rFonts w:hint="default" w:ascii="Times New Roman" w:hAnsi="Times New Roman"/>
          <w:color w:val="0F1115"/>
          <w:sz w:val="21"/>
          <w:szCs w:val="21"/>
        </w:rPr>
      </w:pPr>
      <w:r>
        <w:rPr>
          <w:rFonts w:hint="default" w:ascii="Times New Roman" w:hAnsi="Times New Roman"/>
          <w:color w:val="0F1115"/>
          <w:sz w:val="21"/>
          <w:szCs w:val="21"/>
          <w:shd w:val="clear" w:color="auto" w:fill="FFFFFF"/>
        </w:rPr>
        <w:t>参考文献</w:t>
      </w:r>
    </w:p>
    <w:p w14:paraId="788B59FB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楷体" w:hAnsi="楷体" w:eastAsia="楷体" w:cs="楷体"/>
          <w:color w:val="auto"/>
          <w:sz w:val="18"/>
          <w:szCs w:val="18"/>
        </w:rPr>
      </w:pPr>
      <w:bookmarkStart w:id="0" w:name="_Ref30948"/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史宁中,王尚志,胡凤娟.《普通高中数学课程标准日常修订版（2017年版2025年修订）》解读[M].高等教育出版社,2025,(12):46</w:t>
      </w:r>
      <w:bookmarkEnd w:id="0"/>
      <w:bookmarkStart w:id="1" w:name="_Ref1756"/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-46</w:t>
      </w:r>
    </w:p>
    <w:p w14:paraId="30E6B919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楷体" w:hAnsi="楷体" w:eastAsia="楷体" w:cs="楷体"/>
          <w:color w:val="auto"/>
          <w:sz w:val="18"/>
          <w:szCs w:val="18"/>
        </w:rPr>
      </w:pPr>
      <w:r>
        <w:rPr>
          <w:rFonts w:hint="eastAsia" w:ascii="楷体" w:hAnsi="楷体" w:eastAsia="楷体" w:cs="楷体"/>
          <w:color w:val="auto"/>
          <w:sz w:val="18"/>
          <w:szCs w:val="18"/>
          <w:shd w:val="clear" w:color="auto" w:fill="FFFFFF"/>
        </w:rPr>
        <w:t>张皇津.初中数学课堂学历案教学实践[J].亚太教育,2025,(15):115-118.</w:t>
      </w:r>
    </w:p>
    <w:bookmarkEnd w:id="1"/>
    <w:p w14:paraId="79B035B5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楷体" w:hAnsi="楷体" w:eastAsia="楷体" w:cs="楷体"/>
          <w:color w:val="0F1115"/>
          <w:sz w:val="18"/>
          <w:szCs w:val="18"/>
        </w:rPr>
      </w:pPr>
      <w:bookmarkStart w:id="2" w:name="_Ref1975"/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卢明,崔允漷.教案的革命：基于课程标准的学历案[M].上海:华东师范大学出版社,20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23,(12):4-4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.</w:t>
      </w:r>
      <w:bookmarkEnd w:id="2"/>
    </w:p>
    <w:p w14:paraId="5AA0ACF8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</w:pPr>
      <w:bookmarkStart w:id="3" w:name="_Ref2229"/>
      <w:bookmarkStart w:id="4" w:name="_Ref2089"/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左亭亭.智慧环境下小学数学课堂师生互动行为对比研究[D].哈尔滨师范大学,2023.</w:t>
      </w:r>
      <w:bookmarkEnd w:id="3"/>
      <w:bookmarkStart w:id="5" w:name="_Ref5097"/>
    </w:p>
    <w:p w14:paraId="5C9DA6C6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</w:pP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郭桂华,宋晓平.基于“教学用问题”的“新手—熟手—专家”型数学教师课堂教学的对比研究[J].数学教育学报,2008,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17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(02):51-54.</w:t>
      </w:r>
      <w:bookmarkEnd w:id="5"/>
      <w:bookmarkStart w:id="6" w:name="_Ref5452"/>
    </w:p>
    <w:p w14:paraId="09887D51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</w:pP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黄兴丰,程龙海,李士锜.从认知要求角度分析数学教学任务——对两节课堂实录的对比研究[J].上海教育科研,2005,(05):86-88.</w:t>
      </w:r>
      <w:bookmarkEnd w:id="4"/>
      <w:bookmarkEnd w:id="6"/>
    </w:p>
    <w:p w14:paraId="787B5E71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</w:pP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杨向东,豆雨松.两位不同专长的数学教师课堂提问结构的对比研究[J].上海教育科研,2013,(03):37-39.</w:t>
      </w:r>
    </w:p>
    <w:sectPr>
      <w:footnotePr>
        <w:numFmt w:val="decimalEnclosedCircleChinese"/>
        <w:numRestart w:val="eachPage"/>
      </w:footnote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8">
    <w:p>
      <w:r>
        <w:separator/>
      </w:r>
    </w:p>
  </w:footnote>
  <w:footnote w:type="continuationSeparator" w:id="19">
    <w:p>
      <w:r>
        <w:continuationSeparator/>
      </w:r>
    </w:p>
  </w:footnote>
  <w:footnote w:id="0">
    <w:p w14:paraId="075ED046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="楷体" w:hAnsi="楷体" w:eastAsia="楷体" w:cs="楷体"/>
          <w:sz w:val="18"/>
          <w:szCs w:val="18"/>
        </w:rPr>
      </w:pPr>
      <w:r>
        <w:rPr>
          <w:rStyle w:val="15"/>
          <w:rFonts w:hint="eastAsia" w:ascii="楷体" w:hAnsi="楷体" w:eastAsia="楷体" w:cs="楷体"/>
          <w:sz w:val="18"/>
          <w:szCs w:val="18"/>
        </w:rPr>
        <w:footnoteRef/>
      </w:r>
      <w:r>
        <w:rPr>
          <w:rFonts w:hint="eastAsia" w:ascii="楷体" w:hAnsi="楷体" w:eastAsia="楷体" w:cs="楷体"/>
          <w:sz w:val="18"/>
          <w:szCs w:val="18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史宁中,王尚志,胡凤娟.《普通高中数学课程标准日常修订版（2017年版2025年修订）》解读[M].高等教育出版社,2025,(12):46-46</w:t>
      </w:r>
    </w:p>
  </w:footnote>
  <w:footnote w:id="1">
    <w:p w14:paraId="2EACBC1A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楷体" w:hAnsi="楷体" w:eastAsia="楷体" w:cs="楷体"/>
          <w:sz w:val="18"/>
          <w:szCs w:val="18"/>
        </w:rPr>
      </w:pPr>
      <w:r>
        <w:rPr>
          <w:rStyle w:val="15"/>
          <w:rFonts w:hint="eastAsia" w:ascii="楷体" w:hAnsi="楷体" w:eastAsia="楷体" w:cs="楷体"/>
          <w:sz w:val="18"/>
          <w:szCs w:val="18"/>
        </w:rPr>
        <w:footnoteRef/>
      </w:r>
      <w:r>
        <w:rPr>
          <w:rFonts w:hint="eastAsia" w:ascii="楷体" w:hAnsi="楷体" w:eastAsia="楷体" w:cs="楷体"/>
          <w:sz w:val="18"/>
          <w:szCs w:val="18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auto"/>
          <w:sz w:val="18"/>
          <w:szCs w:val="18"/>
          <w:shd w:val="clear" w:color="auto" w:fill="FFFFFF"/>
        </w:rPr>
        <w:t>张皇津.初中数学课堂学历案教学实践[J].亚太教育, 2025</w:t>
      </w:r>
      <w:r>
        <w:rPr>
          <w:rFonts w:hint="eastAsia" w:ascii="楷体" w:hAnsi="楷体" w:eastAsia="楷体" w:cs="楷体"/>
          <w:color w:val="auto"/>
          <w:sz w:val="18"/>
          <w:szCs w:val="18"/>
          <w:shd w:val="clear" w:color="auto" w:fill="FFFFFF"/>
          <w:lang w:val="en-US" w:eastAsia="zh-CN"/>
        </w:rPr>
        <w:t>,</w:t>
      </w:r>
      <w:r>
        <w:rPr>
          <w:rFonts w:hint="eastAsia" w:ascii="楷体" w:hAnsi="楷体" w:eastAsia="楷体" w:cs="楷体"/>
          <w:color w:val="auto"/>
          <w:sz w:val="18"/>
          <w:szCs w:val="18"/>
          <w:shd w:val="clear" w:color="auto" w:fill="FFFFFF"/>
        </w:rPr>
        <w:t>(15):115-118.</w:t>
      </w:r>
    </w:p>
  </w:footnote>
  <w:footnote w:id="2">
    <w:p w14:paraId="5C758231">
      <w:pPr>
        <w:pStyle w:val="9"/>
        <w:widowControl/>
        <w:numPr>
          <w:ilvl w:val="0"/>
          <w:numId w:val="0"/>
        </w:numPr>
        <w:shd w:val="clear" w:color="auto" w:fill="FFFFFF"/>
        <w:ind w:leftChars="0"/>
        <w:rPr>
          <w:rFonts w:hint="eastAsia" w:ascii="楷体" w:hAnsi="楷体" w:eastAsia="楷体" w:cs="楷体"/>
          <w:sz w:val="18"/>
          <w:szCs w:val="18"/>
        </w:rPr>
      </w:pPr>
      <w:r>
        <w:rPr>
          <w:rStyle w:val="15"/>
          <w:rFonts w:hint="eastAsia" w:ascii="楷体" w:hAnsi="楷体" w:eastAsia="楷体" w:cs="楷体"/>
          <w:sz w:val="18"/>
          <w:szCs w:val="18"/>
        </w:rPr>
        <w:footnoteRef/>
      </w:r>
      <w:r>
        <w:rPr>
          <w:rFonts w:hint="eastAsia" w:ascii="楷体" w:hAnsi="楷体" w:eastAsia="楷体" w:cs="楷体"/>
          <w:sz w:val="18"/>
          <w:szCs w:val="18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卢明,崔允漷.教案的革命：基于课程标准的学历案[M].上海:华东师范大学出版社,20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23,(12):4-4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.</w:t>
      </w:r>
    </w:p>
  </w:footnote>
  <w:footnote w:id="3">
    <w:p w14:paraId="03E73DA8">
      <w:pPr>
        <w:pStyle w:val="7"/>
        <w:snapToGrid w:val="0"/>
        <w:rPr>
          <w:rFonts w:hint="eastAsia" w:ascii="楷体" w:hAnsi="楷体" w:eastAsia="楷体" w:cs="楷体"/>
          <w:sz w:val="18"/>
          <w:szCs w:val="18"/>
        </w:rPr>
      </w:pPr>
      <w:r>
        <w:rPr>
          <w:rStyle w:val="15"/>
          <w:rFonts w:hint="eastAsia" w:ascii="楷体" w:hAnsi="楷体" w:eastAsia="楷体" w:cs="楷体"/>
          <w:sz w:val="18"/>
          <w:szCs w:val="18"/>
        </w:rPr>
        <w:footnoteRef/>
      </w:r>
      <w:r>
        <w:rPr>
          <w:rFonts w:hint="eastAsia" w:ascii="楷体" w:hAnsi="楷体" w:eastAsia="楷体" w:cs="楷体"/>
          <w:sz w:val="18"/>
          <w:szCs w:val="18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左亭亭.智慧环境下小学数学课堂师生互动行为对比研究[D].哈尔滨师范大学,2023.</w:t>
      </w:r>
    </w:p>
  </w:footnote>
  <w:footnote w:id="4">
    <w:p w14:paraId="5B59FCB4">
      <w:pPr>
        <w:pStyle w:val="9"/>
        <w:widowControl/>
        <w:numPr>
          <w:ilvl w:val="0"/>
          <w:numId w:val="0"/>
        </w:numPr>
        <w:shd w:val="clear" w:color="auto" w:fill="FFFFFF"/>
        <w:ind w:leftChars="0"/>
        <w:rPr>
          <w:rFonts w:hint="eastAsia" w:ascii="楷体" w:hAnsi="楷体" w:eastAsia="楷体" w:cs="楷体"/>
          <w:sz w:val="18"/>
          <w:szCs w:val="18"/>
        </w:rPr>
      </w:pPr>
      <w:r>
        <w:rPr>
          <w:rStyle w:val="15"/>
          <w:rFonts w:hint="eastAsia" w:ascii="楷体" w:hAnsi="楷体" w:eastAsia="楷体" w:cs="楷体"/>
          <w:sz w:val="18"/>
          <w:szCs w:val="18"/>
        </w:rPr>
        <w:footnoteRef/>
      </w:r>
      <w:r>
        <w:rPr>
          <w:rFonts w:hint="eastAsia" w:ascii="楷体" w:hAnsi="楷体" w:eastAsia="楷体" w:cs="楷体"/>
          <w:sz w:val="18"/>
          <w:szCs w:val="18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郭桂华,宋晓平.基于“教学用问题”的“新手—熟手—专家”型数学教师课堂教学的对比研究[J].数学教育学报,2008,17(2):51-54.</w:t>
      </w:r>
    </w:p>
  </w:footnote>
  <w:footnote w:id="5">
    <w:p w14:paraId="637EDA21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楷体" w:hAnsi="楷体" w:eastAsia="楷体" w:cs="楷体"/>
          <w:color w:val="0F1115"/>
          <w:sz w:val="18"/>
          <w:szCs w:val="18"/>
        </w:rPr>
      </w:pPr>
      <w:r>
        <w:rPr>
          <w:rStyle w:val="15"/>
          <w:rFonts w:hint="eastAsia" w:ascii="楷体" w:hAnsi="楷体" w:eastAsia="楷体" w:cs="楷体"/>
          <w:sz w:val="18"/>
          <w:szCs w:val="18"/>
        </w:rPr>
        <w:footnoteRef/>
      </w:r>
      <w:r>
        <w:rPr>
          <w:rFonts w:hint="eastAsia" w:ascii="楷体" w:hAnsi="楷体" w:eastAsia="楷体" w:cs="楷体"/>
          <w:sz w:val="18"/>
          <w:szCs w:val="18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黄兴丰,程龙海,李士.从认知要求角度分析数学教学任务——对两节课堂实录的对比研究[J].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上海教育科研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,200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5,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(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5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):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86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-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88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.</w:t>
      </w:r>
    </w:p>
    <w:p w14:paraId="29680BF7">
      <w:pPr>
        <w:pStyle w:val="9"/>
        <w:widowControl/>
        <w:numPr>
          <w:ilvl w:val="0"/>
          <w:numId w:val="0"/>
        </w:numPr>
        <w:shd w:val="clear" w:color="auto" w:fill="FFFFFF"/>
        <w:ind w:leftChars="0"/>
        <w:rPr>
          <w:rFonts w:hint="eastAsia" w:ascii="楷体" w:hAnsi="楷体" w:eastAsia="楷体" w:cs="楷体"/>
          <w:sz w:val="18"/>
          <w:szCs w:val="18"/>
        </w:rPr>
      </w:pPr>
    </w:p>
  </w:footnote>
  <w:footnote w:id="6">
    <w:p w14:paraId="316938B9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楷体" w:hAnsi="楷体" w:eastAsia="楷体" w:cs="楷体"/>
          <w:sz w:val="18"/>
          <w:szCs w:val="18"/>
        </w:rPr>
      </w:pPr>
      <w:r>
        <w:rPr>
          <w:rStyle w:val="15"/>
          <w:rFonts w:hint="eastAsia" w:ascii="楷体" w:hAnsi="楷体" w:eastAsia="楷体" w:cs="楷体"/>
          <w:sz w:val="18"/>
          <w:szCs w:val="18"/>
        </w:rPr>
        <w:footnoteRef/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杨向东,豆雨松.两位不同专长的数学教师课堂提问结构的对比研究[J].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上海教育科研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,201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3,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(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3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):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37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-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39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.</w:t>
      </w:r>
    </w:p>
  </w:footnote>
  <w:footnote w:id="7">
    <w:p w14:paraId="65D820B9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pacing w:beforeAutospacing="0" w:afterAutospacing="0"/>
        <w:ind w:right="0"/>
        <w:jc w:val="both"/>
        <w:textAlignment w:val="auto"/>
        <w:rPr>
          <w:rFonts w:hint="eastAsia" w:ascii="楷体" w:hAnsi="楷体" w:eastAsia="楷体" w:cs="楷体"/>
          <w:sz w:val="18"/>
          <w:szCs w:val="18"/>
        </w:rPr>
      </w:pPr>
      <w:r>
        <w:rPr>
          <w:rStyle w:val="15"/>
          <w:rFonts w:hint="eastAsia" w:ascii="楷体" w:hAnsi="楷体" w:eastAsia="楷体" w:cs="楷体"/>
          <w:sz w:val="18"/>
          <w:szCs w:val="18"/>
        </w:rPr>
        <w:footnoteRef/>
      </w:r>
      <w:r>
        <w:rPr>
          <w:rFonts w:hint="eastAsia" w:ascii="楷体" w:hAnsi="楷体" w:eastAsia="楷体" w:cs="楷体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郭桂华,宋晓平.基于“教学用问题”的“新手—熟手—专家”型数学教师课堂教学的对比研究[J].数学教育学报,2008,17(2):51-54.</w:t>
      </w:r>
    </w:p>
  </w:footnote>
  <w:footnote w:id="8">
    <w:p w14:paraId="44251BF2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楷体" w:hAnsi="楷体" w:eastAsia="楷体" w:cs="楷体"/>
          <w:color w:val="0F1115"/>
          <w:sz w:val="18"/>
          <w:szCs w:val="18"/>
        </w:rPr>
      </w:pPr>
      <w:r>
        <w:rPr>
          <w:rStyle w:val="15"/>
          <w:rFonts w:hint="eastAsia" w:ascii="楷体" w:hAnsi="楷体" w:eastAsia="楷体" w:cs="楷体"/>
          <w:sz w:val="18"/>
          <w:szCs w:val="18"/>
        </w:rPr>
        <w:footnoteRef/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黄兴丰,程龙海,李士.从认知要求角度分析数学教学任务——对两节课堂实录的对比研究[J].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上海教育科研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,200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5,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(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5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):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86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-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  <w:lang w:val="en-US" w:eastAsia="zh-CN"/>
        </w:rPr>
        <w:t>88</w:t>
      </w:r>
      <w:r>
        <w:rPr>
          <w:rFonts w:hint="eastAsia" w:ascii="楷体" w:hAnsi="楷体" w:eastAsia="楷体" w:cs="楷体"/>
          <w:color w:val="0F1115"/>
          <w:sz w:val="18"/>
          <w:szCs w:val="18"/>
          <w:shd w:val="clear" w:color="auto" w:fill="FFFFFF"/>
        </w:rPr>
        <w:t>.</w:t>
      </w:r>
    </w:p>
    <w:p w14:paraId="010D679F">
      <w:pPr>
        <w:pStyle w:val="9"/>
        <w:widowControl/>
        <w:numPr>
          <w:ilvl w:val="0"/>
          <w:numId w:val="0"/>
        </w:numPr>
        <w:shd w:val="clear" w:color="auto" w:fill="FFFFFF"/>
        <w:ind w:leftChars="0"/>
        <w:rPr>
          <w:rFonts w:hint="eastAsia" w:ascii="楷体" w:hAnsi="楷体" w:eastAsia="楷体" w:cs="楷体"/>
          <w:color w:val="0F1115"/>
          <w:sz w:val="18"/>
          <w:szCs w:val="18"/>
        </w:rPr>
      </w:pPr>
    </w:p>
    <w:p w14:paraId="1C52F2C3">
      <w:pPr>
        <w:pStyle w:val="7"/>
        <w:snapToGrid w:val="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87B3FD"/>
    <w:multiLevelType w:val="singleLevel"/>
    <w:tmpl w:val="AA87B3FD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 w:ascii="楷体" w:hAnsi="楷体" w:eastAsia="楷体" w:cs="楷体"/>
        <w:sz w:val="18"/>
        <w:szCs w:val="18"/>
      </w:rPr>
    </w:lvl>
  </w:abstractNum>
  <w:abstractNum w:abstractNumId="1">
    <w:nsid w:val="DB945FA7"/>
    <w:multiLevelType w:val="singleLevel"/>
    <w:tmpl w:val="DB945FA7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numFmt w:val="decimalEnclosedCircleChinese"/>
    <w:numRestart w:val="eachPage"/>
    <w:footnote w:id="18"/>
    <w:footnote w:id="19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681A7A"/>
    <w:rsid w:val="00235C07"/>
    <w:rsid w:val="00380434"/>
    <w:rsid w:val="0047350D"/>
    <w:rsid w:val="006A454B"/>
    <w:rsid w:val="00743FC2"/>
    <w:rsid w:val="0087489B"/>
    <w:rsid w:val="008E30C8"/>
    <w:rsid w:val="008F44D8"/>
    <w:rsid w:val="00916A71"/>
    <w:rsid w:val="009D3857"/>
    <w:rsid w:val="08545039"/>
    <w:rsid w:val="16FD0446"/>
    <w:rsid w:val="1E7A2AF8"/>
    <w:rsid w:val="21080D9C"/>
    <w:rsid w:val="25BC2DF2"/>
    <w:rsid w:val="2F452CAE"/>
    <w:rsid w:val="3B16411F"/>
    <w:rsid w:val="401801D7"/>
    <w:rsid w:val="441D4B08"/>
    <w:rsid w:val="457572C5"/>
    <w:rsid w:val="4B9E383E"/>
    <w:rsid w:val="593257A1"/>
    <w:rsid w:val="59681A7A"/>
    <w:rsid w:val="5AE33661"/>
    <w:rsid w:val="5E9B3D34"/>
    <w:rsid w:val="627D1014"/>
    <w:rsid w:val="668A2A20"/>
    <w:rsid w:val="6A47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9">
    <w:name w:val="Normal (Web)"/>
    <w:basedOn w:val="1"/>
    <w:qFormat/>
    <w:uiPriority w:val="0"/>
    <w:rPr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styleId="14">
    <w:name w:val="annotation reference"/>
    <w:basedOn w:val="11"/>
    <w:qFormat/>
    <w:uiPriority w:val="0"/>
    <w:rPr>
      <w:sz w:val="21"/>
      <w:szCs w:val="21"/>
    </w:rPr>
  </w:style>
  <w:style w:type="character" w:styleId="15">
    <w:name w:val="footnote reference"/>
    <w:basedOn w:val="11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1871</Words>
  <Characters>1906</Characters>
  <Lines>56</Lines>
  <Paragraphs>15</Paragraphs>
  <TotalTime>6</TotalTime>
  <ScaleCrop>false</ScaleCrop>
  <LinksUpToDate>false</LinksUpToDate>
  <CharactersWithSpaces>1916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2026-03-15T10:53:00Z</dcterms:created>
  <dc:creator>夏芳</dc:creator>
  <cp:lastModifiedBy>李幸</cp:lastModifiedBy>
  <dcterms:modified xsi:type="dcterms:W3CDTF">2026-06-08T11:20:35Z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94DA91FD841F43DB875C2B7BB3D6C681_13</vt:lpwstr>
  </property>
  <property fmtid="{D5CDD505-2E9C-101B-9397-08002B2CF9AE}" pid="4" name="KSOTemplateDocerSaveRecord">
    <vt:lpwstr>eyJoZGlkIjoiNGU5YTk2NWU3OTRhNTU0YjZlNWE0ODExMjY4YzM0MTgiLCJ1c2VySWQiOiIxNjU3NTQ5MDA0In0=</vt:lpwstr>
  </property>
</Properties>
</file>