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6092A" w:rsidRPr="006778F8" w:rsidRDefault="0086092A" w:rsidP="006778F8">
      <w:pPr>
        <w:jc w:val="center"/>
        <w:rPr>
          <w:sz w:val="28"/>
        </w:rPr>
      </w:pPr>
      <w:r w:rsidRPr="006778F8">
        <w:rPr>
          <w:rFonts w:hint="eastAsia"/>
          <w:sz w:val="28"/>
        </w:rPr>
        <w:t>从生态系统的能量流动看高中数学课堂的教与学</w:t>
      </w:r>
    </w:p>
    <w:p w:rsidR="0086092A" w:rsidRDefault="0086092A" w:rsidP="006778F8">
      <w:pPr>
        <w:jc w:val="right"/>
        <w:rPr>
          <w:sz w:val="24"/>
        </w:rPr>
      </w:pPr>
      <w:r w:rsidRPr="006778F8">
        <w:rPr>
          <w:rFonts w:hint="eastAsia"/>
          <w:sz w:val="24"/>
        </w:rPr>
        <w:t>——椭圆的标准方程和性质的教学感悟</w:t>
      </w:r>
    </w:p>
    <w:p w:rsidR="007751F3" w:rsidRPr="007751F3" w:rsidRDefault="007751F3" w:rsidP="007751F3">
      <w:pPr>
        <w:wordWrap w:val="0"/>
        <w:jc w:val="right"/>
        <w:rPr>
          <w:rFonts w:hint="eastAsia"/>
          <w:sz w:val="24"/>
        </w:rPr>
      </w:pPr>
      <w:r>
        <w:rPr>
          <w:rFonts w:hint="eastAsia"/>
          <w:sz w:val="24"/>
        </w:rPr>
        <w:t>上海市第二中学 李拥军</w:t>
      </w:r>
      <w:bookmarkStart w:id="0" w:name="_GoBack"/>
      <w:bookmarkEnd w:id="0"/>
    </w:p>
    <w:p w:rsidR="0086092A" w:rsidRPr="006778F8" w:rsidRDefault="0086092A" w:rsidP="001E03F4">
      <w:pPr>
        <w:spacing w:line="420" w:lineRule="exact"/>
        <w:rPr>
          <w:rFonts w:ascii="宋体" w:eastAsia="宋体" w:hAnsi="宋体"/>
          <w:sz w:val="24"/>
          <w:szCs w:val="24"/>
        </w:rPr>
      </w:pPr>
      <w:r w:rsidRPr="006778F8">
        <w:rPr>
          <w:rFonts w:ascii="宋体" w:eastAsia="宋体" w:hAnsi="宋体" w:hint="eastAsia"/>
          <w:sz w:val="24"/>
          <w:szCs w:val="24"/>
        </w:rPr>
        <w:t>摘要：课堂是一个小型的生态系统，教师与学生在系统中兼具自养与异养成分，承担生产者、消费者和分解者三重功能。课堂生态的能量流动包含师生、生师、生生及自身内化四种形式，唯有科学调控、优化能量流动路径，让能量在多维互动中高效传递与转化，才能使课堂生态系统达到平衡状态，提升教学效率与学习效果。</w:t>
      </w:r>
    </w:p>
    <w:p w:rsidR="0086092A" w:rsidRPr="006778F8" w:rsidRDefault="0086092A" w:rsidP="001E03F4">
      <w:pPr>
        <w:spacing w:line="420" w:lineRule="exact"/>
        <w:rPr>
          <w:rFonts w:ascii="宋体" w:eastAsia="宋体" w:hAnsi="宋体"/>
          <w:sz w:val="24"/>
          <w:szCs w:val="24"/>
        </w:rPr>
      </w:pPr>
      <w:r w:rsidRPr="006778F8">
        <w:rPr>
          <w:rFonts w:ascii="宋体" w:eastAsia="宋体" w:hAnsi="宋体" w:hint="eastAsia"/>
          <w:sz w:val="24"/>
          <w:szCs w:val="24"/>
        </w:rPr>
        <w:t>关键词：能量流动；课堂生态系统；椭圆教学；高中数学；教学生态平衡</w:t>
      </w:r>
    </w:p>
    <w:p w:rsidR="0086092A" w:rsidRPr="006778F8" w:rsidRDefault="0086092A" w:rsidP="001E03F4">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生态系统”由英国植物学家斯坦利提出，后经美国学者奥德姆明确定义为特定地段中全部生物与物理环境相互作用的统一体，能量流动是该系统运行的核心，推动形成营养结构、生物多样性与物质循环，是一切生物生存发展的基础。类比自然生态系统，高中数学课堂同样是一个小型生态系统，教室环境为非生物环境，教师与学生为核心生物体，二者间、学生间的互动构成生物间关系，而教与学活动中的知识传递、思维碰撞、反馈交流，便是课堂生态的能量流动。本文结合高三数学《椭圆的标准方程和性质》的教学实践，从能量的产生、消费、分解三个维度，浅谈高中数学课堂中生态能量的流动与优化路径。</w:t>
      </w:r>
    </w:p>
    <w:p w:rsidR="0086092A" w:rsidRPr="006778F8" w:rsidRDefault="0086092A" w:rsidP="001E03F4">
      <w:pPr>
        <w:spacing w:line="420" w:lineRule="exact"/>
        <w:rPr>
          <w:rFonts w:ascii="宋体" w:eastAsia="宋体" w:hAnsi="宋体"/>
          <w:sz w:val="24"/>
          <w:szCs w:val="24"/>
        </w:rPr>
      </w:pPr>
      <w:r w:rsidRPr="006778F8">
        <w:rPr>
          <w:rFonts w:ascii="宋体" w:eastAsia="宋体" w:hAnsi="宋体" w:hint="eastAsia"/>
          <w:sz w:val="24"/>
          <w:szCs w:val="24"/>
        </w:rPr>
        <w:t>一、师生能量的产生：双向流动，奠基课堂生态平衡</w:t>
      </w:r>
    </w:p>
    <w:p w:rsidR="0086092A" w:rsidRPr="006778F8" w:rsidRDefault="0086092A" w:rsidP="001E03F4">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课堂生态系统的能量源于师生的教与学活动，学生是教学活动的主体，教师是能量流动的引导者，唯有设计最优教学过程、开展高效课堂活动，才能打通能量产生的渠道，让师生成为高效的能量生产者。教师与学生作为课堂能量的双重生产者，二者间的能量双向流动是课堂生态平衡的基础，教师的知识输出实现能量由师到生的传递，学生的学习反馈形成能量由生到师的回流，多次双向流动的过程，正是课堂知识初步传递、思维初步激活的过程。</w:t>
      </w:r>
    </w:p>
    <w:p w:rsidR="0086092A" w:rsidRPr="006778F8" w:rsidRDefault="0086092A" w:rsidP="001E03F4">
      <w:pPr>
        <w:spacing w:line="360" w:lineRule="auto"/>
        <w:rPr>
          <w:rFonts w:ascii="宋体" w:eastAsia="宋体" w:hAnsi="宋体"/>
          <w:sz w:val="24"/>
          <w:szCs w:val="24"/>
        </w:rPr>
      </w:pPr>
      <w:r w:rsidRPr="006778F8">
        <w:rPr>
          <w:rFonts w:ascii="宋体" w:eastAsia="宋体" w:hAnsi="宋体" w:hint="eastAsia"/>
          <w:sz w:val="24"/>
          <w:szCs w:val="24"/>
        </w:rPr>
        <w:t>在《椭圆的标准方程和性质》的教学中，知识复习环节结束后，笔者以例</w:t>
      </w:r>
      <w:r w:rsidRPr="006778F8">
        <w:rPr>
          <w:rFonts w:ascii="宋体" w:eastAsia="宋体" w:hAnsi="宋体"/>
          <w:sz w:val="24"/>
          <w:szCs w:val="24"/>
        </w:rPr>
        <w:t>1“</w:t>
      </w:r>
      <w:r w:rsidR="006778F8" w:rsidRPr="006778F8">
        <w:rPr>
          <w:rFonts w:ascii="宋体" w:eastAsia="宋体" w:hAnsi="宋体" w:hint="eastAsia"/>
          <w:sz w:val="24"/>
          <w:szCs w:val="24"/>
        </w:rPr>
        <w:t>已知方程</w:t>
      </w:r>
      <w:r w:rsidR="006778F8">
        <w:rPr>
          <w:rFonts w:ascii="Times New Roman" w:eastAsia="宋体" w:hAnsi="Times New Roman" w:cs="Times New Roman"/>
          <w:position w:val="-24"/>
          <w:szCs w:val="21"/>
        </w:rPr>
        <w:object w:dxaOrig="1215"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0.75pt;height:33pt" o:ole="">
            <v:imagedata r:id="rId6" o:title=""/>
          </v:shape>
          <o:OLEObject Type="Embed" ProgID="Equation.3" ShapeID="_x0000_i1025" DrawAspect="Content" ObjectID="_1842509539" r:id="rId7"/>
        </w:object>
      </w:r>
      <w:r w:rsidR="006778F8" w:rsidRPr="006778F8">
        <w:rPr>
          <w:rFonts w:ascii="宋体" w:eastAsia="宋体" w:hAnsi="宋体" w:hint="eastAsia"/>
          <w:sz w:val="24"/>
          <w:szCs w:val="24"/>
        </w:rPr>
        <w:t>表示焦点在</w:t>
      </w:r>
      <w:bookmarkStart w:id="1" w:name="OLE_LINK3"/>
      <w:bookmarkStart w:id="2" w:name="OLE_LINK4"/>
      <w:r w:rsidR="006778F8" w:rsidRPr="006778F8">
        <w:rPr>
          <w:rFonts w:ascii="Times New Roman" w:eastAsia="宋体" w:hAnsi="Times New Roman" w:cs="Times New Roman"/>
          <w:position w:val="-6"/>
          <w:szCs w:val="21"/>
        </w:rPr>
        <w:object w:dxaOrig="200" w:dyaOrig="220">
          <v:shape id="_x0000_i1026" type="#_x0000_t75" style="width:9.75pt;height:11.25pt" o:ole="">
            <v:imagedata r:id="rId8" o:title=""/>
          </v:shape>
          <o:OLEObject Type="Embed" ProgID="Equation.DSMT4" ShapeID="_x0000_i1026" DrawAspect="Content" ObjectID="_1842509540" r:id="rId9"/>
        </w:object>
      </w:r>
      <w:bookmarkEnd w:id="1"/>
      <w:bookmarkEnd w:id="2"/>
      <w:r w:rsidR="006778F8" w:rsidRPr="006778F8">
        <w:rPr>
          <w:rFonts w:ascii="宋体" w:eastAsia="宋体" w:hAnsi="宋体" w:hint="eastAsia"/>
          <w:sz w:val="24"/>
          <w:szCs w:val="24"/>
        </w:rPr>
        <w:t>轴上的椭圆，求</w:t>
      </w:r>
      <w:r w:rsidR="006778F8" w:rsidRPr="006778F8">
        <w:rPr>
          <w:rFonts w:ascii="Times New Roman" w:eastAsia="宋体" w:hAnsi="Times New Roman" w:cs="Times New Roman"/>
          <w:position w:val="-6"/>
          <w:szCs w:val="21"/>
        </w:rPr>
        <w:object w:dxaOrig="139" w:dyaOrig="240">
          <v:shape id="_x0000_i1027" type="#_x0000_t75" style="width:6.75pt;height:12pt" o:ole="">
            <v:imagedata r:id="rId10" o:title=""/>
          </v:shape>
          <o:OLEObject Type="Embed" ProgID="Equation.DSMT4" ShapeID="_x0000_i1027" DrawAspect="Content" ObjectID="_1842509541" r:id="rId11"/>
        </w:object>
      </w:r>
      <w:r w:rsidR="006778F8" w:rsidRPr="006778F8">
        <w:rPr>
          <w:rFonts w:ascii="宋体" w:eastAsia="宋体" w:hAnsi="宋体" w:hint="eastAsia"/>
          <w:sz w:val="24"/>
          <w:szCs w:val="24"/>
        </w:rPr>
        <w:t>的取值范围</w:t>
      </w:r>
      <w:r w:rsidRPr="006778F8">
        <w:rPr>
          <w:rFonts w:ascii="宋体" w:eastAsia="宋体" w:hAnsi="宋体"/>
          <w:sz w:val="24"/>
          <w:szCs w:val="24"/>
        </w:rPr>
        <w:t>”作为课堂能量产生的起点。当教师提出问题的瞬间，椭圆性质的知识能量便从教师流向学生，触发学生对椭圆标准方程中a、b、c关系及焦点位置判断依据的回忆。学生的初步解答过程，既是对自身知识储备的检验，也是能量的回流过程——部分学生能快速结合焦点在</w:t>
      </w:r>
      <w:r w:rsidR="006778F8" w:rsidRPr="006778F8">
        <w:rPr>
          <w:rFonts w:ascii="Times New Roman" w:eastAsia="宋体" w:hAnsi="Times New Roman" w:cs="Times New Roman"/>
          <w:position w:val="-6"/>
          <w:szCs w:val="21"/>
        </w:rPr>
        <w:object w:dxaOrig="200" w:dyaOrig="220">
          <v:shape id="_x0000_i1028" type="#_x0000_t75" style="width:9.75pt;height:11.25pt" o:ole="">
            <v:imagedata r:id="rId8" o:title=""/>
          </v:shape>
          <o:OLEObject Type="Embed" ProgID="Equation.DSMT4" ShapeID="_x0000_i1028" DrawAspect="Content" ObjectID="_1842509542" r:id="rId12"/>
        </w:object>
      </w:r>
      <w:r w:rsidRPr="006778F8">
        <w:rPr>
          <w:rFonts w:ascii="宋体" w:eastAsia="宋体" w:hAnsi="宋体"/>
          <w:sz w:val="24"/>
          <w:szCs w:val="24"/>
        </w:rPr>
        <w:t>轴上的椭圆方程特征列出不等式求解，部分学生则混淆了a、b的</w:t>
      </w:r>
      <w:r w:rsidRPr="006778F8">
        <w:rPr>
          <w:rFonts w:ascii="宋体" w:eastAsia="宋体" w:hAnsi="宋体"/>
          <w:sz w:val="24"/>
          <w:szCs w:val="24"/>
        </w:rPr>
        <w:lastRenderedPageBreak/>
        <w:t>大小关系，还有学生忽略了椭圆方程的系数限制条件。这些差异化的解答反馈，将学生的知识漏洞、思维误区等信</w:t>
      </w:r>
      <w:r w:rsidRPr="006778F8">
        <w:rPr>
          <w:rFonts w:ascii="宋体" w:eastAsia="宋体" w:hAnsi="宋体" w:hint="eastAsia"/>
          <w:sz w:val="24"/>
          <w:szCs w:val="24"/>
        </w:rPr>
        <w:t>息传递给教师，成为教师获取的课堂能量，让教师精准把握学生的知识掌握情况。</w:t>
      </w:r>
    </w:p>
    <w:p w:rsidR="0086092A" w:rsidRPr="006778F8" w:rsidRDefault="0086092A" w:rsidP="001E03F4">
      <w:pPr>
        <w:spacing w:line="360" w:lineRule="auto"/>
        <w:ind w:firstLineChars="200" w:firstLine="480"/>
        <w:rPr>
          <w:rFonts w:ascii="宋体" w:eastAsia="宋体" w:hAnsi="宋体"/>
          <w:sz w:val="24"/>
          <w:szCs w:val="24"/>
        </w:rPr>
      </w:pPr>
      <w:r w:rsidRPr="006778F8">
        <w:rPr>
          <w:rFonts w:ascii="宋体" w:eastAsia="宋体" w:hAnsi="宋体" w:hint="eastAsia"/>
          <w:sz w:val="24"/>
          <w:szCs w:val="24"/>
        </w:rPr>
        <w:t>在对学生的解答进行点评后，笔者顺势提出例</w:t>
      </w:r>
      <w:r w:rsidRPr="006778F8">
        <w:rPr>
          <w:rFonts w:ascii="宋体" w:eastAsia="宋体" w:hAnsi="宋体"/>
          <w:sz w:val="24"/>
          <w:szCs w:val="24"/>
        </w:rPr>
        <w:t>1的变式问题“</w:t>
      </w:r>
      <w:r w:rsidR="006778F8" w:rsidRPr="006778F8">
        <w:rPr>
          <w:rFonts w:ascii="宋体" w:eastAsia="宋体" w:hAnsi="宋体" w:hint="eastAsia"/>
          <w:sz w:val="24"/>
          <w:szCs w:val="24"/>
        </w:rPr>
        <w:t>如果椭圆</w:t>
      </w:r>
      <w:r w:rsidR="006778F8">
        <w:rPr>
          <w:rFonts w:ascii="Times New Roman" w:eastAsia="宋体" w:hAnsi="Times New Roman" w:cs="Times New Roman"/>
          <w:position w:val="-24"/>
          <w:szCs w:val="21"/>
        </w:rPr>
        <w:object w:dxaOrig="1215" w:dyaOrig="660">
          <v:shape id="_x0000_i1029" type="#_x0000_t75" style="width:60.75pt;height:33pt" o:ole="">
            <v:imagedata r:id="rId6" o:title=""/>
          </v:shape>
          <o:OLEObject Type="Embed" ProgID="Equation.3" ShapeID="_x0000_i1029" DrawAspect="Content" ObjectID="_1842509543" r:id="rId13"/>
        </w:object>
      </w:r>
      <w:r w:rsidR="006778F8" w:rsidRPr="006778F8">
        <w:rPr>
          <w:rFonts w:ascii="宋体" w:eastAsia="宋体" w:hAnsi="宋体" w:hint="eastAsia"/>
          <w:sz w:val="24"/>
          <w:szCs w:val="24"/>
        </w:rPr>
        <w:t>的焦距为</w:t>
      </w:r>
      <w:r w:rsidR="006778F8">
        <w:rPr>
          <w:rFonts w:ascii="Times New Roman" w:eastAsia="宋体" w:hAnsi="Times New Roman" w:cs="Times New Roman"/>
          <w:position w:val="-8"/>
          <w:szCs w:val="21"/>
        </w:rPr>
        <w:object w:dxaOrig="495" w:dyaOrig="360">
          <v:shape id="_x0000_i1030" type="#_x0000_t75" style="width:24.75pt;height:18pt" o:ole="">
            <v:imagedata r:id="rId14" o:title=""/>
          </v:shape>
          <o:OLEObject Type="Embed" ProgID="Equation.3" ShapeID="_x0000_i1030" DrawAspect="Content" ObjectID="_1842509544" r:id="rId15"/>
        </w:object>
      </w:r>
      <w:r w:rsidR="006778F8" w:rsidRPr="006778F8">
        <w:rPr>
          <w:rFonts w:ascii="宋体" w:eastAsia="宋体" w:hAnsi="宋体" w:hint="eastAsia"/>
          <w:sz w:val="24"/>
          <w:szCs w:val="24"/>
        </w:rPr>
        <w:t>，则实数</w:t>
      </w:r>
      <w:r w:rsidR="006778F8">
        <w:rPr>
          <w:rFonts w:ascii="Times New Roman" w:eastAsia="宋体" w:hAnsi="Times New Roman" w:cs="Times New Roman"/>
          <w:position w:val="-6"/>
          <w:szCs w:val="21"/>
        </w:rPr>
        <w:object w:dxaOrig="345" w:dyaOrig="240">
          <v:shape id="_x0000_i1031" type="#_x0000_t75" style="width:17.25pt;height:12pt" o:ole="">
            <v:imagedata r:id="rId16" o:title=""/>
          </v:shape>
          <o:OLEObject Type="Embed" ProgID="Equation.3" ShapeID="_x0000_i1031" DrawAspect="Content" ObjectID="_1842509545" r:id="rId17"/>
        </w:object>
      </w:r>
      <w:r w:rsidR="006778F8">
        <w:rPr>
          <w:szCs w:val="21"/>
          <w:u w:val="single"/>
        </w:rPr>
        <w:t xml:space="preserve">           </w:t>
      </w:r>
      <w:r w:rsidR="006778F8">
        <w:rPr>
          <w:rFonts w:hint="eastAsia"/>
          <w:szCs w:val="21"/>
        </w:rPr>
        <w:t>．</w:t>
      </w:r>
      <w:r w:rsidRPr="006778F8">
        <w:rPr>
          <w:rFonts w:ascii="宋体" w:eastAsia="宋体" w:hAnsi="宋体"/>
          <w:sz w:val="24"/>
          <w:szCs w:val="24"/>
        </w:rPr>
        <w:t>”，这一环节实现了教师向学生的再次能量流动。相较于基础例题，变式问题需要学生结合焦距概念进一步分析a、b、c的数量关系，且需考虑分类讨论思想，对学生的知识应用能力提出更高要求。从基础例题到变式问题，教师通过层层递进的问题设计，推动能量多次从师到生流动；学生通过持续的解答、反馈，完成能量的多次回流，师生间形成了良好的能量互动循环，为后续椭圆知识的深度探究奠定了基础，让课堂生态呈现出初步的平衡状态。</w:t>
      </w:r>
    </w:p>
    <w:p w:rsidR="0086092A" w:rsidRPr="006778F8" w:rsidRDefault="0086092A" w:rsidP="001E03F4">
      <w:pPr>
        <w:spacing w:line="420" w:lineRule="exact"/>
        <w:rPr>
          <w:rFonts w:ascii="宋体" w:eastAsia="宋体" w:hAnsi="宋体"/>
          <w:sz w:val="24"/>
          <w:szCs w:val="24"/>
        </w:rPr>
      </w:pPr>
      <w:r w:rsidRPr="006778F8">
        <w:rPr>
          <w:rFonts w:ascii="宋体" w:eastAsia="宋体" w:hAnsi="宋体" w:hint="eastAsia"/>
          <w:sz w:val="24"/>
          <w:szCs w:val="24"/>
        </w:rPr>
        <w:t>二、师生能量的消费：贴合认知，实现知识内化吸收</w:t>
      </w:r>
    </w:p>
    <w:p w:rsidR="0086092A" w:rsidRPr="006778F8" w:rsidRDefault="0086092A" w:rsidP="001E03F4">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在课堂生态系统中，当教师或学生从其他个体吸收能量并用于自身知识建构、能力发展时，便成为异养成分中的消费者，能量的消费过程，本质上是知识的吸收、理解与初步应用的过程。课堂教学中的能量流动并非单向的预设传递，往往会出现预设外的生成性信息，这些信息是学生认知习惯、思维特点的直观体现，也是教师调整教学策略、优化能量流动路径的重要依据。教师需关注学生的能量反馈，让教学方法、教学设计贴合学生的实际认知，引导学生高效消费课堂能量，实现知识的内化吸收。</w:t>
      </w:r>
    </w:p>
    <w:p w:rsidR="0086092A" w:rsidRPr="006778F8" w:rsidRDefault="0086092A" w:rsidP="001E03F4">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在例</w:t>
      </w:r>
      <w:r w:rsidRPr="006778F8">
        <w:rPr>
          <w:rFonts w:ascii="宋体" w:eastAsia="宋体" w:hAnsi="宋体"/>
          <w:sz w:val="24"/>
          <w:szCs w:val="24"/>
        </w:rPr>
        <w:t>2“</w:t>
      </w:r>
      <w:r w:rsidR="006778F8" w:rsidRPr="006778F8">
        <w:rPr>
          <w:rFonts w:ascii="宋体" w:eastAsia="宋体" w:hAnsi="宋体" w:hint="eastAsia"/>
          <w:sz w:val="24"/>
          <w:szCs w:val="24"/>
        </w:rPr>
        <w:t>已知椭圆的两个焦点在</w:t>
      </w:r>
      <w:r w:rsidR="006778F8" w:rsidRPr="006778F8">
        <w:rPr>
          <w:rFonts w:ascii="Times New Roman" w:eastAsia="宋体" w:hAnsi="Times New Roman" w:cs="Times New Roman"/>
          <w:position w:val="-6"/>
          <w:szCs w:val="21"/>
        </w:rPr>
        <w:object w:dxaOrig="200" w:dyaOrig="220">
          <v:shape id="_x0000_i1032" type="#_x0000_t75" style="width:9.75pt;height:11.25pt" o:ole="">
            <v:imagedata r:id="rId8" o:title=""/>
          </v:shape>
          <o:OLEObject Type="Embed" ProgID="Equation.DSMT4" ShapeID="_x0000_i1032" DrawAspect="Content" ObjectID="_1842509546" r:id="rId18"/>
        </w:object>
      </w:r>
      <w:r w:rsidR="006778F8" w:rsidRPr="006778F8">
        <w:rPr>
          <w:rFonts w:ascii="宋体" w:eastAsia="宋体" w:hAnsi="宋体" w:hint="eastAsia"/>
          <w:sz w:val="24"/>
          <w:szCs w:val="24"/>
        </w:rPr>
        <w:t>轴上，且关于原点对称，焦距为6，该椭圆经过点</w:t>
      </w:r>
      <w:r w:rsidR="006778F8" w:rsidRPr="00A97976">
        <w:rPr>
          <w:position w:val="-14"/>
        </w:rPr>
        <w:object w:dxaOrig="580" w:dyaOrig="400">
          <v:shape id="_x0000_i1033" type="#_x0000_t75" style="width:29.25pt;height:20.25pt" o:ole="">
            <v:imagedata r:id="rId19" o:title=""/>
          </v:shape>
          <o:OLEObject Type="Embed" ProgID="Equation.DSMT4" ShapeID="_x0000_i1033" DrawAspect="Content" ObjectID="_1842509547" r:id="rId20"/>
        </w:object>
      </w:r>
      <w:r w:rsidR="006778F8" w:rsidRPr="006778F8">
        <w:rPr>
          <w:rFonts w:ascii="宋体" w:eastAsia="宋体" w:hAnsi="宋体" w:hint="eastAsia"/>
          <w:sz w:val="24"/>
          <w:szCs w:val="24"/>
        </w:rPr>
        <w:t>，求它的标准方程</w:t>
      </w:r>
      <w:r w:rsidRPr="006778F8">
        <w:rPr>
          <w:rFonts w:ascii="宋体" w:eastAsia="宋体" w:hAnsi="宋体"/>
          <w:sz w:val="24"/>
          <w:szCs w:val="24"/>
        </w:rPr>
        <w:t>”的教学中，笔者的预设设计是让学生直接运用椭圆的定义法或待定系数法求解标准方程，但课堂中出现了预设外的生成：部分学生能快速结合焦距求出c的值，却在运用定义法计算椭圆上点到两焦点距离和时，因两点间距离公式计算失误导致结果错误；还有部分学生习惯直接设椭圆标准方程用待定系数法求解，却忽略了对a、b、c关系的验证。这些生成性的能量反馈，反映出学生在旧知应用（两点间距离公式）、新知衔接（椭圆定义与标准方程的结合）上的薄弱点，也体</w:t>
      </w:r>
      <w:r w:rsidRPr="006778F8">
        <w:rPr>
          <w:rFonts w:ascii="宋体" w:eastAsia="宋体" w:hAnsi="宋体" w:hint="eastAsia"/>
          <w:sz w:val="24"/>
          <w:szCs w:val="24"/>
        </w:rPr>
        <w:t>现了学生的解题思维习惯——更倾向于直接代入公式的定式思维，对定义的灵活应用能力不足。</w:t>
      </w:r>
    </w:p>
    <w:p w:rsidR="0086092A" w:rsidRPr="006778F8" w:rsidRDefault="0086092A" w:rsidP="001E03F4">
      <w:pPr>
        <w:spacing w:line="360" w:lineRule="auto"/>
        <w:ind w:firstLineChars="200" w:firstLine="480"/>
        <w:rPr>
          <w:rFonts w:ascii="宋体" w:eastAsia="宋体" w:hAnsi="宋体"/>
          <w:sz w:val="24"/>
          <w:szCs w:val="24"/>
        </w:rPr>
      </w:pPr>
      <w:r w:rsidRPr="006778F8">
        <w:rPr>
          <w:rFonts w:ascii="宋体" w:eastAsia="宋体" w:hAnsi="宋体" w:hint="eastAsia"/>
          <w:sz w:val="24"/>
          <w:szCs w:val="24"/>
        </w:rPr>
        <w:t>针对这一能量反馈，笔者并未按预设直接讲解最优解法，而是先针对学生的计算失误、思维误区进行针对性点拨，巩固两点间距离公式、椭圆定义等核心知</w:t>
      </w:r>
      <w:r w:rsidRPr="006778F8">
        <w:rPr>
          <w:rFonts w:ascii="宋体" w:eastAsia="宋体" w:hAnsi="宋体" w:hint="eastAsia"/>
          <w:sz w:val="24"/>
          <w:szCs w:val="24"/>
        </w:rPr>
        <w:lastRenderedPageBreak/>
        <w:t>识，再引导学生对比定义法与待定系数法的解题思路，分析两种方法的适用场景。随后推出例</w:t>
      </w:r>
      <w:r w:rsidRPr="006778F8">
        <w:rPr>
          <w:rFonts w:ascii="宋体" w:eastAsia="宋体" w:hAnsi="宋体"/>
          <w:sz w:val="24"/>
          <w:szCs w:val="24"/>
        </w:rPr>
        <w:t>2的变式1“</w:t>
      </w:r>
      <w:r w:rsidR="001E03F4" w:rsidRPr="001E03F4">
        <w:rPr>
          <w:rFonts w:ascii="宋体" w:eastAsia="宋体" w:hAnsi="宋体" w:hint="eastAsia"/>
          <w:sz w:val="24"/>
          <w:szCs w:val="24"/>
        </w:rPr>
        <w:t>已知椭圆的两个焦点在坐标轴上，且关于原点对称，焦距为</w:t>
      </w:r>
      <w:r w:rsidR="001E03F4" w:rsidRPr="001E03F4">
        <w:rPr>
          <w:rFonts w:ascii="宋体" w:eastAsia="宋体" w:hAnsi="宋体"/>
          <w:sz w:val="24"/>
          <w:szCs w:val="24"/>
        </w:rPr>
        <w:t>6</w:t>
      </w:r>
      <w:r w:rsidR="001E03F4" w:rsidRPr="001E03F4">
        <w:rPr>
          <w:rFonts w:ascii="宋体" w:eastAsia="宋体" w:hAnsi="宋体" w:hint="eastAsia"/>
          <w:sz w:val="24"/>
          <w:szCs w:val="24"/>
        </w:rPr>
        <w:t>，该椭圆经过点</w:t>
      </w:r>
      <w:r w:rsidR="001E03F4">
        <w:rPr>
          <w:rFonts w:ascii="Times New Roman" w:eastAsia="宋体" w:hAnsi="Times New Roman" w:cs="Times New Roman"/>
          <w:position w:val="-14"/>
          <w:szCs w:val="20"/>
        </w:rPr>
        <w:object w:dxaOrig="585" w:dyaOrig="405">
          <v:shape id="_x0000_i1034" type="#_x0000_t75" style="width:29.25pt;height:20.25pt" o:ole="">
            <v:imagedata r:id="rId19" o:title=""/>
          </v:shape>
          <o:OLEObject Type="Embed" ProgID="Equation.DSMT4" ShapeID="_x0000_i1034" DrawAspect="Content" ObjectID="_1842509548" r:id="rId21"/>
        </w:object>
      </w:r>
      <w:r w:rsidR="001E03F4" w:rsidRPr="001E03F4">
        <w:rPr>
          <w:rFonts w:ascii="宋体" w:eastAsia="宋体" w:hAnsi="宋体" w:hint="eastAsia"/>
          <w:sz w:val="24"/>
          <w:szCs w:val="24"/>
        </w:rPr>
        <w:t>，求它的标准方程</w:t>
      </w:r>
      <w:r w:rsidRPr="006778F8">
        <w:rPr>
          <w:rFonts w:ascii="宋体" w:eastAsia="宋体" w:hAnsi="宋体"/>
          <w:sz w:val="24"/>
          <w:szCs w:val="24"/>
        </w:rPr>
        <w:t>”与变式2“</w:t>
      </w:r>
      <w:r w:rsidR="001E03F4" w:rsidRPr="001E03F4">
        <w:rPr>
          <w:rFonts w:ascii="宋体" w:eastAsia="宋体" w:hAnsi="宋体" w:hint="eastAsia"/>
          <w:sz w:val="24"/>
          <w:szCs w:val="24"/>
        </w:rPr>
        <w:t>已知椭圆的两个焦点在</w:t>
      </w:r>
      <w:r w:rsidR="001E03F4" w:rsidRPr="006778F8">
        <w:rPr>
          <w:rFonts w:ascii="Times New Roman" w:eastAsia="宋体" w:hAnsi="Times New Roman" w:cs="Times New Roman"/>
          <w:position w:val="-6"/>
          <w:szCs w:val="21"/>
        </w:rPr>
        <w:object w:dxaOrig="200" w:dyaOrig="220">
          <v:shape id="_x0000_i1035" type="#_x0000_t75" style="width:9.75pt;height:11.25pt" o:ole="">
            <v:imagedata r:id="rId8" o:title=""/>
          </v:shape>
          <o:OLEObject Type="Embed" ProgID="Equation.DSMT4" ShapeID="_x0000_i1035" DrawAspect="Content" ObjectID="_1842509549" r:id="rId22"/>
        </w:object>
      </w:r>
      <w:r w:rsidR="001E03F4" w:rsidRPr="001E03F4">
        <w:rPr>
          <w:rFonts w:ascii="宋体" w:eastAsia="宋体" w:hAnsi="宋体" w:hint="eastAsia"/>
          <w:sz w:val="24"/>
          <w:szCs w:val="24"/>
        </w:rPr>
        <w:t>轴上，且关于原点对称，焦距为</w:t>
      </w:r>
      <w:r w:rsidR="001E03F4" w:rsidRPr="001E03F4">
        <w:rPr>
          <w:rFonts w:ascii="宋体" w:eastAsia="宋体" w:hAnsi="宋体"/>
          <w:sz w:val="24"/>
          <w:szCs w:val="24"/>
        </w:rPr>
        <w:t>6</w:t>
      </w:r>
      <w:r w:rsidR="001E03F4" w:rsidRPr="001E03F4">
        <w:rPr>
          <w:rFonts w:ascii="宋体" w:eastAsia="宋体" w:hAnsi="宋体" w:hint="eastAsia"/>
          <w:sz w:val="24"/>
          <w:szCs w:val="24"/>
        </w:rPr>
        <w:t>，该椭圆经过点</w:t>
      </w:r>
      <w:r w:rsidR="001E03F4">
        <w:rPr>
          <w:rFonts w:ascii="Times New Roman" w:eastAsia="宋体" w:hAnsi="Times New Roman" w:cs="Times New Roman"/>
          <w:position w:val="-24"/>
          <w:szCs w:val="21"/>
        </w:rPr>
        <w:object w:dxaOrig="675" w:dyaOrig="615">
          <v:shape id="_x0000_i1036" type="#_x0000_t75" style="width:33.75pt;height:30.75pt" o:ole="">
            <v:imagedata r:id="rId23" o:title=""/>
          </v:shape>
          <o:OLEObject Type="Embed" ProgID="Equation.3" ShapeID="_x0000_i1036" DrawAspect="Content" ObjectID="_1842509550" r:id="rId24"/>
        </w:object>
      </w:r>
      <w:r w:rsidR="001E03F4">
        <w:rPr>
          <w:rFonts w:ascii="宋体" w:eastAsia="宋体" w:hAnsi="宋体" w:hint="eastAsia"/>
          <w:sz w:val="24"/>
          <w:szCs w:val="24"/>
        </w:rPr>
        <w:t>，求它的标准方程</w:t>
      </w:r>
      <w:r w:rsidRPr="006778F8">
        <w:rPr>
          <w:rFonts w:ascii="宋体" w:eastAsia="宋体" w:hAnsi="宋体"/>
          <w:sz w:val="24"/>
          <w:szCs w:val="24"/>
        </w:rPr>
        <w:t>”，通过改变焦点位置、变换椭圆上的点的坐标，迫使学生跳出定式思维，主动思考焦点位置不确定时的分类讨论方法</w:t>
      </w:r>
      <w:r w:rsidRPr="006778F8">
        <w:rPr>
          <w:rFonts w:ascii="宋体" w:eastAsia="宋体" w:hAnsi="宋体" w:hint="eastAsia"/>
          <w:sz w:val="24"/>
          <w:szCs w:val="24"/>
        </w:rPr>
        <w:t>、坐标变化后的计算技巧。</w:t>
      </w:r>
    </w:p>
    <w:p w:rsidR="0086092A" w:rsidRPr="006778F8" w:rsidRDefault="0086092A" w:rsidP="001E03F4">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在这一教学过程中，能量依旧从教师流向学生，但流动路径因学生的反馈而做出了调整。学生在教师的引导下，结合自身的知识漏洞吸收课堂能量，通过对比、思考、实践，逐步掌握定义法与待定系数法求椭圆标准方程的方法，实现了课堂能量的高效消费，完成了椭圆标准方程求解知识的内化吸收。同时，教学中部分学生因对分类讨论思想理解不透彻，向周边同学请教，让能量在生生之间实现了有效流动，进一步丰富了课堂能量的消费形式。</w:t>
      </w:r>
    </w:p>
    <w:p w:rsidR="0086092A" w:rsidRPr="006778F8" w:rsidRDefault="0086092A" w:rsidP="001E03F4">
      <w:pPr>
        <w:spacing w:line="420" w:lineRule="exact"/>
        <w:rPr>
          <w:rFonts w:ascii="宋体" w:eastAsia="宋体" w:hAnsi="宋体"/>
          <w:sz w:val="24"/>
          <w:szCs w:val="24"/>
        </w:rPr>
      </w:pPr>
      <w:r w:rsidRPr="006778F8">
        <w:rPr>
          <w:rFonts w:ascii="宋体" w:eastAsia="宋体" w:hAnsi="宋体" w:hint="eastAsia"/>
          <w:sz w:val="24"/>
          <w:szCs w:val="24"/>
        </w:rPr>
        <w:t>三、师生能量的分解：内化输出，提升能量利用效率</w:t>
      </w:r>
    </w:p>
    <w:p w:rsidR="0086092A" w:rsidRPr="006778F8" w:rsidRDefault="0086092A" w:rsidP="001E03F4">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课堂生态系统中，当教师或学生将吸收的能量经过自身内在的加工、整合、重构后再次输出能量时，便成为异养成分中的分解者。能量的分解过程，是知识从理解、应用到迁移、创新的过程，也是思维从低级到高级的提升过程。教学的实质是教师引导学生围绕学习内容展开对话、交流、合作的多维互动过程，通过设计开放性、探究性的教学环节，引导学生将吸收的知识能量内化为自身的思维能力，再通过问题提出、解法探究、思路分享等形式输出能量，能有效促进课堂能量的多维流动，提升能量的利用效率，让课堂生态系统的功能发挥到最佳。</w:t>
      </w:r>
    </w:p>
    <w:p w:rsidR="0086092A" w:rsidRPr="006778F8" w:rsidRDefault="0086092A" w:rsidP="00632CA8">
      <w:pPr>
        <w:spacing w:line="360" w:lineRule="auto"/>
        <w:rPr>
          <w:rFonts w:ascii="宋体" w:eastAsia="宋体" w:hAnsi="宋体"/>
          <w:sz w:val="24"/>
          <w:szCs w:val="24"/>
        </w:rPr>
      </w:pPr>
      <w:r w:rsidRPr="006778F8">
        <w:rPr>
          <w:rFonts w:ascii="宋体" w:eastAsia="宋体" w:hAnsi="宋体" w:hint="eastAsia"/>
          <w:sz w:val="24"/>
          <w:szCs w:val="24"/>
        </w:rPr>
        <w:t>在椭圆的标准方程与性质的教学中，当学生掌握了椭圆方程的求解、焦点位置判断等基础内容后，笔者设计了一系列递进式的变式问题，并在变式</w:t>
      </w:r>
      <w:r w:rsidRPr="006778F8">
        <w:rPr>
          <w:rFonts w:ascii="宋体" w:eastAsia="宋体" w:hAnsi="宋体"/>
          <w:sz w:val="24"/>
          <w:szCs w:val="24"/>
        </w:rPr>
        <w:t>3、变式4、变式5的教学中，设置了互动探究环节，让学生成为能量分解的主体。如变式3“</w:t>
      </w:r>
      <w:r w:rsidR="00632CA8" w:rsidRPr="00632CA8">
        <w:rPr>
          <w:rFonts w:ascii="Times New Roman" w:eastAsia="宋体" w:hAnsi="Times New Roman" w:cs="Times New Roman" w:hint="eastAsia"/>
          <w:szCs w:val="20"/>
        </w:rPr>
        <w:t>设例</w:t>
      </w:r>
      <w:r w:rsidR="00632CA8" w:rsidRPr="00632CA8">
        <w:rPr>
          <w:rFonts w:ascii="Times New Roman" w:eastAsia="宋体" w:hAnsi="Times New Roman" w:cs="Times New Roman" w:hint="eastAsia"/>
          <w:szCs w:val="20"/>
        </w:rPr>
        <w:t>2</w:t>
      </w:r>
      <w:r w:rsidR="00632CA8" w:rsidRPr="00632CA8">
        <w:rPr>
          <w:rFonts w:ascii="Times New Roman" w:eastAsia="宋体" w:hAnsi="Times New Roman" w:cs="Times New Roman" w:hint="eastAsia"/>
          <w:szCs w:val="20"/>
        </w:rPr>
        <w:t>中的椭圆的</w:t>
      </w:r>
      <w:bookmarkStart w:id="3" w:name="OLE_LINK9"/>
      <w:bookmarkStart w:id="4" w:name="OLE_LINK10"/>
      <w:r w:rsidR="00632CA8" w:rsidRPr="00632CA8">
        <w:rPr>
          <w:rFonts w:ascii="Times New Roman" w:eastAsia="宋体" w:hAnsi="Times New Roman" w:cs="Times New Roman" w:hint="eastAsia"/>
          <w:szCs w:val="20"/>
        </w:rPr>
        <w:t>左焦点是</w:t>
      </w:r>
      <w:r w:rsidR="00632CA8" w:rsidRPr="00632CA8">
        <w:rPr>
          <w:rFonts w:ascii="Times New Roman" w:eastAsia="宋体" w:hAnsi="Times New Roman" w:cs="Times New Roman"/>
          <w:position w:val="-12"/>
          <w:szCs w:val="20"/>
        </w:rPr>
        <w:object w:dxaOrig="260" w:dyaOrig="360">
          <v:shape id="_x0000_i1037" type="#_x0000_t75" style="width:12.75pt;height:18pt" o:ole="">
            <v:imagedata r:id="rId25" o:title=""/>
          </v:shape>
          <o:OLEObject Type="Embed" ProgID="Equation.DSMT4" ShapeID="_x0000_i1037" DrawAspect="Content" ObjectID="_1842509551" r:id="rId26"/>
        </w:object>
      </w:r>
      <w:r w:rsidR="00632CA8" w:rsidRPr="00632CA8">
        <w:rPr>
          <w:rFonts w:ascii="Times New Roman" w:eastAsia="宋体" w:hAnsi="Times New Roman" w:cs="Times New Roman" w:hint="eastAsia"/>
          <w:szCs w:val="20"/>
        </w:rPr>
        <w:t>，右焦点是</w:t>
      </w:r>
      <w:r w:rsidR="00632CA8" w:rsidRPr="00632CA8">
        <w:rPr>
          <w:rFonts w:ascii="Times New Roman" w:eastAsia="宋体" w:hAnsi="Times New Roman" w:cs="Times New Roman"/>
          <w:position w:val="-12"/>
          <w:szCs w:val="20"/>
        </w:rPr>
        <w:object w:dxaOrig="279" w:dyaOrig="360">
          <v:shape id="_x0000_i1038" type="#_x0000_t75" style="width:14.25pt;height:18pt" o:ole="">
            <v:imagedata r:id="rId27" o:title=""/>
          </v:shape>
          <o:OLEObject Type="Embed" ProgID="Equation.DSMT4" ShapeID="_x0000_i1038" DrawAspect="Content" ObjectID="_1842509552" r:id="rId28"/>
        </w:object>
      </w:r>
      <w:bookmarkEnd w:id="3"/>
      <w:bookmarkEnd w:id="4"/>
      <w:r w:rsidR="00632CA8" w:rsidRPr="00632CA8">
        <w:rPr>
          <w:rFonts w:ascii="Times New Roman" w:eastAsia="宋体" w:hAnsi="Times New Roman" w:cs="Times New Roman" w:hint="eastAsia"/>
          <w:szCs w:val="20"/>
        </w:rPr>
        <w:t>，（</w:t>
      </w:r>
      <w:r w:rsidR="00632CA8" w:rsidRPr="00632CA8">
        <w:rPr>
          <w:rFonts w:ascii="Times New Roman" w:eastAsia="宋体" w:hAnsi="Times New Roman" w:cs="Times New Roman" w:hint="eastAsia"/>
          <w:szCs w:val="20"/>
        </w:rPr>
        <w:t>1</w:t>
      </w:r>
      <w:r w:rsidR="00632CA8" w:rsidRPr="00632CA8">
        <w:rPr>
          <w:rFonts w:ascii="Times New Roman" w:eastAsia="宋体" w:hAnsi="Times New Roman" w:cs="Times New Roman" w:hint="eastAsia"/>
          <w:szCs w:val="20"/>
        </w:rPr>
        <w:t>）如果点</w:t>
      </w:r>
      <w:r w:rsidR="00632CA8" w:rsidRPr="00632CA8">
        <w:rPr>
          <w:rFonts w:ascii="Times New Roman" w:eastAsia="宋体" w:hAnsi="Times New Roman" w:cs="Times New Roman"/>
          <w:position w:val="-4"/>
          <w:szCs w:val="20"/>
        </w:rPr>
        <w:object w:dxaOrig="240" w:dyaOrig="260">
          <v:shape id="_x0000_i1039" type="#_x0000_t75" style="width:12pt;height:12.75pt" o:ole="">
            <v:imagedata r:id="rId29" o:title=""/>
          </v:shape>
          <o:OLEObject Type="Embed" ProgID="Equation.DSMT4" ShapeID="_x0000_i1039" DrawAspect="Content" ObjectID="_1842509553" r:id="rId30"/>
        </w:object>
      </w:r>
      <w:r w:rsidR="00632CA8" w:rsidRPr="00632CA8">
        <w:rPr>
          <w:rFonts w:ascii="Times New Roman" w:eastAsia="宋体" w:hAnsi="Times New Roman" w:cs="Times New Roman" w:hint="eastAsia"/>
          <w:szCs w:val="20"/>
        </w:rPr>
        <w:t>在椭圆上，求</w:t>
      </w:r>
      <w:r w:rsidR="00632CA8" w:rsidRPr="00632CA8">
        <w:rPr>
          <w:rFonts w:ascii="Times New Roman" w:eastAsia="宋体" w:hAnsi="Times New Roman" w:cs="Times New Roman"/>
          <w:position w:val="-10"/>
          <w:szCs w:val="20"/>
        </w:rPr>
        <w:object w:dxaOrig="780" w:dyaOrig="340">
          <v:shape id="_x0000_i1040" type="#_x0000_t75" style="width:39pt;height:17.25pt" o:ole="">
            <v:imagedata r:id="rId31" o:title=""/>
          </v:shape>
          <o:OLEObject Type="Embed" ProgID="Equation.3" ShapeID="_x0000_i1040" DrawAspect="Content" ObjectID="_1842509554" r:id="rId32"/>
        </w:object>
      </w:r>
      <w:r w:rsidR="00632CA8" w:rsidRPr="00632CA8">
        <w:rPr>
          <w:rFonts w:ascii="Times New Roman" w:eastAsia="宋体" w:hAnsi="Times New Roman" w:cs="Times New Roman" w:hint="eastAsia"/>
          <w:szCs w:val="20"/>
        </w:rPr>
        <w:t>的周长；（</w:t>
      </w:r>
      <w:r w:rsidR="00632CA8" w:rsidRPr="00632CA8">
        <w:rPr>
          <w:rFonts w:ascii="Times New Roman" w:eastAsia="宋体" w:hAnsi="Times New Roman" w:cs="Times New Roman" w:hint="eastAsia"/>
          <w:szCs w:val="20"/>
        </w:rPr>
        <w:t>2</w:t>
      </w:r>
      <w:r w:rsidR="00632CA8" w:rsidRPr="00632CA8">
        <w:rPr>
          <w:rFonts w:ascii="Times New Roman" w:eastAsia="宋体" w:hAnsi="Times New Roman" w:cs="Times New Roman" w:hint="eastAsia"/>
          <w:szCs w:val="20"/>
        </w:rPr>
        <w:t>）如果点</w:t>
      </w:r>
      <w:r w:rsidR="00632CA8" w:rsidRPr="00632CA8">
        <w:rPr>
          <w:rFonts w:ascii="Times New Roman" w:eastAsia="宋体" w:hAnsi="Times New Roman" w:cs="Times New Roman"/>
          <w:position w:val="-4"/>
          <w:szCs w:val="20"/>
        </w:rPr>
        <w:object w:dxaOrig="240" w:dyaOrig="260">
          <v:shape id="_x0000_i1041" type="#_x0000_t75" style="width:12pt;height:12.75pt" o:ole="">
            <v:imagedata r:id="rId29" o:title=""/>
          </v:shape>
          <o:OLEObject Type="Embed" ProgID="Equation.DSMT4" ShapeID="_x0000_i1041" DrawAspect="Content" ObjectID="_1842509555" r:id="rId33"/>
        </w:object>
      </w:r>
      <w:r w:rsidR="00632CA8" w:rsidRPr="00632CA8">
        <w:rPr>
          <w:rFonts w:ascii="Times New Roman" w:eastAsia="宋体" w:hAnsi="Times New Roman" w:cs="Times New Roman" w:hint="eastAsia"/>
          <w:szCs w:val="20"/>
        </w:rPr>
        <w:t>在椭圆上，求</w:t>
      </w:r>
      <w:r w:rsidR="00632CA8" w:rsidRPr="00632CA8">
        <w:rPr>
          <w:rFonts w:ascii="Times New Roman" w:eastAsia="宋体" w:hAnsi="Times New Roman" w:cs="Times New Roman"/>
          <w:position w:val="-10"/>
          <w:szCs w:val="20"/>
        </w:rPr>
        <w:object w:dxaOrig="1040" w:dyaOrig="400">
          <v:shape id="_x0000_i1042" type="#_x0000_t75" style="width:51.75pt;height:20.25pt" o:ole="">
            <v:imagedata r:id="rId34" o:title=""/>
          </v:shape>
          <o:OLEObject Type="Embed" ProgID="Equation.3" ShapeID="_x0000_i1042" DrawAspect="Content" ObjectID="_1842509556" r:id="rId35"/>
        </w:object>
      </w:r>
      <w:r w:rsidR="00632CA8" w:rsidRPr="00632CA8">
        <w:rPr>
          <w:rFonts w:ascii="Times New Roman" w:eastAsia="宋体" w:hAnsi="Times New Roman" w:cs="Times New Roman" w:hint="eastAsia"/>
          <w:szCs w:val="20"/>
        </w:rPr>
        <w:t>的取值范围</w:t>
      </w:r>
      <w:r w:rsidRPr="006778F8">
        <w:rPr>
          <w:rFonts w:ascii="宋体" w:eastAsia="宋体" w:hAnsi="宋体"/>
          <w:sz w:val="24"/>
          <w:szCs w:val="24"/>
        </w:rPr>
        <w:t>”，在学生完成基础解答后，笔者引导学生思考“焦点三角形的周长与椭圆的哪些参数相关”“向量数量积的取值范围与椭圆上点的坐标范围有何关联”；变式4、变式5则进一步结合线段长度计算、等差数列公差、相交弦长</w:t>
      </w:r>
      <w:r w:rsidRPr="006778F8">
        <w:rPr>
          <w:rFonts w:ascii="宋体" w:eastAsia="宋体" w:hAnsi="宋体" w:hint="eastAsia"/>
          <w:sz w:val="24"/>
          <w:szCs w:val="24"/>
        </w:rPr>
        <w:t>、函数值域等知识点，让椭圆知识与旧知深度融合。</w:t>
      </w:r>
    </w:p>
    <w:p w:rsidR="0086092A" w:rsidRPr="006778F8" w:rsidRDefault="0086092A" w:rsidP="00F62F2D">
      <w:pPr>
        <w:spacing w:line="360" w:lineRule="auto"/>
        <w:ind w:firstLineChars="200" w:firstLine="480"/>
        <w:rPr>
          <w:rFonts w:ascii="宋体" w:eastAsia="宋体" w:hAnsi="宋体"/>
          <w:sz w:val="24"/>
          <w:szCs w:val="24"/>
        </w:rPr>
      </w:pPr>
      <w:r w:rsidRPr="006778F8">
        <w:rPr>
          <w:rFonts w:ascii="宋体" w:eastAsia="宋体" w:hAnsi="宋体" w:hint="eastAsia"/>
          <w:sz w:val="24"/>
          <w:szCs w:val="24"/>
        </w:rPr>
        <w:t>在这一过程中，可贵的是有学生结合变式问题，自主提出了拓展性问题：“</w:t>
      </w:r>
      <w:r w:rsidR="00F62F2D">
        <w:rPr>
          <w:rFonts w:ascii="宋体" w:eastAsia="宋体" w:hAnsi="宋体" w:hint="eastAsia"/>
          <w:sz w:val="24"/>
          <w:szCs w:val="24"/>
        </w:rPr>
        <w:t>已</w:t>
      </w:r>
      <w:r w:rsidR="00F62F2D">
        <w:rPr>
          <w:rFonts w:ascii="宋体" w:eastAsia="宋体" w:hAnsi="宋体" w:hint="eastAsia"/>
          <w:sz w:val="24"/>
          <w:szCs w:val="24"/>
        </w:rPr>
        <w:lastRenderedPageBreak/>
        <w:t>知</w:t>
      </w:r>
      <w:r w:rsidR="00F62F2D">
        <w:rPr>
          <w:rFonts w:ascii="Times New Roman" w:eastAsia="宋体" w:hAnsi="Times New Roman" w:cs="Times New Roman"/>
          <w:noProof/>
          <w:kern w:val="0"/>
          <w:position w:val="-12"/>
          <w:szCs w:val="20"/>
        </w:rPr>
        <w:drawing>
          <wp:inline distT="0" distB="0" distL="0" distR="0" wp14:anchorId="6F51A3CE" wp14:editId="2A060ED9">
            <wp:extent cx="161925" cy="228600"/>
            <wp:effectExtent l="0" t="0" r="9525"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61925" cy="228600"/>
                    </a:xfrm>
                    <a:prstGeom prst="rect">
                      <a:avLst/>
                    </a:prstGeom>
                    <a:noFill/>
                    <a:ln>
                      <a:noFill/>
                    </a:ln>
                  </pic:spPr>
                </pic:pic>
              </a:graphicData>
            </a:graphic>
          </wp:inline>
        </w:drawing>
      </w:r>
      <w:r w:rsidR="00F62F2D">
        <w:rPr>
          <w:rFonts w:ascii="宋体" w:eastAsia="宋体" w:hAnsi="宋体" w:hint="eastAsia"/>
          <w:sz w:val="24"/>
          <w:szCs w:val="24"/>
        </w:rPr>
        <w:t>、</w:t>
      </w:r>
      <w:r w:rsidR="00F62F2D">
        <w:rPr>
          <w:rFonts w:ascii="Times New Roman" w:eastAsia="宋体" w:hAnsi="Times New Roman" w:cs="Times New Roman"/>
          <w:noProof/>
          <w:kern w:val="0"/>
          <w:position w:val="-12"/>
          <w:szCs w:val="20"/>
        </w:rPr>
        <w:drawing>
          <wp:inline distT="0" distB="0" distL="0" distR="0" wp14:anchorId="66636E28" wp14:editId="0F85DC3C">
            <wp:extent cx="180975" cy="228600"/>
            <wp:effectExtent l="0" t="0" r="9525"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0975" cy="228600"/>
                    </a:xfrm>
                    <a:prstGeom prst="rect">
                      <a:avLst/>
                    </a:prstGeom>
                    <a:noFill/>
                    <a:ln>
                      <a:noFill/>
                    </a:ln>
                  </pic:spPr>
                </pic:pic>
              </a:graphicData>
            </a:graphic>
          </wp:inline>
        </w:drawing>
      </w:r>
      <w:r w:rsidR="00F62F2D">
        <w:rPr>
          <w:rFonts w:ascii="Times New Roman" w:eastAsia="宋体" w:hAnsi="Times New Roman" w:cs="Times New Roman" w:hint="eastAsia"/>
          <w:kern w:val="0"/>
          <w:szCs w:val="20"/>
        </w:rPr>
        <w:t>是</w:t>
      </w:r>
      <w:r w:rsidR="00F62F2D" w:rsidRPr="00F62F2D">
        <w:rPr>
          <w:rFonts w:ascii="宋体" w:eastAsia="宋体" w:hAnsi="宋体" w:hint="eastAsia"/>
          <w:sz w:val="24"/>
          <w:szCs w:val="24"/>
        </w:rPr>
        <w:t>椭圆</w:t>
      </w:r>
      <w:r w:rsidR="00F62F2D">
        <w:rPr>
          <w:rFonts w:ascii="Times New Roman" w:eastAsia="宋体" w:hAnsi="Times New Roman" w:cs="Times New Roman"/>
          <w:position w:val="-24"/>
          <w:szCs w:val="21"/>
        </w:rPr>
        <w:object w:dxaOrig="2160" w:dyaOrig="660">
          <v:shape id="_x0000_i1043" type="#_x0000_t75" style="width:108pt;height:33pt" o:ole="">
            <v:imagedata r:id="rId38" o:title=""/>
          </v:shape>
          <o:OLEObject Type="Embed" ProgID="Equation.DSMT4" ShapeID="_x0000_i1043" DrawAspect="Content" ObjectID="_1842509557" r:id="rId39"/>
        </w:object>
      </w:r>
      <w:r w:rsidR="00F62F2D" w:rsidRPr="00F62F2D">
        <w:rPr>
          <w:rFonts w:ascii="宋体" w:eastAsia="宋体" w:hAnsi="宋体" w:hint="eastAsia"/>
          <w:sz w:val="24"/>
          <w:szCs w:val="24"/>
        </w:rPr>
        <w:t>的两个焦点</w:t>
      </w:r>
      <w:r w:rsidR="00F62F2D">
        <w:rPr>
          <w:rFonts w:ascii="宋体" w:eastAsia="宋体" w:hAnsi="宋体" w:hint="eastAsia"/>
          <w:sz w:val="24"/>
          <w:szCs w:val="24"/>
        </w:rPr>
        <w:t>，</w:t>
      </w:r>
      <w:r w:rsidR="00F62F2D" w:rsidRPr="00F62F2D">
        <w:rPr>
          <w:rFonts w:ascii="Times New Roman" w:eastAsia="宋体" w:hAnsi="Times New Roman" w:cs="Times New Roman"/>
          <w:position w:val="-4"/>
          <w:szCs w:val="21"/>
        </w:rPr>
        <w:object w:dxaOrig="240" w:dyaOrig="260">
          <v:shape id="_x0000_i1044" type="#_x0000_t75" style="width:12pt;height:12.75pt" o:ole="">
            <v:imagedata r:id="rId40" o:title=""/>
          </v:shape>
          <o:OLEObject Type="Embed" ProgID="Equation.DSMT4" ShapeID="_x0000_i1044" DrawAspect="Content" ObjectID="_1842509558" r:id="rId41"/>
        </w:object>
      </w:r>
      <w:r w:rsidR="00F62F2D">
        <w:rPr>
          <w:rFonts w:ascii="Times New Roman" w:eastAsia="宋体" w:hAnsi="Times New Roman" w:cs="Times New Roman" w:hint="eastAsia"/>
          <w:szCs w:val="21"/>
        </w:rPr>
        <w:t>是椭圆上的一点，且</w:t>
      </w:r>
      <w:r w:rsidR="00F62F2D" w:rsidRPr="00F62F2D">
        <w:rPr>
          <w:rFonts w:ascii="Times New Roman" w:eastAsia="宋体" w:hAnsi="Times New Roman" w:cs="Times New Roman"/>
          <w:position w:val="-12"/>
          <w:szCs w:val="21"/>
        </w:rPr>
        <w:object w:dxaOrig="1080" w:dyaOrig="400">
          <v:shape id="_x0000_i1045" type="#_x0000_t75" style="width:54pt;height:20.25pt" o:ole="">
            <v:imagedata r:id="rId42" o:title=""/>
          </v:shape>
          <o:OLEObject Type="Embed" ProgID="Equation.DSMT4" ShapeID="_x0000_i1045" DrawAspect="Content" ObjectID="_1842509559" r:id="rId43"/>
        </w:object>
      </w:r>
      <w:r w:rsidR="00F62F2D">
        <w:rPr>
          <w:rFonts w:ascii="Times New Roman" w:eastAsia="宋体" w:hAnsi="Times New Roman" w:cs="Times New Roman" w:hint="eastAsia"/>
          <w:szCs w:val="21"/>
        </w:rPr>
        <w:t>，若</w:t>
      </w:r>
      <w:r w:rsidR="00F62F2D" w:rsidRPr="00F62F2D">
        <w:rPr>
          <w:rFonts w:ascii="Times New Roman" w:eastAsia="宋体" w:hAnsi="Times New Roman" w:cs="Times New Roman"/>
          <w:position w:val="-12"/>
          <w:szCs w:val="21"/>
        </w:rPr>
        <w:object w:dxaOrig="760" w:dyaOrig="360">
          <v:shape id="_x0000_i1046" type="#_x0000_t75" style="width:38.25pt;height:18pt" o:ole="">
            <v:imagedata r:id="rId44" o:title=""/>
          </v:shape>
          <o:OLEObject Type="Embed" ProgID="Equation.DSMT4" ShapeID="_x0000_i1046" DrawAspect="Content" ObjectID="_1842509560" r:id="rId45"/>
        </w:object>
      </w:r>
      <w:r w:rsidR="00F62F2D">
        <w:rPr>
          <w:rFonts w:ascii="Times New Roman" w:eastAsia="宋体" w:hAnsi="Times New Roman" w:cs="Times New Roman" w:hint="eastAsia"/>
          <w:szCs w:val="21"/>
        </w:rPr>
        <w:t>的面积为</w:t>
      </w:r>
      <w:r w:rsidR="00F62F2D">
        <w:rPr>
          <w:rFonts w:ascii="Times New Roman" w:eastAsia="宋体" w:hAnsi="Times New Roman" w:cs="Times New Roman" w:hint="eastAsia"/>
          <w:szCs w:val="21"/>
        </w:rPr>
        <w:t>9</w:t>
      </w:r>
      <w:r w:rsidR="00F62F2D">
        <w:rPr>
          <w:rFonts w:ascii="Times New Roman" w:eastAsia="宋体" w:hAnsi="Times New Roman" w:cs="Times New Roman" w:hint="eastAsia"/>
          <w:szCs w:val="21"/>
        </w:rPr>
        <w:t>，则</w:t>
      </w:r>
      <w:r w:rsidR="00F62F2D" w:rsidRPr="00F62F2D">
        <w:rPr>
          <w:rFonts w:ascii="Times New Roman" w:eastAsia="宋体" w:hAnsi="Times New Roman" w:cs="Times New Roman"/>
          <w:position w:val="-6"/>
          <w:szCs w:val="21"/>
        </w:rPr>
        <w:object w:dxaOrig="380" w:dyaOrig="279">
          <v:shape id="_x0000_i1047" type="#_x0000_t75" style="width:18.75pt;height:14.25pt" o:ole="">
            <v:imagedata r:id="rId46" o:title=""/>
          </v:shape>
          <o:OLEObject Type="Embed" ProgID="Equation.DSMT4" ShapeID="_x0000_i1047" DrawAspect="Content" ObjectID="_1842509561" r:id="rId47"/>
        </w:object>
      </w:r>
      <w:r w:rsidR="00F62F2D">
        <w:rPr>
          <w:rFonts w:ascii="Times New Roman" w:eastAsia="宋体" w:hAnsi="Times New Roman" w:cs="Times New Roman"/>
          <w:szCs w:val="21"/>
        </w:rPr>
        <w:t>________</w:t>
      </w:r>
      <w:r w:rsidRPr="006778F8">
        <w:rPr>
          <w:rFonts w:ascii="宋体" w:eastAsia="宋体" w:hAnsi="宋体" w:hint="eastAsia"/>
          <w:sz w:val="24"/>
          <w:szCs w:val="24"/>
        </w:rPr>
        <w:t>”。这一问题的提出，是学生将吸收的椭圆定义、性质、焦点三角形特征等知识能量，经过自身内化、重构后形成的能量输出，体现了学生对椭圆知识的深度理解，也反映出其逆向思维与探究思维的提升，标志着学生从能量的消费者转变为能量的分解者。</w:t>
      </w:r>
    </w:p>
    <w:p w:rsidR="0086092A" w:rsidRPr="006778F8" w:rsidRDefault="0086092A" w:rsidP="00632CA8">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学生提出的拓展问题立刻引发了其他同学的踊跃讨论，课堂中形成了热烈的生生互动氛围，能量在生生之间实现了高效的传递与分解。学生们结合椭圆的坐标范围、三角形面积公式、两点间距离公式，探究出多种解题思路：部分学生先设点的坐标，结合面积公式求出纵坐标，再代入椭圆方程求横坐标；部分学生结合焦点三角形的特征，利用椭圆的定义与勾股定理求解；还有部分学生通过数形结合的方法，直观分析点的位置特征后再计算。在整个探究过程中，教师仅充当组织者与引导者的角色，不直接干预学生的讨论与解答，让学生在思维碰撞中完成能量的分解与输出，自主寻求最优解题方法。</w:t>
      </w:r>
    </w:p>
    <w:p w:rsidR="0086092A" w:rsidRPr="006778F8" w:rsidRDefault="0086092A" w:rsidP="00632CA8">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学生提出问题、研讨问题、解决问题的过程，是课堂能量多次分解、多维流动的过程。每个学生在吸收其他同学的思维能量的同时，也将自身的思维成果作为能量输出，让课堂生态系统的能量利用效率达到最大化。同时，学生在这一过程中，不仅巩固了椭圆的标准方程与性质，还实现了与等差数列、向量、函数、解析几何等知识的融合应用，培养了分类讨论、数形结合、逆向思维等数学思想，提升了数学探究能力与合作交流能力。</w:t>
      </w:r>
    </w:p>
    <w:p w:rsidR="0086092A" w:rsidRPr="006778F8" w:rsidRDefault="0086092A" w:rsidP="001E03F4">
      <w:pPr>
        <w:spacing w:line="420" w:lineRule="exact"/>
        <w:rPr>
          <w:rFonts w:ascii="宋体" w:eastAsia="宋体" w:hAnsi="宋体"/>
          <w:sz w:val="24"/>
          <w:szCs w:val="24"/>
        </w:rPr>
      </w:pPr>
      <w:r w:rsidRPr="006778F8">
        <w:rPr>
          <w:rFonts w:ascii="宋体" w:eastAsia="宋体" w:hAnsi="宋体" w:hint="eastAsia"/>
          <w:sz w:val="24"/>
          <w:szCs w:val="24"/>
        </w:rPr>
        <w:t>四、结语</w:t>
      </w:r>
    </w:p>
    <w:p w:rsidR="0086092A" w:rsidRPr="006778F8" w:rsidRDefault="0086092A" w:rsidP="00632CA8">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在高中数学课堂这个小型生态系统中，教师与学生并非单一的教学主体与学习主体，而是兼具自养成分和异养成分，同时承担生产者、消费者和分解者三种功能的核心生物体。课堂生态系统的所有能量，均源于师生的教与学活动，能量的流动贯穿教学全过程，表现为师生、生师、生生及自身内化四种形式，其流动的顺畅性、高效性，直接决定了课堂教学生态的平衡状态。</w:t>
      </w:r>
    </w:p>
    <w:p w:rsidR="0086092A" w:rsidRPr="006778F8" w:rsidRDefault="0086092A" w:rsidP="00632CA8">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椭圆的标准方程和性质》的教学实践表明，课堂教学中，教师通过层层递进的问题设计，成为课堂能量的初始生产者，推动能量从师到生的有效传递；学生通过解答反馈，将自身的认知情况、思维特点作为能量回流给教师，让教师精准把握教学节奏，实现能量的双向流动，这是课堂生态平衡的基础。教师关注学生的生成性反馈，贴合学生的实际认知调整教学策略，引导学生高效吸收课堂能量，完成知识的内化，让师生成为高效的能量消费者，这是课堂生态平衡的关键。</w:t>
      </w:r>
      <w:r w:rsidRPr="006778F8">
        <w:rPr>
          <w:rFonts w:ascii="宋体" w:eastAsia="宋体" w:hAnsi="宋体" w:hint="eastAsia"/>
          <w:sz w:val="24"/>
          <w:szCs w:val="24"/>
        </w:rPr>
        <w:lastRenderedPageBreak/>
        <w:t>教师设计开放性、探究性的教学环节，引导学生将吸收的能量内化为自身能力，再通过问题提出、思路分享、合作探究等形式输出能量，让师生成为能量的分解者，促进能量的多维流动与高效利用，这是课堂生态平衡的升华。</w:t>
      </w:r>
    </w:p>
    <w:p w:rsidR="008E5A0F" w:rsidRPr="006778F8" w:rsidRDefault="0086092A" w:rsidP="00632CA8">
      <w:pPr>
        <w:spacing w:line="420" w:lineRule="exact"/>
        <w:ind w:firstLineChars="200" w:firstLine="480"/>
        <w:rPr>
          <w:rFonts w:ascii="宋体" w:eastAsia="宋体" w:hAnsi="宋体"/>
          <w:sz w:val="24"/>
          <w:szCs w:val="24"/>
        </w:rPr>
      </w:pPr>
      <w:r w:rsidRPr="006778F8">
        <w:rPr>
          <w:rFonts w:ascii="宋体" w:eastAsia="宋体" w:hAnsi="宋体" w:hint="eastAsia"/>
          <w:sz w:val="24"/>
          <w:szCs w:val="24"/>
        </w:rPr>
        <w:t>作为高中数学教师，我们应树立课堂生态意识，从生态系统能量流动的角度审视课堂教学，清晰把握课堂内部能量流动的方式与规律，通过优化教学设计、关注学生反馈、搭建互动平台，科学调控和优化课堂能量流动路径，让能量在师生、生生的多维互动中高效传递、转化、分解。唯有如此，才能不断优化课堂生态结构，充分发挥课堂生态系统的功能，实现课堂教学生态的动态平衡，构建起充满活力、高效有序的生态课堂，让学生在课堂生态中实现知识的建构、能力的提升与思维的发展。</w:t>
      </w:r>
    </w:p>
    <w:p w:rsidR="003D1217" w:rsidRPr="006778F8" w:rsidRDefault="003D1217" w:rsidP="001E03F4">
      <w:pPr>
        <w:spacing w:line="420" w:lineRule="exact"/>
        <w:rPr>
          <w:rFonts w:ascii="宋体" w:eastAsia="宋体" w:hAnsi="宋体"/>
          <w:sz w:val="24"/>
          <w:szCs w:val="24"/>
        </w:rPr>
      </w:pPr>
    </w:p>
    <w:p w:rsidR="003D1217" w:rsidRPr="006778F8" w:rsidRDefault="003D1217" w:rsidP="001E03F4">
      <w:pPr>
        <w:spacing w:line="420" w:lineRule="exact"/>
        <w:rPr>
          <w:rFonts w:ascii="宋体" w:eastAsia="宋体" w:hAnsi="宋体"/>
          <w:sz w:val="24"/>
          <w:szCs w:val="24"/>
        </w:rPr>
      </w:pPr>
      <w:r w:rsidRPr="006778F8">
        <w:rPr>
          <w:rFonts w:ascii="宋体" w:eastAsia="宋体" w:hAnsi="宋体" w:hint="eastAsia"/>
          <w:sz w:val="24"/>
          <w:szCs w:val="24"/>
        </w:rPr>
        <w:t>参考文献</w:t>
      </w:r>
    </w:p>
    <w:p w:rsidR="003D1217" w:rsidRPr="006778F8" w:rsidRDefault="003D1217" w:rsidP="001E03F4">
      <w:pPr>
        <w:spacing w:line="420" w:lineRule="exact"/>
        <w:rPr>
          <w:rFonts w:ascii="宋体" w:eastAsia="宋体" w:hAnsi="宋体"/>
          <w:sz w:val="24"/>
          <w:szCs w:val="24"/>
        </w:rPr>
      </w:pPr>
      <w:r w:rsidRPr="006778F8">
        <w:rPr>
          <w:rFonts w:ascii="宋体" w:eastAsia="宋体" w:hAnsi="宋体"/>
          <w:sz w:val="24"/>
          <w:szCs w:val="24"/>
        </w:rPr>
        <w:t>[1]奥德姆.生态学基础[M].北京:科学出版社,2009:56-78.</w:t>
      </w:r>
    </w:p>
    <w:p w:rsidR="003D1217" w:rsidRPr="006778F8" w:rsidRDefault="003D1217" w:rsidP="001E03F4">
      <w:pPr>
        <w:spacing w:line="420" w:lineRule="exact"/>
        <w:rPr>
          <w:rFonts w:ascii="宋体" w:eastAsia="宋体" w:hAnsi="宋体"/>
          <w:sz w:val="24"/>
          <w:szCs w:val="24"/>
        </w:rPr>
      </w:pPr>
      <w:r w:rsidRPr="006778F8">
        <w:rPr>
          <w:rFonts w:ascii="宋体" w:eastAsia="宋体" w:hAnsi="宋体"/>
          <w:sz w:val="24"/>
          <w:szCs w:val="24"/>
        </w:rPr>
        <w:t>[2]</w:t>
      </w:r>
      <w:r w:rsidRPr="006778F8">
        <w:rPr>
          <w:rFonts w:ascii="宋体" w:eastAsia="宋体" w:hAnsi="宋体" w:hint="eastAsia"/>
          <w:sz w:val="24"/>
          <w:szCs w:val="24"/>
        </w:rPr>
        <w:t xml:space="preserve"> 马莹芳</w:t>
      </w:r>
      <w:r w:rsidRPr="006778F8">
        <w:rPr>
          <w:rFonts w:ascii="宋体" w:eastAsia="宋体" w:hAnsi="宋体"/>
          <w:sz w:val="24"/>
          <w:szCs w:val="24"/>
        </w:rPr>
        <w:t>.聚焦核心素养目标的“教学评”一体化课堂教学策略——以《生态系统的能量流动》为例[J].新课程教学(电子版),2022(06):23-24+60.</w:t>
      </w:r>
    </w:p>
    <w:p w:rsidR="003D1217" w:rsidRPr="006778F8" w:rsidRDefault="003D1217" w:rsidP="001E03F4">
      <w:pPr>
        <w:spacing w:line="420" w:lineRule="exact"/>
        <w:rPr>
          <w:rFonts w:ascii="宋体" w:eastAsia="宋体" w:hAnsi="宋体"/>
          <w:sz w:val="24"/>
          <w:szCs w:val="24"/>
        </w:rPr>
      </w:pPr>
      <w:r w:rsidRPr="006778F8">
        <w:rPr>
          <w:rFonts w:ascii="宋体" w:eastAsia="宋体" w:hAnsi="宋体"/>
          <w:sz w:val="24"/>
          <w:szCs w:val="24"/>
        </w:rPr>
        <w:t>[3]陶家捌.以生态之桨,为数学扬帆——高中数学生态课堂的构建[J].新课程,2019(15):60.</w:t>
      </w:r>
    </w:p>
    <w:p w:rsidR="003D1217" w:rsidRPr="006778F8" w:rsidRDefault="003D1217" w:rsidP="001E03F4">
      <w:pPr>
        <w:spacing w:line="420" w:lineRule="exact"/>
        <w:rPr>
          <w:rFonts w:ascii="宋体" w:eastAsia="宋体" w:hAnsi="宋体"/>
          <w:sz w:val="24"/>
          <w:szCs w:val="24"/>
        </w:rPr>
      </w:pPr>
      <w:r w:rsidRPr="006778F8">
        <w:rPr>
          <w:rFonts w:ascii="宋体" w:eastAsia="宋体" w:hAnsi="宋体"/>
          <w:sz w:val="24"/>
          <w:szCs w:val="24"/>
        </w:rPr>
        <w:t>[4]黎明,魏有莲.高中数学生态课堂中教学情境的思考[J].福建教育学院学报,2017,18(05):41-44.</w:t>
      </w:r>
    </w:p>
    <w:sectPr w:rsidR="003D1217" w:rsidRPr="006778F8">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64CC" w:rsidRDefault="009C64CC" w:rsidP="007751F3">
      <w:r>
        <w:separator/>
      </w:r>
    </w:p>
  </w:endnote>
  <w:endnote w:type="continuationSeparator" w:id="0">
    <w:p w:rsidR="009C64CC" w:rsidRDefault="009C64CC" w:rsidP="007751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64CC" w:rsidRDefault="009C64CC" w:rsidP="007751F3">
      <w:r>
        <w:separator/>
      </w:r>
    </w:p>
  </w:footnote>
  <w:footnote w:type="continuationSeparator" w:id="0">
    <w:p w:rsidR="009C64CC" w:rsidRDefault="009C64CC" w:rsidP="007751F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092A"/>
    <w:rsid w:val="001E03F4"/>
    <w:rsid w:val="003D1217"/>
    <w:rsid w:val="00632CA8"/>
    <w:rsid w:val="006778F8"/>
    <w:rsid w:val="007751F3"/>
    <w:rsid w:val="0086092A"/>
    <w:rsid w:val="008E5A0F"/>
    <w:rsid w:val="009C64CC"/>
    <w:rsid w:val="00F62F2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4E804B"/>
  <w15:chartTrackingRefBased/>
  <w15:docId w15:val="{02606FFC-58A8-49DF-9398-18B8875E0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7751F3"/>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7751F3"/>
    <w:rPr>
      <w:sz w:val="18"/>
      <w:szCs w:val="18"/>
    </w:rPr>
  </w:style>
  <w:style w:type="paragraph" w:styleId="a5">
    <w:name w:val="footer"/>
    <w:basedOn w:val="a"/>
    <w:link w:val="a6"/>
    <w:uiPriority w:val="99"/>
    <w:unhideWhenUsed/>
    <w:rsid w:val="007751F3"/>
    <w:pPr>
      <w:tabs>
        <w:tab w:val="center" w:pos="4153"/>
        <w:tab w:val="right" w:pos="8306"/>
      </w:tabs>
      <w:snapToGrid w:val="0"/>
      <w:jc w:val="left"/>
    </w:pPr>
    <w:rPr>
      <w:sz w:val="18"/>
      <w:szCs w:val="18"/>
    </w:rPr>
  </w:style>
  <w:style w:type="character" w:customStyle="1" w:styleId="a6">
    <w:name w:val="页脚 字符"/>
    <w:basedOn w:val="a0"/>
    <w:link w:val="a5"/>
    <w:uiPriority w:val="99"/>
    <w:rsid w:val="007751F3"/>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842821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5.bin"/><Relationship Id="rId18" Type="http://schemas.openxmlformats.org/officeDocument/2006/relationships/oleObject" Target="embeddings/oleObject8.bin"/><Relationship Id="rId26" Type="http://schemas.openxmlformats.org/officeDocument/2006/relationships/oleObject" Target="embeddings/oleObject13.bin"/><Relationship Id="rId39" Type="http://schemas.openxmlformats.org/officeDocument/2006/relationships/oleObject" Target="embeddings/oleObject19.bin"/><Relationship Id="rId21" Type="http://schemas.openxmlformats.org/officeDocument/2006/relationships/oleObject" Target="embeddings/oleObject10.bin"/><Relationship Id="rId34" Type="http://schemas.openxmlformats.org/officeDocument/2006/relationships/image" Target="media/image12.wmf"/><Relationship Id="rId42" Type="http://schemas.openxmlformats.org/officeDocument/2006/relationships/image" Target="media/image17.wmf"/><Relationship Id="rId47" Type="http://schemas.openxmlformats.org/officeDocument/2006/relationships/oleObject" Target="embeddings/oleObject23.bin"/><Relationship Id="rId7" Type="http://schemas.openxmlformats.org/officeDocument/2006/relationships/oleObject" Target="embeddings/oleObject1.bin"/><Relationship Id="rId2" Type="http://schemas.openxmlformats.org/officeDocument/2006/relationships/settings" Target="settings.xml"/><Relationship Id="rId16" Type="http://schemas.openxmlformats.org/officeDocument/2006/relationships/image" Target="media/image5.wmf"/><Relationship Id="rId29" Type="http://schemas.openxmlformats.org/officeDocument/2006/relationships/image" Target="media/image10.wmf"/><Relationship Id="rId11" Type="http://schemas.openxmlformats.org/officeDocument/2006/relationships/oleObject" Target="embeddings/oleObject3.bin"/><Relationship Id="rId24" Type="http://schemas.openxmlformats.org/officeDocument/2006/relationships/oleObject" Target="embeddings/oleObject12.bin"/><Relationship Id="rId32" Type="http://schemas.openxmlformats.org/officeDocument/2006/relationships/oleObject" Target="embeddings/oleObject16.bin"/><Relationship Id="rId37" Type="http://schemas.openxmlformats.org/officeDocument/2006/relationships/image" Target="media/image14.wmf"/><Relationship Id="rId40" Type="http://schemas.openxmlformats.org/officeDocument/2006/relationships/image" Target="media/image16.wmf"/><Relationship Id="rId45" Type="http://schemas.openxmlformats.org/officeDocument/2006/relationships/oleObject" Target="embeddings/oleObject22.bin"/><Relationship Id="rId5" Type="http://schemas.openxmlformats.org/officeDocument/2006/relationships/endnotes" Target="endnotes.xml"/><Relationship Id="rId15" Type="http://schemas.openxmlformats.org/officeDocument/2006/relationships/oleObject" Target="embeddings/oleObject6.bin"/><Relationship Id="rId23" Type="http://schemas.openxmlformats.org/officeDocument/2006/relationships/image" Target="media/image7.wmf"/><Relationship Id="rId28" Type="http://schemas.openxmlformats.org/officeDocument/2006/relationships/oleObject" Target="embeddings/oleObject14.bin"/><Relationship Id="rId36" Type="http://schemas.openxmlformats.org/officeDocument/2006/relationships/image" Target="media/image13.wmf"/><Relationship Id="rId49" Type="http://schemas.openxmlformats.org/officeDocument/2006/relationships/theme" Target="theme/theme1.xml"/><Relationship Id="rId10" Type="http://schemas.openxmlformats.org/officeDocument/2006/relationships/image" Target="media/image3.wmf"/><Relationship Id="rId19" Type="http://schemas.openxmlformats.org/officeDocument/2006/relationships/image" Target="media/image6.wmf"/><Relationship Id="rId31" Type="http://schemas.openxmlformats.org/officeDocument/2006/relationships/image" Target="media/image11.wmf"/><Relationship Id="rId44" Type="http://schemas.openxmlformats.org/officeDocument/2006/relationships/image" Target="media/image18.wmf"/><Relationship Id="rId4" Type="http://schemas.openxmlformats.org/officeDocument/2006/relationships/footnotes" Target="footnotes.xml"/><Relationship Id="rId9" Type="http://schemas.openxmlformats.org/officeDocument/2006/relationships/oleObject" Target="embeddings/oleObject2.bin"/><Relationship Id="rId14" Type="http://schemas.openxmlformats.org/officeDocument/2006/relationships/image" Target="media/image4.wmf"/><Relationship Id="rId22" Type="http://schemas.openxmlformats.org/officeDocument/2006/relationships/oleObject" Target="embeddings/oleObject11.bin"/><Relationship Id="rId27" Type="http://schemas.openxmlformats.org/officeDocument/2006/relationships/image" Target="media/image9.wmf"/><Relationship Id="rId30" Type="http://schemas.openxmlformats.org/officeDocument/2006/relationships/oleObject" Target="embeddings/oleObject15.bin"/><Relationship Id="rId35" Type="http://schemas.openxmlformats.org/officeDocument/2006/relationships/oleObject" Target="embeddings/oleObject18.bin"/><Relationship Id="rId43" Type="http://schemas.openxmlformats.org/officeDocument/2006/relationships/oleObject" Target="embeddings/oleObject21.bin"/><Relationship Id="rId48" Type="http://schemas.openxmlformats.org/officeDocument/2006/relationships/fontTable" Target="fontTable.xml"/><Relationship Id="rId8" Type="http://schemas.openxmlformats.org/officeDocument/2006/relationships/image" Target="media/image2.wmf"/><Relationship Id="rId3" Type="http://schemas.openxmlformats.org/officeDocument/2006/relationships/webSettings" Target="webSettings.xml"/><Relationship Id="rId12" Type="http://schemas.openxmlformats.org/officeDocument/2006/relationships/oleObject" Target="embeddings/oleObject4.bin"/><Relationship Id="rId17" Type="http://schemas.openxmlformats.org/officeDocument/2006/relationships/oleObject" Target="embeddings/oleObject7.bin"/><Relationship Id="rId25" Type="http://schemas.openxmlformats.org/officeDocument/2006/relationships/image" Target="media/image8.wmf"/><Relationship Id="rId33" Type="http://schemas.openxmlformats.org/officeDocument/2006/relationships/oleObject" Target="embeddings/oleObject17.bin"/><Relationship Id="rId38" Type="http://schemas.openxmlformats.org/officeDocument/2006/relationships/image" Target="media/image15.wmf"/><Relationship Id="rId46" Type="http://schemas.openxmlformats.org/officeDocument/2006/relationships/image" Target="media/image19.wmf"/><Relationship Id="rId20" Type="http://schemas.openxmlformats.org/officeDocument/2006/relationships/oleObject" Target="embeddings/oleObject9.bin"/><Relationship Id="rId41" Type="http://schemas.openxmlformats.org/officeDocument/2006/relationships/oleObject" Target="embeddings/oleObject20.bin"/><Relationship Id="rId1" Type="http://schemas.openxmlformats.org/officeDocument/2006/relationships/styles" Target="styles.xml"/><Relationship Id="rId6" Type="http://schemas.openxmlformats.org/officeDocument/2006/relationships/image" Target="media/image1.wm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132</TotalTime>
  <Pages>5</Pages>
  <Words>740</Words>
  <Characters>4224</Characters>
  <Application>Microsoft Office Word</Application>
  <DocSecurity>0</DocSecurity>
  <Lines>35</Lines>
  <Paragraphs>9</Paragraphs>
  <ScaleCrop>false</ScaleCrop>
  <Company/>
  <LinksUpToDate>false</LinksUpToDate>
  <CharactersWithSpaces>4955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ZX</dc:creator>
  <cp:keywords/>
  <dc:description/>
  <cp:lastModifiedBy>ZX</cp:lastModifiedBy>
  <cp:revision>6</cp:revision>
  <dcterms:created xsi:type="dcterms:W3CDTF">2026-03-25T02:42:00Z</dcterms:created>
  <dcterms:modified xsi:type="dcterms:W3CDTF">2026-06-09T02:52:00Z</dcterms:modified>
</cp:coreProperties>
</file>