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A58B1">
      <w:pPr>
        <w:pStyle w:val="12"/>
        <w:keepNext w:val="0"/>
        <w:keepLines w:val="0"/>
        <w:widowControl/>
        <w:suppressLineNumbers w:val="0"/>
        <w:spacing w:before="0" w:beforeAutospacing="1" w:after="0" w:afterAutospacing="1"/>
        <w:ind w:left="0" w:right="0"/>
        <w:jc w:val="center"/>
        <w:rPr>
          <w:rFonts w:hint="eastAsia" w:asciiTheme="majorEastAsia" w:hAnsiTheme="majorEastAsia" w:eastAsiaTheme="majorEastAsia" w:cstheme="majorEastAsia"/>
          <w:b/>
          <w:bCs/>
          <w:sz w:val="28"/>
          <w:szCs w:val="28"/>
          <w:lang w:val="en-US" w:eastAsia="zh-CN"/>
        </w:rPr>
      </w:pPr>
      <w:bookmarkStart w:id="0" w:name="_GoBack"/>
      <w:bookmarkEnd w:id="0"/>
      <w:r>
        <w:rPr>
          <w:rFonts w:hint="eastAsia" w:asciiTheme="majorEastAsia" w:hAnsiTheme="majorEastAsia" w:eastAsiaTheme="majorEastAsia" w:cstheme="majorEastAsia"/>
          <w:b/>
          <w:bCs/>
          <w:sz w:val="28"/>
          <w:szCs w:val="28"/>
        </w:rPr>
        <w:t>初中英语口语课堂中</w:t>
      </w:r>
      <w:r>
        <w:rPr>
          <w:rFonts w:hint="eastAsia" w:asciiTheme="majorEastAsia" w:hAnsiTheme="majorEastAsia" w:eastAsiaTheme="majorEastAsia" w:cstheme="majorEastAsia"/>
          <w:b/>
          <w:bCs/>
          <w:sz w:val="28"/>
          <w:szCs w:val="28"/>
          <w:lang w:val="en-US" w:eastAsia="zh-CN"/>
        </w:rPr>
        <w:t>补偿策略教学的实践探索</w:t>
      </w:r>
    </w:p>
    <w:p w14:paraId="0F7B3C2C">
      <w:pPr>
        <w:pStyle w:val="12"/>
        <w:keepNext w:val="0"/>
        <w:keepLines w:val="0"/>
        <w:widowControl/>
        <w:suppressLineNumbers w:val="0"/>
        <w:spacing w:before="0" w:beforeAutospacing="1" w:after="0" w:afterAutospacing="1"/>
        <w:ind w:left="0" w:right="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上海市</w:t>
      </w:r>
      <w:r>
        <w:rPr>
          <w:rFonts w:hint="eastAsia" w:asciiTheme="minorEastAsia" w:hAnsiTheme="minorEastAsia" w:eastAsiaTheme="minorEastAsia" w:cstheme="minorEastAsia"/>
          <w:sz w:val="24"/>
          <w:szCs w:val="24"/>
          <w:lang w:val="en-US" w:eastAsia="zh-CN"/>
        </w:rPr>
        <w:t>南洋初级中学 邢露丹</w:t>
      </w:r>
    </w:p>
    <w:p w14:paraId="03B01812">
      <w:pPr>
        <w:pStyle w:val="12"/>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kern w:val="2"/>
          <w:sz w:val="24"/>
          <w:szCs w:val="24"/>
          <w:lang w:val="en-US" w:eastAsia="zh-CN" w:bidi="ar"/>
        </w:rPr>
      </w:pPr>
      <w:r>
        <w:rPr>
          <w:rFonts w:hint="eastAsia" w:asciiTheme="minorEastAsia" w:hAnsiTheme="minorEastAsia" w:eastAsiaTheme="minorEastAsia" w:cstheme="minorEastAsia"/>
          <w:b w:val="0"/>
          <w:bCs/>
          <w:kern w:val="2"/>
          <w:sz w:val="24"/>
          <w:szCs w:val="24"/>
          <w:lang w:val="en-US" w:eastAsia="zh-CN" w:bidi="ar"/>
        </w:rPr>
        <w:t>【摘要】</w:t>
      </w:r>
      <w:r>
        <w:rPr>
          <w:rFonts w:hint="eastAsia" w:asciiTheme="minorEastAsia" w:hAnsiTheme="minorEastAsia" w:eastAsiaTheme="minorEastAsia" w:cstheme="minorEastAsia"/>
          <w:sz w:val="24"/>
          <w:szCs w:val="24"/>
        </w:rPr>
        <w:t>在初中英语口语课堂中，学生虽然掌握了一定的词汇和句型，但在真实交际中一旦遇到词汇缺失，往往出现沉默、中断交流或转用</w:t>
      </w:r>
      <w:r>
        <w:rPr>
          <w:rFonts w:hint="eastAsia" w:asciiTheme="minorEastAsia" w:hAnsiTheme="minorEastAsia" w:eastAsiaTheme="minorEastAsia" w:cstheme="minorEastAsia"/>
          <w:sz w:val="24"/>
          <w:szCs w:val="24"/>
          <w:lang w:val="en-US" w:eastAsia="zh-CN"/>
        </w:rPr>
        <w:t>中文</w:t>
      </w:r>
      <w:r>
        <w:rPr>
          <w:rFonts w:hint="eastAsia" w:asciiTheme="minorEastAsia" w:hAnsiTheme="minorEastAsia" w:eastAsiaTheme="minorEastAsia" w:cstheme="minorEastAsia"/>
          <w:sz w:val="24"/>
          <w:szCs w:val="24"/>
        </w:rPr>
        <w:t>等现象，影响交际的连续性。《义务教育英语课程标准（2022年版）》（以下简称《课标》）强调学生应能够借助适当策略维持交际顺利进行。基于此，本文</w:t>
      </w:r>
      <w:r>
        <w:rPr>
          <w:rFonts w:hint="eastAsia" w:asciiTheme="minorEastAsia" w:hAnsiTheme="minorEastAsia" w:eastAsiaTheme="minorEastAsia" w:cstheme="minorEastAsia"/>
          <w:sz w:val="24"/>
          <w:szCs w:val="24"/>
          <w:lang w:val="en-US" w:eastAsia="zh-CN"/>
        </w:rPr>
        <w:t>围绕课文中已有的对话示范，</w:t>
      </w:r>
      <w:r>
        <w:rPr>
          <w:rFonts w:hint="eastAsia" w:asciiTheme="minorEastAsia" w:hAnsiTheme="minorEastAsia" w:eastAsiaTheme="minorEastAsia" w:cstheme="minorEastAsia"/>
          <w:sz w:val="24"/>
          <w:szCs w:val="24"/>
          <w:highlight w:val="none"/>
          <w:lang w:val="en-US" w:eastAsia="zh-CN"/>
        </w:rPr>
        <w:t>在</w:t>
      </w:r>
      <w:r>
        <w:rPr>
          <w:rFonts w:hint="eastAsia" w:asciiTheme="minorEastAsia" w:hAnsiTheme="minorEastAsia" w:eastAsiaTheme="minorEastAsia" w:cstheme="minorEastAsia"/>
          <w:sz w:val="24"/>
          <w:szCs w:val="24"/>
        </w:rPr>
        <w:t>语篇挖掘、任务设计与评价量表</w:t>
      </w:r>
      <w:r>
        <w:rPr>
          <w:rFonts w:hint="eastAsia" w:asciiTheme="minorEastAsia" w:hAnsiTheme="minorEastAsia" w:eastAsiaTheme="minorEastAsia" w:cstheme="minorEastAsia"/>
          <w:sz w:val="24"/>
          <w:szCs w:val="24"/>
          <w:highlight w:val="none"/>
          <w:lang w:val="en-US" w:eastAsia="zh-CN"/>
        </w:rPr>
        <w:t>三个环节展开实践教学。</w:t>
      </w:r>
      <w:r>
        <w:rPr>
          <w:rFonts w:hint="eastAsia" w:asciiTheme="minorEastAsia" w:hAnsiTheme="minorEastAsia" w:eastAsiaTheme="minorEastAsia" w:cstheme="minorEastAsia"/>
          <w:sz w:val="24"/>
          <w:szCs w:val="24"/>
          <w:highlight w:val="none"/>
        </w:rPr>
        <w:t>实践结</w:t>
      </w:r>
      <w:r>
        <w:rPr>
          <w:rFonts w:hint="eastAsia" w:asciiTheme="minorEastAsia" w:hAnsiTheme="minorEastAsia" w:eastAsiaTheme="minorEastAsia" w:cstheme="minorEastAsia"/>
          <w:sz w:val="24"/>
          <w:szCs w:val="24"/>
        </w:rPr>
        <w:t>果表明，补偿策略教学能够有效提升学生维持交际的能力，增强口语表达信心，促进真实语境中的语言运用。</w:t>
      </w:r>
    </w:p>
    <w:p w14:paraId="2F15919C">
      <w:pPr>
        <w:keepNext w:val="0"/>
        <w:keepLines w:val="0"/>
        <w:pageBreakBefore w:val="0"/>
        <w:widowControl/>
        <w:suppressLineNumbers w:val="0"/>
        <w:kinsoku/>
        <w:wordWrap/>
        <w:overflowPunct/>
        <w:topLinePunct w:val="0"/>
        <w:autoSpaceDE/>
        <w:autoSpaceDN/>
        <w:bidi w:val="0"/>
        <w:adjustRightInd/>
        <w:snapToGrid/>
        <w:spacing w:line="240" w:lineRule="auto"/>
        <w:ind w:left="240" w:hanging="240" w:hangingChars="1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kern w:val="2"/>
          <w:sz w:val="24"/>
          <w:szCs w:val="24"/>
          <w:lang w:val="en-US" w:eastAsia="zh-CN" w:bidi="ar"/>
        </w:rPr>
        <w:t>【关键词】</w:t>
      </w:r>
      <w:r>
        <w:rPr>
          <w:rFonts w:hint="eastAsia" w:asciiTheme="minorEastAsia" w:hAnsiTheme="minorEastAsia" w:eastAsiaTheme="minorEastAsia" w:cstheme="minorEastAsia"/>
          <w:kern w:val="0"/>
          <w:sz w:val="24"/>
          <w:szCs w:val="24"/>
          <w:lang w:val="en-US" w:eastAsia="zh-CN" w:bidi="ar"/>
        </w:rPr>
        <w:t xml:space="preserve"> </w:t>
      </w:r>
      <w:r>
        <w:rPr>
          <w:rFonts w:hint="eastAsia" w:asciiTheme="minorEastAsia" w:hAnsiTheme="minorEastAsia" w:eastAsiaTheme="minorEastAsia" w:cstheme="minorEastAsia"/>
          <w:sz w:val="24"/>
          <w:szCs w:val="24"/>
        </w:rPr>
        <w:t>补偿策略</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口语交际</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初中英语</w:t>
      </w:r>
    </w:p>
    <w:p w14:paraId="2C11087D">
      <w:pPr>
        <w:pStyle w:val="2"/>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8"/>
          <w:szCs w:val="28"/>
          <w:lang w:val="en-US" w:eastAsia="zh-CN"/>
        </w:rPr>
      </w:pPr>
      <w:r>
        <w:rPr>
          <w:rFonts w:hint="eastAsia"/>
          <w:sz w:val="28"/>
          <w:szCs w:val="28"/>
          <w:lang w:val="en-US" w:eastAsia="zh-CN"/>
        </w:rPr>
        <w:t>研究背景</w:t>
      </w:r>
    </w:p>
    <w:p w14:paraId="55D4AEEC">
      <w:pPr>
        <w:pStyle w:val="12"/>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在“双新”背景下，培养学生在真实情境中运用英语进行交流的能力已成为初中英语教学的重要目标。《</w:t>
      </w:r>
      <w:r>
        <w:rPr>
          <w:rFonts w:hint="eastAsia" w:asciiTheme="minorEastAsia" w:hAnsiTheme="minorEastAsia" w:eastAsiaTheme="minorEastAsia" w:cstheme="minorEastAsia"/>
          <w:sz w:val="24"/>
          <w:szCs w:val="24"/>
          <w:lang w:val="en-US" w:eastAsia="zh-CN"/>
        </w:rPr>
        <w:t>课标</w:t>
      </w:r>
      <w:r>
        <w:rPr>
          <w:rFonts w:hint="eastAsia" w:asciiTheme="minorEastAsia" w:hAnsiTheme="minorEastAsia" w:eastAsiaTheme="minorEastAsia" w:cstheme="minorEastAsia"/>
          <w:sz w:val="24"/>
          <w:szCs w:val="24"/>
        </w:rPr>
        <w:t>》将语言能力作为核心素养的重要组成部分，强调学生应能够围绕主题开展交流，并借助适当策略维持交际顺利进行。</w:t>
      </w:r>
    </w:p>
    <w:p w14:paraId="4156170C">
      <w:pPr>
        <w:pStyle w:val="12"/>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然而在日常教学中，教师往往更加关注词汇、句型和语法等语言知识的学习，而对交际策略的培养关注不足。笔者发现，不少学生在口语活动中一旦遇到不会表达的词汇，便出现停顿、沉默、求助同伴或直接使用中文等现象，导致交流中断。这表明，影响学生口语表达的不仅是语言知识储备，更在于缺乏应对语言障碍的策略意识。</w:t>
      </w:r>
    </w:p>
    <w:p w14:paraId="2A2F545C">
      <w:pPr>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val="en-US" w:eastAsia="zh-CN" w:bidi="ar"/>
        </w:rPr>
        <w:t xml:space="preserve">本课例选自沪教版《英语》八年级上册 </w:t>
      </w:r>
      <w:r>
        <w:rPr>
          <w:rFonts w:hint="default" w:ascii="Times New Roman" w:hAnsi="Times New Roman" w:cs="Times New Roman" w:eastAsiaTheme="minorEastAsia"/>
          <w:kern w:val="0"/>
          <w:sz w:val="24"/>
          <w:szCs w:val="24"/>
          <w:lang w:val="en-US" w:eastAsia="zh-CN" w:bidi="ar"/>
        </w:rPr>
        <w:t>Unit 4 Then and Now</w:t>
      </w:r>
      <w:r>
        <w:rPr>
          <w:rFonts w:hint="eastAsia" w:asciiTheme="minorEastAsia" w:hAnsiTheme="minorEastAsia" w:eastAsiaTheme="minorEastAsia" w:cstheme="minorEastAsia"/>
          <w:kern w:val="0"/>
          <w:sz w:val="24"/>
          <w:szCs w:val="24"/>
          <w:lang w:val="en-US" w:eastAsia="zh-CN" w:bidi="ar"/>
        </w:rPr>
        <w:t>。该单元围绕“过去与现在的变化”这一主题展开，引导学生通过了解旧物件、生活方式和社会发展变化，感受时代变迁。语篇“</w:t>
      </w:r>
      <w:r>
        <w:rPr>
          <w:rFonts w:hint="default" w:ascii="Times New Roman" w:hAnsi="Times New Roman" w:cs="Times New Roman" w:eastAsiaTheme="minorEastAsia"/>
          <w:kern w:val="0"/>
          <w:sz w:val="24"/>
          <w:szCs w:val="24"/>
          <w:lang w:val="en-US" w:eastAsia="zh-CN" w:bidi="ar"/>
        </w:rPr>
        <w:t>Old Things from Old Days</w:t>
      </w:r>
      <w:r>
        <w:rPr>
          <w:rFonts w:hint="eastAsia" w:asciiTheme="minorEastAsia" w:hAnsiTheme="minorEastAsia" w:eastAsiaTheme="minorEastAsia" w:cstheme="minorEastAsia"/>
          <w:kern w:val="0"/>
          <w:sz w:val="24"/>
          <w:szCs w:val="24"/>
          <w:lang w:val="en-US" w:eastAsia="zh-CN" w:bidi="ar"/>
        </w:rPr>
        <w:t>”属于单元口语板块，学生需要围绕老物件展开描述与交流。在实际教学中，笔者发现学生在介绍教材外老物件时，常因词汇缺失而中断表达。基于这一问题，笔者尝试将补偿策略教学融入课堂，引导学生通过描述性替代等方式维持交际，探索补偿策略培养的有效路径。</w:t>
      </w:r>
    </w:p>
    <w:p w14:paraId="2664B25D">
      <w:pPr>
        <w:pStyle w:val="2"/>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8"/>
          <w:szCs w:val="28"/>
          <w:lang w:val="en-US" w:eastAsia="zh-CN"/>
        </w:rPr>
      </w:pPr>
      <w:r>
        <w:rPr>
          <w:rFonts w:hint="eastAsia"/>
          <w:sz w:val="28"/>
          <w:szCs w:val="28"/>
          <w:lang w:val="en-US" w:eastAsia="zh-CN"/>
        </w:rPr>
        <w:t>补偿策略教学的理论依据</w:t>
      </w:r>
    </w:p>
    <w:p w14:paraId="7E892E55">
      <w:pPr>
        <w:pStyle w:val="4"/>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《课标》对交际策略的定位</w:t>
      </w:r>
    </w:p>
    <w:p w14:paraId="2E29BF9E">
      <w:pPr>
        <w:pStyle w:val="12"/>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课标》将语言能力列为核心素养的首要维度，明确指出语言能力不仅涵盖语言知识与语言技能，还包括交际策略的运用。在"语言技能"课程内容中，《课标》对三级（7—9年级）口语目标提出具体要求，强调学生应能"围绕相关主题，运用所学语言与他人进行日常交流"，表达"较为连贯"，并能在交际中借助适当策略维持交际的顺利进行</w:t>
      </w:r>
      <w:r>
        <w:rPr>
          <w:rFonts w:hint="eastAsia" w:asciiTheme="minorEastAsia" w:hAnsiTheme="minorEastAsia" w:eastAsiaTheme="minorEastAsia" w:cstheme="minorEastAsia"/>
          <w:sz w:val="24"/>
          <w:szCs w:val="24"/>
          <w:highlight w:val="none"/>
        </w:rPr>
        <w:t>（教育部，2022）。这</w:t>
      </w:r>
      <w:r>
        <w:rPr>
          <w:rFonts w:hint="eastAsia" w:asciiTheme="minorEastAsia" w:hAnsiTheme="minorEastAsia" w:eastAsiaTheme="minorEastAsia" w:cstheme="minorEastAsia"/>
          <w:sz w:val="24"/>
          <w:szCs w:val="24"/>
        </w:rPr>
        <w:t>一表述明确了交际策略是口语能力达标的内在构成要素，而非可选的附加技能。</w:t>
      </w:r>
    </w:p>
    <w:p w14:paraId="1E08B16B">
      <w:pPr>
        <w:pStyle w:val="12"/>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学习活动观的框架下，《课标》将应用实践类活动界定为从学习理解过渡至迁移创新的关键环节，其核心在于引导学生内化所学语言和文化知识，并运用所学解决真实情境中的问题（教育部，2022）。这意味着，口语课的教学目标不应止步于"说得正确"，更应指向学生在遭遇词汇障碍时能否灵活调用策略、维持对话连贯推进，而非依赖完整词汇的储备。然而，在当前初中英语口语教学实践中，交际策略的指导往往缺席，学生一旦遇障便陷入沉默，课标所期待的真实运用难以落地。</w:t>
      </w:r>
    </w:p>
    <w:p w14:paraId="24DB25FC">
      <w:pPr>
        <w:pStyle w:val="4"/>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补偿策略的内涵与价值</w:t>
      </w:r>
    </w:p>
    <w:p w14:paraId="136A0D99">
      <w:pPr>
        <w:pStyle w:val="12"/>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rPr>
        <w:t>交</w:t>
      </w:r>
      <w:r>
        <w:rPr>
          <w:rFonts w:hint="eastAsia" w:asciiTheme="minorEastAsia" w:hAnsiTheme="minorEastAsia" w:eastAsiaTheme="minorEastAsia" w:cstheme="minorEastAsia"/>
          <w:sz w:val="24"/>
          <w:szCs w:val="24"/>
          <w:highlight w:val="none"/>
        </w:rPr>
        <w:t>际策略是指学习者在口语交际过程中，因语言资源不足而遭遇表达障碍时，为维持交际顺利进行所采用的各类应对手段。</w:t>
      </w:r>
      <w:r>
        <w:rPr>
          <w:rFonts w:hint="eastAsia" w:asciiTheme="minorEastAsia" w:hAnsiTheme="minorEastAsia" w:eastAsiaTheme="minorEastAsia" w:cstheme="minorEastAsia"/>
          <w:sz w:val="24"/>
          <w:szCs w:val="24"/>
          <w:highlight w:val="none"/>
          <w:lang w:val="en-US" w:eastAsia="zh-CN"/>
        </w:rPr>
        <w:t>交际策略分为：回避策略和补偿策略（</w:t>
      </w:r>
      <w:r>
        <w:rPr>
          <w:rFonts w:hint="eastAsia" w:ascii="Times New Roman" w:hAnsi="Times New Roman" w:cs="Times New Roman" w:eastAsiaTheme="minorEastAsia"/>
          <w:kern w:val="0"/>
          <w:sz w:val="24"/>
          <w:szCs w:val="24"/>
          <w:lang w:val="en-US" w:eastAsia="zh-CN" w:bidi="ar"/>
        </w:rPr>
        <w:t>Faerch &amp; Kasper</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1983）</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前者</w:t>
      </w:r>
      <w:r>
        <w:rPr>
          <w:rFonts w:hint="eastAsia" w:asciiTheme="minorEastAsia" w:hAnsiTheme="minorEastAsia" w:eastAsiaTheme="minorEastAsia" w:cstheme="minorEastAsia"/>
          <w:sz w:val="24"/>
          <w:szCs w:val="24"/>
          <w:highlight w:val="none"/>
        </w:rPr>
        <w:t>指学习者选择放弃表达意图</w:t>
      </w:r>
      <w:r>
        <w:rPr>
          <w:rFonts w:hint="eastAsia" w:asciiTheme="minorEastAsia" w:hAnsiTheme="minorEastAsia" w:eastAsiaTheme="minorEastAsia" w:cstheme="minorEastAsia"/>
          <w:sz w:val="24"/>
          <w:szCs w:val="24"/>
          <w:highlight w:val="none"/>
          <w:lang w:val="en-US" w:eastAsia="zh-CN"/>
        </w:rPr>
        <w:t>以规避困难</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后者指主动调动已有语言资源，寻求替代方案完成交际目标。</w:t>
      </w:r>
    </w:p>
    <w:p w14:paraId="158BBBB1">
      <w:pPr>
        <w:keepNext w:val="0"/>
        <w:keepLines w:val="0"/>
        <w:widowControl/>
        <w:suppressLineNumbers w:val="0"/>
        <w:ind w:firstLine="480" w:firstLineChars="200"/>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在初中英语口语教学的语境下，补偿策略更具实践价值。</w:t>
      </w:r>
      <w:r>
        <w:rPr>
          <w:rFonts w:ascii="宋体" w:hAnsi="宋体" w:eastAsia="宋体" w:cs="宋体"/>
          <w:kern w:val="0"/>
          <w:sz w:val="24"/>
          <w:szCs w:val="24"/>
          <w:lang w:val="en-US" w:eastAsia="zh-CN" w:bidi="ar"/>
        </w:rPr>
        <w:t>对初中生而言，策略意识的建立尤为关键。它不仅是一种语言技能，更是支撑交际信心、减少表达焦虑、鼓励主动开口的重要心理基础（刘道义，2017）。当学生意识到“不会说”并不意味着“不能说”时，其参与口语交际的意愿和持续表达的信心也会随之增强。</w:t>
      </w:r>
      <w:r>
        <w:rPr>
          <w:rFonts w:hint="eastAsia" w:asciiTheme="minorEastAsia" w:hAnsiTheme="minorEastAsia" w:eastAsiaTheme="minorEastAsia" w:cstheme="minorEastAsia"/>
          <w:sz w:val="24"/>
          <w:szCs w:val="24"/>
          <w:highlight w:val="none"/>
        </w:rPr>
        <w:t>然而，在外语学习情境下，学习者往往缺乏主动运用补偿策略的意识，遇障时本能地选择沉默或切换</w:t>
      </w:r>
      <w:r>
        <w:rPr>
          <w:rFonts w:hint="eastAsia" w:asciiTheme="minorEastAsia" w:hAnsiTheme="minorEastAsia" w:cstheme="minorEastAsia"/>
          <w:sz w:val="24"/>
          <w:szCs w:val="24"/>
          <w:highlight w:val="none"/>
          <w:lang w:val="en-US" w:eastAsia="zh-CN"/>
        </w:rPr>
        <w:t>中文</w:t>
      </w:r>
      <w:r>
        <w:rPr>
          <w:rFonts w:hint="eastAsia" w:asciiTheme="minorEastAsia" w:hAnsiTheme="minorEastAsia" w:eastAsiaTheme="minorEastAsia" w:cstheme="minorEastAsia"/>
          <w:sz w:val="24"/>
          <w:szCs w:val="24"/>
          <w:highlight w:val="none"/>
        </w:rPr>
        <w:t>，交际链随之断裂。这恰恰说明补偿策略难以依赖自然习得，需要通过系统的显性教学加以培养</w:t>
      </w:r>
      <w:r>
        <w:rPr>
          <w:rFonts w:hint="eastAsia" w:asciiTheme="minorEastAsia" w:hAnsiTheme="minorEastAsia" w:eastAsiaTheme="minorEastAsia" w:cstheme="minorEastAsia"/>
          <w:sz w:val="24"/>
          <w:szCs w:val="24"/>
          <w:highlight w:val="none"/>
          <w:lang w:eastAsia="zh-CN"/>
        </w:rPr>
        <w:t>（</w:t>
      </w:r>
      <w:r>
        <w:rPr>
          <w:rFonts w:hint="eastAsia" w:ascii="Times New Roman" w:hAnsi="Times New Roman" w:cs="Times New Roman" w:eastAsiaTheme="minorEastAsia"/>
          <w:kern w:val="0"/>
          <w:sz w:val="24"/>
          <w:szCs w:val="24"/>
          <w:lang w:val="en-US" w:eastAsia="zh-CN" w:bidi="ar"/>
        </w:rPr>
        <w:t>Dörnyei</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1995</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w:t>
      </w:r>
    </w:p>
    <w:p w14:paraId="12480E8E">
      <w:pPr>
        <w:pStyle w:val="4"/>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补偿策略需要教学干预</w:t>
      </w:r>
    </w:p>
    <w:p w14:paraId="783CEE32">
      <w:pPr>
        <w:pStyle w:val="12"/>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在自然语言环境中，母语者通过大量真实交际逐渐内化交际策略，这一过程往往是无意识的。然而，在外语学习情境下，学习者缺乏真实交际的浸泡环境，课堂成为语言输出的主要场所。外语学习者的交际策略使用能力并不会随语言水平的提升自然生长，若缺乏针对性的教学介入</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学生即便接触了大量语篇示范，也难以在真实交际中主动调用相应策略</w:t>
      </w:r>
      <w:r>
        <w:rPr>
          <w:rFonts w:hint="eastAsia" w:asciiTheme="minorEastAsia" w:hAnsiTheme="minorEastAsia" w:eastAsiaTheme="minorEastAsia" w:cstheme="minorEastAsia"/>
          <w:sz w:val="24"/>
          <w:szCs w:val="24"/>
          <w:highlight w:val="none"/>
          <w:lang w:eastAsia="zh-CN"/>
        </w:rPr>
        <w:t>（</w:t>
      </w:r>
      <w:r>
        <w:rPr>
          <w:rFonts w:hint="eastAsia" w:ascii="Times New Roman" w:hAnsi="Times New Roman" w:cs="Times New Roman" w:eastAsiaTheme="minorEastAsia"/>
          <w:kern w:val="0"/>
          <w:sz w:val="24"/>
          <w:szCs w:val="24"/>
          <w:lang w:val="en-US" w:eastAsia="zh-CN" w:bidi="ar"/>
        </w:rPr>
        <w:t>Dörnyei</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1995）。这一结论</w:t>
      </w:r>
      <w:r>
        <w:rPr>
          <w:rFonts w:hint="eastAsia" w:asciiTheme="minorEastAsia" w:hAnsiTheme="minorEastAsia" w:eastAsiaTheme="minorEastAsia" w:cstheme="minorEastAsia"/>
          <w:sz w:val="24"/>
          <w:szCs w:val="24"/>
          <w:highlight w:val="none"/>
          <w:lang w:val="en-US" w:eastAsia="zh-CN"/>
        </w:rPr>
        <w:t>表明教师有必要通过有意识的教学并运用补偿策略。</w:t>
      </w:r>
    </w:p>
    <w:p w14:paraId="6D987B55">
      <w:pPr>
        <w:pStyle w:val="2"/>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8"/>
          <w:szCs w:val="28"/>
          <w:lang w:val="en-US" w:eastAsia="zh-CN"/>
        </w:rPr>
      </w:pPr>
      <w:r>
        <w:rPr>
          <w:rFonts w:hint="eastAsia"/>
          <w:sz w:val="28"/>
          <w:szCs w:val="28"/>
        </w:rPr>
        <w:t>补偿策略教学的实施路径</w:t>
      </w:r>
    </w:p>
    <w:p w14:paraId="73E167D6">
      <w:pPr>
        <w:pStyle w:val="12"/>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笔者在前测中发现，首次教学后角色扮演环节共完成5组对话，选用教材外物件的2组均在遭遇词汇障碍后出现明显中断，表现为沉默超过5秒、切换中文或放弃任务。进一步分析表明，学生基础语言能力并非制约因素，问题的实质在于缺乏遇障绕行的策略意识。为此，笔者在调整后的教学中围绕以下三个环节系统</w:t>
      </w:r>
      <w:r>
        <w:rPr>
          <w:rFonts w:hint="eastAsia" w:asciiTheme="minorEastAsia" w:hAnsiTheme="minorEastAsia" w:eastAsiaTheme="minorEastAsia" w:cstheme="minorEastAsia"/>
          <w:sz w:val="24"/>
          <w:szCs w:val="24"/>
          <w:lang w:val="en-US" w:eastAsia="zh-CN"/>
        </w:rPr>
        <w:t>加</w:t>
      </w:r>
      <w:r>
        <w:rPr>
          <w:rFonts w:hint="eastAsia" w:asciiTheme="minorEastAsia" w:hAnsiTheme="minorEastAsia" w:eastAsiaTheme="minorEastAsia" w:cstheme="minorEastAsia"/>
          <w:sz w:val="24"/>
          <w:szCs w:val="24"/>
        </w:rPr>
        <w:t>入补偿策略教学。</w:t>
      </w:r>
    </w:p>
    <w:p w14:paraId="3201F81B">
      <w:pPr>
        <w:pStyle w:val="4"/>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依托语篇示范，引导</w:t>
      </w:r>
      <w:r>
        <w:rPr>
          <w:rFonts w:hint="eastAsia" w:asciiTheme="minorEastAsia" w:hAnsiTheme="minorEastAsia" w:eastAsiaTheme="minorEastAsia" w:cstheme="minorEastAsia"/>
          <w:sz w:val="24"/>
          <w:szCs w:val="24"/>
          <w:lang w:val="en-US" w:eastAsia="zh-CN"/>
        </w:rPr>
        <w:t>策略发现</w:t>
      </w:r>
    </w:p>
    <w:p w14:paraId="3B4A3E0F">
      <w:pPr>
        <w:pStyle w:val="1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课文语篇本身即蕴含补偿策略的真实示范。</w:t>
      </w:r>
      <w:r>
        <w:rPr>
          <w:rFonts w:hint="default" w:ascii="Times New Roman" w:hAnsi="Times New Roman" w:cs="Times New Roman" w:eastAsiaTheme="minorEastAsia"/>
          <w:sz w:val="24"/>
          <w:szCs w:val="24"/>
        </w:rPr>
        <w:t>Harry</w:t>
      </w:r>
      <w:r>
        <w:rPr>
          <w:rFonts w:hint="eastAsia" w:asciiTheme="minorEastAsia" w:hAnsiTheme="minorEastAsia" w:eastAsiaTheme="minorEastAsia" w:cstheme="minorEastAsia"/>
          <w:sz w:val="24"/>
          <w:szCs w:val="24"/>
        </w:rPr>
        <w:t>初见磁带时</w:t>
      </w:r>
      <w:r>
        <w:rPr>
          <w:rFonts w:hint="eastAsia" w:asciiTheme="minorEastAsia" w:hAnsiTheme="minorEastAsia" w:cstheme="minorEastAsia"/>
          <w:sz w:val="24"/>
          <w:szCs w:val="24"/>
          <w:lang w:val="en-US" w:eastAsia="zh-CN"/>
        </w:rPr>
        <w:t>不会表达</w:t>
      </w:r>
      <w:r>
        <w:rPr>
          <w:rFonts w:hint="eastAsia" w:asciiTheme="minorEastAsia" w:hAnsiTheme="minorEastAsia" w:eastAsiaTheme="minorEastAsia" w:cstheme="minorEastAsia"/>
          <w:sz w:val="24"/>
          <w:szCs w:val="24"/>
        </w:rPr>
        <w:t>，便以</w:t>
      </w:r>
      <w:r>
        <w:rPr>
          <w:rFonts w:hint="eastAsia" w:ascii="Times New Roman" w:hAnsi="Times New Roman" w:cs="Times New Roman" w:eastAsiaTheme="minorEastAsia"/>
          <w:kern w:val="0"/>
          <w:sz w:val="24"/>
          <w:szCs w:val="24"/>
          <w:lang w:val="en-US" w:eastAsia="zh-CN" w:bidi="ar"/>
        </w:rPr>
        <w:t>little squares</w:t>
      </w:r>
      <w:r>
        <w:rPr>
          <w:rFonts w:hint="eastAsia" w:asciiTheme="minorEastAsia" w:hAnsiTheme="minorEastAsia" w:eastAsiaTheme="minorEastAsia" w:cstheme="minorEastAsia"/>
          <w:sz w:val="24"/>
          <w:szCs w:val="24"/>
        </w:rPr>
        <w:t>加以描述，完成了意义传递。这一细节是补偿策略教学的天然切入点，但在首次教学中，笔者仅将其作为语言知识点一带而过，学生未能将其与策略建立关联，自然无法迁移运用。</w:t>
      </w:r>
    </w:p>
    <w:p w14:paraId="3EE14E11">
      <w:pPr>
        <w:keepNext w:val="0"/>
        <w:keepLines w:val="0"/>
        <w:widowControl/>
        <w:suppressLineNumbers w:val="0"/>
        <w:ind w:firstLine="480" w:firstLineChars="200"/>
        <w:jc w:val="left"/>
        <w:rPr>
          <w:rFonts w:hint="eastAsia" w:asciiTheme="minorEastAsia" w:hAnsiTheme="minorEastAsia" w:eastAsiaTheme="minorEastAsia" w:cstheme="minorEastAsia"/>
          <w:kern w:val="0"/>
          <w:sz w:val="24"/>
          <w:szCs w:val="24"/>
          <w:lang w:val="en-US" w:eastAsia="zh-CN" w:bidi="ar"/>
        </w:rPr>
      </w:pPr>
      <w:r>
        <w:rPr>
          <w:rFonts w:hint="eastAsia" w:asciiTheme="minorEastAsia" w:hAnsiTheme="minorEastAsia" w:eastAsiaTheme="minorEastAsia" w:cstheme="minorEastAsia"/>
          <w:sz w:val="24"/>
          <w:szCs w:val="24"/>
        </w:rPr>
        <w:t>调整后，笔者将该细节设为教学</w:t>
      </w:r>
      <w:r>
        <w:rPr>
          <w:rFonts w:hint="eastAsia" w:asciiTheme="minorEastAsia" w:hAnsiTheme="minorEastAsia" w:cstheme="minorEastAsia"/>
          <w:sz w:val="24"/>
          <w:szCs w:val="24"/>
          <w:lang w:val="en-US" w:eastAsia="zh-CN"/>
        </w:rPr>
        <w:t>重</w:t>
      </w:r>
      <w:r>
        <w:rPr>
          <w:rFonts w:hint="eastAsia" w:asciiTheme="minorEastAsia" w:hAnsiTheme="minorEastAsia" w:eastAsiaTheme="minorEastAsia" w:cstheme="minorEastAsia"/>
          <w:sz w:val="24"/>
          <w:szCs w:val="24"/>
        </w:rPr>
        <w:t>点，引导学生经历发现—归纳—迁移的认知过程。</w:t>
      </w:r>
      <w:r>
        <w:rPr>
          <w:rFonts w:ascii="宋体" w:hAnsi="宋体" w:eastAsia="宋体" w:cs="宋体"/>
          <w:kern w:val="0"/>
          <w:sz w:val="24"/>
          <w:szCs w:val="24"/>
          <w:lang w:val="en-US" w:eastAsia="zh-CN" w:bidi="ar"/>
        </w:rPr>
        <w:t>教师通过引导学生关注Harry面对词汇缺失时的表达方式，帮助学生发现描述性替代策略，并归纳出从外形、用途等维度进行替代表达的方法</w:t>
      </w:r>
      <w:r>
        <w:rPr>
          <w:rFonts w:hint="eastAsia" w:asciiTheme="minorEastAsia" w:hAnsiTheme="minorEastAsia" w:eastAsiaTheme="minorEastAsia" w:cstheme="minorEastAsia"/>
          <w:sz w:val="24"/>
          <w:szCs w:val="24"/>
        </w:rPr>
        <w:t>。学生由此认识到，当目标词汇缺失时，可以利用已有语言资源进行替代表达，从而实现交际目的。</w:t>
      </w:r>
    </w:p>
    <w:p w14:paraId="350797ED">
      <w:pPr>
        <w:pStyle w:val="4"/>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0"/>
          <w:sz w:val="24"/>
          <w:szCs w:val="24"/>
          <w:lang w:val="en-US" w:eastAsia="zh-CN" w:bidi="ar"/>
        </w:rPr>
      </w:pPr>
      <w:r>
        <w:rPr>
          <w:rFonts w:hint="eastAsia" w:asciiTheme="minorEastAsia" w:hAnsiTheme="minorEastAsia" w:eastAsiaTheme="minorEastAsia" w:cstheme="minorEastAsia"/>
          <w:kern w:val="0"/>
          <w:sz w:val="24"/>
          <w:szCs w:val="24"/>
          <w:lang w:val="en-US" w:eastAsia="zh-CN" w:bidi="ar"/>
        </w:rPr>
        <w:t>创设交际障碍，促进策略迁移</w:t>
      </w:r>
    </w:p>
    <w:p w14:paraId="568A6FEA">
      <w:pPr>
        <w:pageBreakBefore w:val="0"/>
        <w:kinsoku/>
        <w:wordWrap/>
        <w:overflowPunct/>
        <w:topLinePunct w:val="0"/>
        <w:autoSpaceDE/>
        <w:autoSpaceDN/>
        <w:bidi w:val="0"/>
        <w:adjustRightInd/>
        <w:snapToGrid/>
        <w:spacing w:before="0" w:after="0" w:line="240" w:lineRule="auto"/>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val="en-US" w:eastAsia="zh-CN" w:bidi="ar"/>
        </w:rPr>
        <w:t>初中口语课堂中，学生常会因词汇、话题储备不足出现表达受阻的情况，而任务驱动活动可帮助学生突破交流困境（席芹芹，2016）。</w:t>
      </w:r>
      <w:r>
        <w:rPr>
          <w:rFonts w:hint="eastAsia" w:asciiTheme="minorEastAsia" w:hAnsiTheme="minorEastAsia" w:eastAsiaTheme="minorEastAsia" w:cstheme="minorEastAsia"/>
          <w:sz w:val="24"/>
          <w:szCs w:val="24"/>
        </w:rPr>
        <w:t>策略意识的内化，需要在真实的交际压力下完成。笔者在口语输出环节借助AI数字人对话平台，设计了禁词描述猜物任务：学生从教师提供的老物件图片中随机抽取一张，不得直接说出物件名称，须以描述性语言向</w:t>
      </w:r>
      <w:r>
        <w:rPr>
          <w:rFonts w:hint="eastAsia" w:ascii="Times New Roman" w:hAnsi="Times New Roman" w:cs="Times New Roman" w:eastAsiaTheme="minorEastAsia"/>
          <w:kern w:val="0"/>
          <w:sz w:val="24"/>
          <w:szCs w:val="24"/>
          <w:lang w:val="en-US" w:eastAsia="zh-CN" w:bidi="ar"/>
        </w:rPr>
        <w:t>AI</w:t>
      </w:r>
      <w:r>
        <w:rPr>
          <w:rFonts w:hint="eastAsia" w:asciiTheme="minorEastAsia" w:hAnsiTheme="minorEastAsia" w:eastAsiaTheme="minorEastAsia" w:cstheme="minorEastAsia"/>
          <w:sz w:val="24"/>
          <w:szCs w:val="24"/>
        </w:rPr>
        <w:t>数字人说明该物件的外形、材质、用途，由对方猜出答案。任务规则本身构成了词汇障碍情境，迫使学生必须运用补偿策略方能完成交际目标。</w:t>
      </w:r>
    </w:p>
    <w:p w14:paraId="1D60ADBF">
      <w:pPr>
        <w:keepNext w:val="0"/>
        <w:keepLines w:val="0"/>
        <w:widowControl/>
        <w:suppressLineNumbers w:val="0"/>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任务设计中有两点值得关注。其一，信息差的设置使策略运用成为完成任务的唯一路径，而非可选的辅助手段，从结构上保证了策略的真实调用。其二，</w:t>
      </w:r>
      <w:r>
        <w:rPr>
          <w:rFonts w:ascii="宋体" w:hAnsi="宋体" w:eastAsia="宋体" w:cs="宋体"/>
          <w:kern w:val="0"/>
          <w:sz w:val="24"/>
          <w:szCs w:val="24"/>
          <w:lang w:val="en-US" w:eastAsia="zh-CN" w:bidi="ar"/>
        </w:rPr>
        <w:t>AI数字人能够营造真实而轻松的交际环境，学习者与其交流时不会因出错而产生焦虑，有助于保持交流的信心和动力（付永庆，2024）</w:t>
      </w:r>
      <w:r>
        <w:rPr>
          <w:rFonts w:hint="eastAsia" w:asciiTheme="minorEastAsia" w:hAnsiTheme="minorEastAsia" w:eastAsiaTheme="minorEastAsia" w:cstheme="minorEastAsia"/>
          <w:sz w:val="24"/>
          <w:szCs w:val="24"/>
        </w:rPr>
        <w:t>。例如，抽到算盘的学生表达：</w:t>
      </w:r>
      <w:r>
        <w:rPr>
          <w:rFonts w:hint="eastAsia" w:ascii="Times New Roman" w:hAnsi="Times New Roman" w:cs="Times New Roman" w:eastAsiaTheme="minorEastAsia"/>
          <w:kern w:val="0"/>
          <w:sz w:val="24"/>
          <w:szCs w:val="24"/>
          <w:lang w:val="en-US" w:eastAsia="zh-CN" w:bidi="ar"/>
        </w:rPr>
        <w:t xml:space="preserve">It is a thing with many small balls on it. You move the balls up and down. People used it to count numbers. </w:t>
      </w:r>
      <w:r>
        <w:rPr>
          <w:rFonts w:hint="eastAsia" w:asciiTheme="minorEastAsia" w:hAnsiTheme="minorEastAsia" w:eastAsiaTheme="minorEastAsia" w:cstheme="minorEastAsia"/>
          <w:sz w:val="24"/>
          <w:szCs w:val="24"/>
        </w:rPr>
        <w:t>对方成功猜出后，对话顺势推进，完整的交际闭环随之形成。</w:t>
      </w:r>
    </w:p>
    <w:p w14:paraId="6D4328F1">
      <w:pPr>
        <w:pStyle w:val="4"/>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优化评价标准，强化策略内化</w:t>
      </w:r>
    </w:p>
    <w:p w14:paraId="4B63C841">
      <w:pPr>
        <w:pStyle w:val="1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评价导向对学生行为具有深层塑造作用。为使补偿策略的培养贯穿教学全过程，笔者在原有口语评价量表的基础上增设交际维持维度，明确将策略运用纳入可观测、可评价的范畴，具体描述为</w:t>
      </w:r>
      <w:r>
        <w:rPr>
          <w:rFonts w:hint="eastAsia" w:asciiTheme="minorEastAsia" w:hAnsiTheme="minorEastAsia" w:eastAsiaTheme="minorEastAsia" w:cstheme="minorEastAsia"/>
          <w:sz w:val="24"/>
          <w:szCs w:val="24"/>
          <w:lang w:eastAsia="zh-CN"/>
        </w:rPr>
        <w:t>“</w:t>
      </w:r>
      <w:r>
        <w:rPr>
          <w:rFonts w:hint="eastAsia" w:ascii="Times New Roman" w:hAnsi="Times New Roman" w:cs="Times New Roman" w:eastAsiaTheme="minorEastAsia"/>
          <w:kern w:val="0"/>
          <w:sz w:val="24"/>
          <w:szCs w:val="24"/>
          <w:lang w:val="en-US" w:eastAsia="zh-CN" w:bidi="ar"/>
        </w:rPr>
        <w:t>describe shapes or other features of an old thing if you do</w:t>
      </w:r>
      <w:r>
        <w:rPr>
          <w:rFonts w:hint="eastAsia" w:ascii="Times New Roman" w:hAnsi="Times New Roman" w:cs="Times New Roman"/>
          <w:kern w:val="0"/>
          <w:sz w:val="24"/>
          <w:szCs w:val="24"/>
          <w:lang w:val="en-US" w:eastAsia="zh-CN" w:bidi="ar"/>
        </w:rPr>
        <w:t>n'</w:t>
      </w:r>
      <w:r>
        <w:rPr>
          <w:rFonts w:hint="eastAsia" w:ascii="Times New Roman" w:hAnsi="Times New Roman" w:cs="Times New Roman" w:eastAsiaTheme="minorEastAsia"/>
          <w:kern w:val="0"/>
          <w:sz w:val="24"/>
          <w:szCs w:val="24"/>
          <w:lang w:val="en-US" w:eastAsia="zh-CN" w:bidi="ar"/>
        </w:rPr>
        <w:t>t know the name of it</w:t>
      </w:r>
      <w:r>
        <w:rPr>
          <w:rFonts w:hint="eastAsia" w:asciiTheme="minorEastAsia" w:hAnsiTheme="minorEastAsia" w:eastAsiaTheme="minorEastAsia" w:cstheme="minorEastAsia"/>
          <w:sz w:val="24"/>
          <w:szCs w:val="24"/>
          <w:lang w:eastAsia="zh-CN"/>
        </w:rPr>
        <w:t>”</w:t>
      </w:r>
      <w:r>
        <w:rPr>
          <w:rFonts w:hint="eastAsia" w:asciiTheme="minorEastAsia" w:hAnsiTheme="minorEastAsia" w:cstheme="minorEastAsia"/>
          <w:sz w:val="24"/>
          <w:szCs w:val="24"/>
          <w:lang w:eastAsia="zh-CN"/>
        </w:rPr>
        <w:t>。</w:t>
      </w:r>
    </w:p>
    <w:p w14:paraId="6EDE227F">
      <w:pPr>
        <w:pStyle w:val="1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生生互评环节，学生依据该量表对同伴的口语表现进行评价。当学生需要判断对方是否尝试绕开障碍时，他们同时在内化这一行为标准。评价标准的调整使补偿策略由隐性要求转变为显性目标，进一步强化了学生的策略意识。</w:t>
      </w:r>
    </w:p>
    <w:p w14:paraId="73B571C0">
      <w:pPr>
        <w:pStyle w:val="1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480" w:firstLineChars="200"/>
        <w:textAlignment w:val="auto"/>
        <w:rPr>
          <w:rFonts w:hint="eastAsia" w:asciiTheme="minorEastAsia" w:hAnsiTheme="minorEastAsia" w:eastAsiaTheme="minorEastAsia" w:cstheme="minorEastAsia"/>
          <w:sz w:val="24"/>
          <w:szCs w:val="24"/>
        </w:rPr>
      </w:pPr>
    </w:p>
    <w:p w14:paraId="0AA7FBEF">
      <w:pPr>
        <w:pStyle w:val="1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480" w:firstLineChars="200"/>
        <w:textAlignment w:val="auto"/>
        <w:rPr>
          <w:rFonts w:hint="eastAsia" w:asciiTheme="minorEastAsia" w:hAnsiTheme="minorEastAsia" w:eastAsiaTheme="minorEastAsia" w:cstheme="minorEastAsia"/>
          <w:sz w:val="24"/>
          <w:szCs w:val="24"/>
        </w:rPr>
      </w:pPr>
    </w:p>
    <w:p w14:paraId="3E1BCB1A">
      <w:pPr>
        <w:pStyle w:val="2"/>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8"/>
          <w:szCs w:val="28"/>
        </w:rPr>
      </w:pPr>
      <w:r>
        <w:rPr>
          <w:rFonts w:hint="eastAsia"/>
          <w:sz w:val="28"/>
          <w:szCs w:val="28"/>
        </w:rPr>
        <w:t>补偿策略教学的实施成效</w:t>
      </w:r>
    </w:p>
    <w:p w14:paraId="1A001001">
      <w:pPr>
        <w:pageBreakBefore w:val="0"/>
        <w:kinsoku/>
        <w:wordWrap/>
        <w:overflowPunct/>
        <w:topLinePunct w:val="0"/>
        <w:autoSpaceDE/>
        <w:autoSpaceDN/>
        <w:bidi w:val="0"/>
        <w:adjustRightInd/>
        <w:snapToGrid/>
        <w:spacing w:before="0" w:after="0" w:line="240" w:lineRule="auto"/>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经过两轮教学调整，笔者从交际行为表现和策略意识发展两个维度对成效进行了梳理与记录。表1呈现了</w:t>
      </w:r>
      <w:r>
        <w:rPr>
          <w:rFonts w:hint="eastAsia" w:asciiTheme="minorEastAsia" w:hAnsiTheme="minorEastAsia" w:cstheme="minorEastAsia"/>
          <w:sz w:val="24"/>
          <w:szCs w:val="24"/>
          <w:lang w:val="en-US" w:eastAsia="zh-CN"/>
        </w:rPr>
        <w:t>调整</w:t>
      </w:r>
      <w:r>
        <w:rPr>
          <w:rFonts w:hint="eastAsia" w:asciiTheme="minorEastAsia" w:hAnsiTheme="minorEastAsia" w:eastAsiaTheme="minorEastAsia" w:cstheme="minorEastAsia"/>
          <w:sz w:val="24"/>
          <w:szCs w:val="24"/>
        </w:rPr>
        <w:t>前后测核心指标的对比情况。</w:t>
      </w:r>
    </w:p>
    <w:p w14:paraId="611F16F6">
      <w:pPr>
        <w:keepNext w:val="0"/>
        <w:keepLines w:val="0"/>
        <w:widowControl/>
        <w:suppressLineNumbers w:val="0"/>
        <w:ind w:firstLine="480" w:firstLineChars="200"/>
        <w:jc w:val="left"/>
        <w:rPr>
          <w:rFonts w:ascii="宋体" w:hAnsi="宋体" w:eastAsia="宋体" w:cs="宋体"/>
          <w:kern w:val="0"/>
          <w:sz w:val="24"/>
          <w:szCs w:val="24"/>
          <w:lang w:val="en-US" w:eastAsia="zh-CN" w:bidi="ar"/>
        </w:rPr>
      </w:pPr>
    </w:p>
    <w:p w14:paraId="271B8755">
      <w:pPr>
        <w:rPr>
          <w:rFonts w:hint="eastAsia"/>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CD6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99D0E2F">
            <w:pPr>
              <w:jc w:val="center"/>
              <w:rPr>
                <w:rFonts w:hint="eastAsia"/>
                <w:sz w:val="28"/>
                <w:szCs w:val="28"/>
                <w:vertAlign w:val="baseline"/>
              </w:rPr>
            </w:pPr>
            <w:r>
              <w:rPr>
                <w:rFonts w:ascii="宋体" w:hAnsi="宋体" w:eastAsia="宋体" w:cs="宋体"/>
                <w:b/>
                <w:bCs/>
                <w:kern w:val="0"/>
                <w:sz w:val="24"/>
                <w:szCs w:val="24"/>
                <w:lang w:val="en-US" w:eastAsia="zh-CN" w:bidi="ar"/>
              </w:rPr>
              <w:t>指标</w:t>
            </w:r>
          </w:p>
        </w:tc>
        <w:tc>
          <w:tcPr>
            <w:tcW w:w="2841" w:type="dxa"/>
          </w:tcPr>
          <w:p w14:paraId="0B27ACA0">
            <w:pPr>
              <w:jc w:val="center"/>
              <w:rPr>
                <w:rFonts w:hint="eastAsia"/>
                <w:sz w:val="28"/>
                <w:szCs w:val="28"/>
                <w:vertAlign w:val="baseline"/>
              </w:rPr>
            </w:pPr>
            <w:r>
              <w:rPr>
                <w:rFonts w:ascii="宋体" w:hAnsi="宋体" w:eastAsia="宋体" w:cs="宋体"/>
                <w:b/>
                <w:bCs/>
                <w:kern w:val="0"/>
                <w:sz w:val="24"/>
                <w:szCs w:val="24"/>
                <w:lang w:val="en-US" w:eastAsia="zh-CN" w:bidi="ar"/>
              </w:rPr>
              <w:t>调整前</w:t>
            </w:r>
          </w:p>
        </w:tc>
        <w:tc>
          <w:tcPr>
            <w:tcW w:w="2841" w:type="dxa"/>
          </w:tcPr>
          <w:p w14:paraId="1923419E">
            <w:pPr>
              <w:jc w:val="center"/>
              <w:rPr>
                <w:rFonts w:hint="eastAsia"/>
                <w:sz w:val="28"/>
                <w:szCs w:val="28"/>
                <w:vertAlign w:val="baseline"/>
              </w:rPr>
            </w:pPr>
            <w:r>
              <w:rPr>
                <w:rFonts w:ascii="宋体" w:hAnsi="宋体" w:eastAsia="宋体" w:cs="宋体"/>
                <w:b/>
                <w:bCs/>
                <w:kern w:val="0"/>
                <w:sz w:val="24"/>
                <w:szCs w:val="24"/>
                <w:lang w:val="en-US" w:eastAsia="zh-CN" w:bidi="ar"/>
              </w:rPr>
              <w:t>调整后</w:t>
            </w:r>
          </w:p>
        </w:tc>
      </w:tr>
      <w:tr w14:paraId="57B9F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670D254">
            <w:pPr>
              <w:jc w:val="center"/>
              <w:rPr>
                <w:rFonts w:hint="eastAsia"/>
                <w:sz w:val="28"/>
                <w:szCs w:val="28"/>
                <w:vertAlign w:val="baseline"/>
              </w:rPr>
            </w:pPr>
            <w:r>
              <w:rPr>
                <w:rFonts w:ascii="宋体" w:hAnsi="宋体" w:eastAsia="宋体" w:cs="宋体"/>
                <w:kern w:val="0"/>
                <w:sz w:val="24"/>
                <w:szCs w:val="24"/>
                <w:lang w:val="en-US" w:eastAsia="zh-CN" w:bidi="ar"/>
              </w:rPr>
              <w:t>教材外物件组数</w:t>
            </w:r>
          </w:p>
        </w:tc>
        <w:tc>
          <w:tcPr>
            <w:tcW w:w="2841" w:type="dxa"/>
          </w:tcPr>
          <w:p w14:paraId="7D9EB3AE">
            <w:pPr>
              <w:jc w:val="center"/>
              <w:rPr>
                <w:rFonts w:hint="eastAsia"/>
                <w:sz w:val="28"/>
                <w:szCs w:val="28"/>
                <w:vertAlign w:val="baseline"/>
              </w:rPr>
            </w:pPr>
            <w:r>
              <w:rPr>
                <w:rFonts w:ascii="宋体" w:hAnsi="宋体" w:eastAsia="宋体" w:cs="宋体"/>
                <w:kern w:val="0"/>
                <w:sz w:val="24"/>
                <w:szCs w:val="24"/>
                <w:lang w:val="en-US" w:eastAsia="zh-CN" w:bidi="ar"/>
              </w:rPr>
              <w:t>2组</w:t>
            </w:r>
          </w:p>
        </w:tc>
        <w:tc>
          <w:tcPr>
            <w:tcW w:w="2841" w:type="dxa"/>
          </w:tcPr>
          <w:p w14:paraId="4D57DA2F">
            <w:pPr>
              <w:jc w:val="center"/>
              <w:rPr>
                <w:rFonts w:hint="eastAsia"/>
                <w:sz w:val="28"/>
                <w:szCs w:val="28"/>
                <w:vertAlign w:val="baseline"/>
              </w:rPr>
            </w:pPr>
            <w:r>
              <w:rPr>
                <w:rFonts w:ascii="宋体" w:hAnsi="宋体" w:eastAsia="宋体" w:cs="宋体"/>
                <w:kern w:val="0"/>
                <w:sz w:val="24"/>
                <w:szCs w:val="24"/>
                <w:lang w:val="en-US" w:eastAsia="zh-CN" w:bidi="ar"/>
              </w:rPr>
              <w:t>4组</w:t>
            </w:r>
          </w:p>
        </w:tc>
      </w:tr>
      <w:tr w14:paraId="7106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8BDB8FA">
            <w:pPr>
              <w:jc w:val="center"/>
              <w:rPr>
                <w:rFonts w:hint="eastAsia"/>
                <w:sz w:val="28"/>
                <w:szCs w:val="28"/>
                <w:vertAlign w:val="baseline"/>
              </w:rPr>
            </w:pPr>
            <w:r>
              <w:rPr>
                <w:rFonts w:ascii="宋体" w:hAnsi="宋体" w:eastAsia="宋体" w:cs="宋体"/>
                <w:kern w:val="0"/>
                <w:sz w:val="24"/>
                <w:szCs w:val="24"/>
                <w:lang w:val="en-US" w:eastAsia="zh-CN" w:bidi="ar"/>
              </w:rPr>
              <w:t>遇障沉默次数</w:t>
            </w:r>
          </w:p>
        </w:tc>
        <w:tc>
          <w:tcPr>
            <w:tcW w:w="2841" w:type="dxa"/>
          </w:tcPr>
          <w:p w14:paraId="4EEE578F">
            <w:pPr>
              <w:jc w:val="center"/>
              <w:rPr>
                <w:rFonts w:hint="eastAsia"/>
                <w:sz w:val="28"/>
                <w:szCs w:val="28"/>
                <w:vertAlign w:val="baseline"/>
              </w:rPr>
            </w:pPr>
            <w:r>
              <w:rPr>
                <w:rFonts w:ascii="宋体" w:hAnsi="宋体" w:eastAsia="宋体" w:cs="宋体"/>
                <w:kern w:val="0"/>
                <w:sz w:val="24"/>
                <w:szCs w:val="24"/>
                <w:lang w:val="en-US" w:eastAsia="zh-CN" w:bidi="ar"/>
              </w:rPr>
              <w:t>2次</w:t>
            </w:r>
          </w:p>
        </w:tc>
        <w:tc>
          <w:tcPr>
            <w:tcW w:w="2841" w:type="dxa"/>
          </w:tcPr>
          <w:p w14:paraId="3D27B53D">
            <w:pPr>
              <w:jc w:val="center"/>
              <w:rPr>
                <w:rFonts w:hint="eastAsia"/>
                <w:sz w:val="28"/>
                <w:szCs w:val="28"/>
                <w:vertAlign w:val="baseline"/>
              </w:rPr>
            </w:pPr>
            <w:r>
              <w:rPr>
                <w:rFonts w:ascii="宋体" w:hAnsi="宋体" w:eastAsia="宋体" w:cs="宋体"/>
                <w:kern w:val="0"/>
                <w:sz w:val="24"/>
                <w:szCs w:val="24"/>
                <w:lang w:val="en-US" w:eastAsia="zh-CN" w:bidi="ar"/>
              </w:rPr>
              <w:t>0次</w:t>
            </w:r>
          </w:p>
        </w:tc>
      </w:tr>
      <w:tr w14:paraId="3631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D49584B">
            <w:pPr>
              <w:jc w:val="center"/>
              <w:rPr>
                <w:rFonts w:hint="eastAsia"/>
                <w:sz w:val="28"/>
                <w:szCs w:val="28"/>
                <w:vertAlign w:val="baseline"/>
              </w:rPr>
            </w:pPr>
            <w:r>
              <w:rPr>
                <w:rFonts w:ascii="宋体" w:hAnsi="宋体" w:eastAsia="宋体" w:cs="宋体"/>
                <w:kern w:val="0"/>
                <w:sz w:val="24"/>
                <w:szCs w:val="24"/>
                <w:lang w:val="en-US" w:eastAsia="zh-CN" w:bidi="ar"/>
              </w:rPr>
              <w:t>中文切换次数</w:t>
            </w:r>
          </w:p>
        </w:tc>
        <w:tc>
          <w:tcPr>
            <w:tcW w:w="2841" w:type="dxa"/>
          </w:tcPr>
          <w:p w14:paraId="06213CD7">
            <w:pPr>
              <w:jc w:val="center"/>
              <w:rPr>
                <w:rFonts w:hint="eastAsia"/>
                <w:sz w:val="28"/>
                <w:szCs w:val="28"/>
                <w:vertAlign w:val="baseline"/>
              </w:rPr>
            </w:pPr>
            <w:r>
              <w:rPr>
                <w:rFonts w:ascii="宋体" w:hAnsi="宋体" w:eastAsia="宋体" w:cs="宋体"/>
                <w:kern w:val="0"/>
                <w:sz w:val="24"/>
                <w:szCs w:val="24"/>
                <w:lang w:val="en-US" w:eastAsia="zh-CN" w:bidi="ar"/>
              </w:rPr>
              <w:t>2次</w:t>
            </w:r>
          </w:p>
        </w:tc>
        <w:tc>
          <w:tcPr>
            <w:tcW w:w="2841" w:type="dxa"/>
          </w:tcPr>
          <w:p w14:paraId="0EA887A6">
            <w:pPr>
              <w:jc w:val="center"/>
              <w:rPr>
                <w:rFonts w:hint="eastAsia"/>
                <w:sz w:val="28"/>
                <w:szCs w:val="28"/>
                <w:vertAlign w:val="baseline"/>
              </w:rPr>
            </w:pPr>
            <w:r>
              <w:rPr>
                <w:rFonts w:ascii="宋体" w:hAnsi="宋体" w:eastAsia="宋体" w:cs="宋体"/>
                <w:kern w:val="0"/>
                <w:sz w:val="24"/>
                <w:szCs w:val="24"/>
                <w:lang w:val="en-US" w:eastAsia="zh-CN" w:bidi="ar"/>
              </w:rPr>
              <w:t>0次</w:t>
            </w:r>
          </w:p>
        </w:tc>
      </w:tr>
      <w:tr w14:paraId="46D9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8A3858">
            <w:pPr>
              <w:jc w:val="center"/>
              <w:rPr>
                <w:rFonts w:hint="eastAsia"/>
                <w:sz w:val="28"/>
                <w:szCs w:val="28"/>
                <w:vertAlign w:val="baseline"/>
              </w:rPr>
            </w:pPr>
            <w:r>
              <w:rPr>
                <w:rFonts w:ascii="宋体" w:hAnsi="宋体" w:eastAsia="宋体" w:cs="宋体"/>
                <w:kern w:val="0"/>
                <w:sz w:val="24"/>
                <w:szCs w:val="24"/>
                <w:lang w:val="en-US" w:eastAsia="zh-CN" w:bidi="ar"/>
              </w:rPr>
              <w:t>描述性替代使用率</w:t>
            </w:r>
          </w:p>
        </w:tc>
        <w:tc>
          <w:tcPr>
            <w:tcW w:w="2841" w:type="dxa"/>
          </w:tcPr>
          <w:p w14:paraId="3CD0F67A">
            <w:pPr>
              <w:jc w:val="center"/>
              <w:rPr>
                <w:rFonts w:hint="eastAsia"/>
                <w:sz w:val="28"/>
                <w:szCs w:val="28"/>
                <w:vertAlign w:val="baseline"/>
              </w:rPr>
            </w:pPr>
            <w:r>
              <w:rPr>
                <w:rFonts w:ascii="宋体" w:hAnsi="宋体" w:eastAsia="宋体" w:cs="宋体"/>
                <w:kern w:val="0"/>
                <w:sz w:val="24"/>
                <w:szCs w:val="24"/>
                <w:lang w:val="en-US" w:eastAsia="zh-CN" w:bidi="ar"/>
              </w:rPr>
              <w:t>0%</w:t>
            </w:r>
          </w:p>
        </w:tc>
        <w:tc>
          <w:tcPr>
            <w:tcW w:w="2841" w:type="dxa"/>
          </w:tcPr>
          <w:p w14:paraId="77245284">
            <w:pPr>
              <w:jc w:val="center"/>
              <w:rPr>
                <w:rFonts w:hint="eastAsia"/>
                <w:sz w:val="28"/>
                <w:szCs w:val="28"/>
                <w:vertAlign w:val="baseline"/>
              </w:rPr>
            </w:pPr>
            <w:r>
              <w:rPr>
                <w:rFonts w:ascii="宋体" w:hAnsi="宋体" w:eastAsia="宋体" w:cs="宋体"/>
                <w:kern w:val="0"/>
                <w:sz w:val="24"/>
                <w:szCs w:val="24"/>
                <w:lang w:val="en-US" w:eastAsia="zh-CN" w:bidi="ar"/>
              </w:rPr>
              <w:t>75%</w:t>
            </w:r>
          </w:p>
        </w:tc>
      </w:tr>
      <w:tr w14:paraId="629F5C17">
        <w:tblPrEx>
          <w:tblCellMar>
            <w:top w:w="0" w:type="dxa"/>
            <w:left w:w="108" w:type="dxa"/>
            <w:bottom w:w="0" w:type="dxa"/>
            <w:right w:w="108" w:type="dxa"/>
          </w:tblCellMar>
        </w:tblPrEx>
        <w:tc>
          <w:tcPr>
            <w:tcW w:w="2840" w:type="dxa"/>
          </w:tcPr>
          <w:p w14:paraId="315FB8C7">
            <w:pPr>
              <w:jc w:val="center"/>
              <w:rPr>
                <w:rFonts w:hint="eastAsia"/>
                <w:sz w:val="28"/>
                <w:szCs w:val="28"/>
                <w:vertAlign w:val="baseline"/>
              </w:rPr>
            </w:pPr>
            <w:r>
              <w:rPr>
                <w:rFonts w:ascii="宋体" w:hAnsi="宋体" w:eastAsia="宋体" w:cs="宋体"/>
                <w:kern w:val="0"/>
                <w:sz w:val="24"/>
                <w:szCs w:val="24"/>
                <w:lang w:val="en-US" w:eastAsia="zh-CN" w:bidi="ar"/>
              </w:rPr>
              <w:t>平均对话轮次</w:t>
            </w:r>
          </w:p>
        </w:tc>
        <w:tc>
          <w:tcPr>
            <w:tcW w:w="2841" w:type="dxa"/>
            <w:shd w:val="clear" w:color="auto" w:fill="auto"/>
            <w:vAlign w:val="center"/>
          </w:tcPr>
          <w:p w14:paraId="26968A7A">
            <w:pPr>
              <w:keepNext w:val="0"/>
              <w:keepLines w:val="0"/>
              <w:widowControl/>
              <w:suppressLineNumbers w:val="0"/>
              <w:jc w:val="center"/>
              <w:rPr>
                <w:rFonts w:hint="eastAsia" w:asciiTheme="minorHAnsi" w:hAnsiTheme="minorHAnsi" w:eastAsiaTheme="minorEastAsia" w:cstheme="minorBidi"/>
                <w:kern w:val="2"/>
                <w:sz w:val="21"/>
                <w:szCs w:val="24"/>
                <w:lang w:val="en-US" w:eastAsia="zh-CN" w:bidi="ar-SA"/>
              </w:rPr>
            </w:pPr>
            <w:r>
              <w:rPr>
                <w:rFonts w:ascii="宋体" w:hAnsi="宋体" w:eastAsia="宋体" w:cs="宋体"/>
                <w:kern w:val="0"/>
                <w:sz w:val="24"/>
                <w:szCs w:val="24"/>
                <w:lang w:val="en-US" w:eastAsia="zh-CN" w:bidi="ar"/>
              </w:rPr>
              <w:t>4轮左右</w:t>
            </w:r>
          </w:p>
        </w:tc>
        <w:tc>
          <w:tcPr>
            <w:tcW w:w="2841" w:type="dxa"/>
            <w:shd w:val="clear" w:color="auto" w:fill="auto"/>
            <w:vAlign w:val="center"/>
          </w:tcPr>
          <w:p w14:paraId="3A4195B2">
            <w:pPr>
              <w:keepNext w:val="0"/>
              <w:keepLines w:val="0"/>
              <w:widowControl/>
              <w:suppressLineNumbers w:val="0"/>
              <w:jc w:val="center"/>
              <w:rPr>
                <w:rFonts w:hint="eastAsia" w:asciiTheme="minorHAnsi" w:hAnsiTheme="minorHAnsi" w:eastAsiaTheme="minorEastAsia" w:cstheme="minorBidi"/>
                <w:kern w:val="2"/>
                <w:sz w:val="21"/>
                <w:szCs w:val="24"/>
                <w:lang w:val="en-US" w:eastAsia="zh-CN" w:bidi="ar-SA"/>
              </w:rPr>
            </w:pPr>
            <w:r>
              <w:rPr>
                <w:rFonts w:ascii="宋体" w:hAnsi="宋体" w:eastAsia="宋体" w:cs="宋体"/>
                <w:kern w:val="0"/>
                <w:sz w:val="24"/>
                <w:szCs w:val="24"/>
                <w:lang w:val="en-US" w:eastAsia="zh-CN" w:bidi="ar"/>
              </w:rPr>
              <w:t>5-6轮</w:t>
            </w:r>
          </w:p>
        </w:tc>
      </w:tr>
    </w:tbl>
    <w:p w14:paraId="3C1836F4">
      <w:pPr>
        <w:keepNext w:val="0"/>
        <w:keepLines w:val="0"/>
        <w:widowControl/>
        <w:suppressLineNumbers w:val="0"/>
        <w:jc w:val="center"/>
        <w:rPr>
          <w:rFonts w:ascii="宋体" w:hAnsi="宋体" w:eastAsia="宋体" w:cs="宋体"/>
          <w:kern w:val="0"/>
          <w:sz w:val="24"/>
          <w:szCs w:val="24"/>
          <w:lang w:val="en-US" w:eastAsia="zh-CN" w:bidi="ar"/>
        </w:rPr>
      </w:pPr>
    </w:p>
    <w:p w14:paraId="724D2A99">
      <w:pPr>
        <w:keepNext w:val="0"/>
        <w:keepLines w:val="0"/>
        <w:widowControl/>
        <w:suppressLineNumbers w:val="0"/>
        <w:jc w:val="center"/>
      </w:pPr>
      <w:r>
        <w:rPr>
          <w:rFonts w:ascii="宋体" w:hAnsi="宋体" w:eastAsia="宋体" w:cs="宋体"/>
          <w:kern w:val="0"/>
          <w:sz w:val="24"/>
          <w:szCs w:val="24"/>
          <w:lang w:val="en-US" w:eastAsia="zh-CN" w:bidi="ar"/>
        </w:rPr>
        <w:t>表1 补偿策略教学实施前后学生表现对比</w:t>
      </w:r>
    </w:p>
    <w:p w14:paraId="200E6A28">
      <w:pPr>
        <w:rPr>
          <w:rFonts w:hint="eastAsia"/>
        </w:rPr>
      </w:pPr>
    </w:p>
    <w:p w14:paraId="4EDAB94F">
      <w:pPr>
        <w:pStyle w:val="4"/>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kern w:val="0"/>
          <w:sz w:val="24"/>
          <w:szCs w:val="24"/>
          <w:lang w:val="en-US" w:eastAsia="zh-CN"/>
        </w:rPr>
        <w:t>交际</w:t>
      </w:r>
      <w:r>
        <w:rPr>
          <w:rFonts w:hint="eastAsia" w:asciiTheme="minorEastAsia" w:hAnsiTheme="minorEastAsia" w:eastAsiaTheme="minorEastAsia" w:cstheme="minorEastAsia"/>
          <w:b/>
          <w:bCs/>
          <w:kern w:val="0"/>
          <w:sz w:val="24"/>
          <w:szCs w:val="24"/>
        </w:rPr>
        <w:t>维持能力显著提升</w:t>
      </w:r>
    </w:p>
    <w:p w14:paraId="3C60E54F">
      <w:pPr>
        <w:keepNext w:val="0"/>
        <w:keepLines w:val="0"/>
        <w:widowControl/>
        <w:suppressLineNumbers w:val="0"/>
        <w:ind w:firstLine="480" w:firstLineChars="20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从表1可以看出，补偿策略教学实施后，学生在面对词汇缺失时能够更加主动地寻找替代表达方式。教材外物件对话组数由2组增加至4组</w:t>
      </w:r>
      <w:r>
        <w:rPr>
          <w:rFonts w:hint="eastAsia" w:asciiTheme="minorEastAsia" w:hAnsiTheme="minorEastAsia" w:eastAsiaTheme="minorEastAsia" w:cstheme="minorEastAsia"/>
          <w:sz w:val="24"/>
          <w:szCs w:val="24"/>
        </w:rPr>
        <w:t>。</w:t>
      </w:r>
      <w:r>
        <w:rPr>
          <w:rFonts w:ascii="宋体" w:hAnsi="宋体" w:eastAsia="宋体" w:cs="宋体"/>
          <w:kern w:val="0"/>
          <w:sz w:val="24"/>
          <w:szCs w:val="24"/>
          <w:lang w:val="en-US" w:eastAsia="zh-CN" w:bidi="ar"/>
        </w:rPr>
        <w:t>遇障沉默和中文切换现象均下降至0次，平均对话轮次由4轮左右提升至5—6轮。说明学生能够在表达受阻时持续推进交流，交际连续性得到明显增强。</w:t>
      </w:r>
    </w:p>
    <w:p w14:paraId="6D365F3C">
      <w:pPr>
        <w:keepNext w:val="0"/>
        <w:keepLines w:val="0"/>
        <w:widowControl/>
        <w:suppressLineNumbers w:val="0"/>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上述数据表明，在补偿策略教学后，学生在遭遇词汇障碍时的应对方式发生了实质性转变：从回避转向了主动补偿。</w:t>
      </w:r>
    </w:p>
    <w:p w14:paraId="05E38A34">
      <w:pPr>
        <w:pStyle w:val="4"/>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描述性表达能力得到拓展</w:t>
      </w:r>
    </w:p>
    <w:p w14:paraId="51D02993">
      <w:pPr>
        <w:keepNext w:val="0"/>
        <w:keepLines w:val="0"/>
        <w:widowControl/>
        <w:suppressLineNumbers w:val="0"/>
        <w:ind w:firstLine="480" w:firstLineChars="200"/>
        <w:jc w:val="left"/>
        <w:rPr>
          <w:rFonts w:hint="eastAsia" w:asciiTheme="minorEastAsia" w:hAnsiTheme="minorEastAsia" w:eastAsiaTheme="minorEastAsia" w:cstheme="minorEastAsia"/>
          <w:sz w:val="24"/>
          <w:szCs w:val="24"/>
        </w:rPr>
      </w:pPr>
      <w:r>
        <w:rPr>
          <w:rFonts w:ascii="宋体" w:hAnsi="宋体" w:eastAsia="宋体" w:cs="宋体"/>
          <w:kern w:val="0"/>
          <w:sz w:val="24"/>
          <w:szCs w:val="24"/>
          <w:lang w:val="en-US" w:eastAsia="zh-CN" w:bidi="ar"/>
        </w:rPr>
        <w:t>如表1所示，学生描述性替代策略的主动使用率达到75%。课堂观察发现，学生的表达逐渐突破单一属性描述，开始综合运用形状、材质、用途等多个维度介绍物品特征。例如，在描述算盘、缝纫机等教材外老物件时，学生能够结合外形特点和实际功能进行较为完整的表达，语言生成能力得到提升。</w:t>
      </w:r>
    </w:p>
    <w:p w14:paraId="16F5CFE4">
      <w:pPr>
        <w:pStyle w:val="4"/>
        <w:pageBreakBefore w:val="0"/>
        <w:kinsoku/>
        <w:wordWrap/>
        <w:overflowPunct/>
        <w:topLinePunct w:val="0"/>
        <w:autoSpaceDE/>
        <w:autoSpaceDN/>
        <w:bidi w:val="0"/>
        <w:adjustRightInd/>
        <w:snapToGrid/>
        <w:spacing w:line="240" w:lineRule="auto"/>
        <w:ind w:left="0" w:leftChars="0" w:firstLine="400" w:firstLineChars="0"/>
        <w:textAlignment w:val="auto"/>
        <w:rPr>
          <w:rFonts w:hint="eastAsia"/>
          <w:sz w:val="24"/>
          <w:szCs w:val="24"/>
        </w:rPr>
      </w:pPr>
      <w:r>
        <w:rPr>
          <w:rFonts w:hint="eastAsia"/>
          <w:sz w:val="24"/>
          <w:szCs w:val="24"/>
        </w:rPr>
        <w:t>学生策略意识逐步形成</w:t>
      </w:r>
    </w:p>
    <w:p w14:paraId="52DF74DE">
      <w:pPr>
        <w:keepNext w:val="0"/>
        <w:keepLines w:val="0"/>
        <w:widowControl/>
        <w:suppressLineNumbers w:val="0"/>
        <w:ind w:firstLine="480" w:firstLineChars="200"/>
        <w:jc w:val="left"/>
      </w:pPr>
      <w:r>
        <w:rPr>
          <w:rFonts w:ascii="宋体" w:hAnsi="宋体" w:eastAsia="宋体" w:cs="宋体"/>
          <w:kern w:val="0"/>
          <w:sz w:val="24"/>
          <w:szCs w:val="24"/>
          <w:lang w:val="en-US" w:eastAsia="zh-CN" w:bidi="ar"/>
        </w:rPr>
        <w:t>课堂观察和评价记录显示，学生开始主动关注表达过程中的交际维持问题。当遇到词汇缺失时，更多学生能够尝试利用已有语言资源进行替代表达，而非直接放弃交流或切换</w:t>
      </w:r>
      <w:r>
        <w:rPr>
          <w:rFonts w:hint="eastAsia" w:ascii="宋体" w:hAnsi="宋体" w:eastAsia="宋体" w:cs="宋体"/>
          <w:kern w:val="0"/>
          <w:sz w:val="24"/>
          <w:szCs w:val="24"/>
          <w:lang w:val="en-US" w:eastAsia="zh-CN" w:bidi="ar"/>
        </w:rPr>
        <w:t>中文</w:t>
      </w:r>
      <w:r>
        <w:rPr>
          <w:rFonts w:ascii="宋体" w:hAnsi="宋体" w:eastAsia="宋体" w:cs="宋体"/>
          <w:kern w:val="0"/>
          <w:sz w:val="24"/>
          <w:szCs w:val="24"/>
          <w:lang w:val="en-US" w:eastAsia="zh-CN" w:bidi="ar"/>
        </w:rPr>
        <w:t>。在同伴互评过程中，学生也能够关注补偿策略的使用情况，并将其作为评价口语表现的重要维度。上述变化表明，学生已逐步形成运用补偿策略解决表达困难的意识，策略运用开始由教师引导转向自主选择。</w:t>
      </w:r>
    </w:p>
    <w:p w14:paraId="3995FC1A">
      <w:pPr>
        <w:pageBreakBefore w:val="0"/>
        <w:kinsoku/>
        <w:wordWrap/>
        <w:overflowPunct/>
        <w:topLinePunct w:val="0"/>
        <w:autoSpaceDE/>
        <w:autoSpaceDN/>
        <w:bidi w:val="0"/>
        <w:adjustRightInd/>
        <w:snapToGrid/>
        <w:spacing w:before="0" w:after="0" w:line="240" w:lineRule="auto"/>
        <w:ind w:firstLine="480"/>
        <w:textAlignment w:val="auto"/>
        <w:rPr>
          <w:rFonts w:hint="eastAsia" w:asciiTheme="minorEastAsia" w:hAnsiTheme="minorEastAsia" w:eastAsiaTheme="minorEastAsia" w:cstheme="minorEastAsia"/>
          <w:sz w:val="24"/>
          <w:szCs w:val="24"/>
        </w:rPr>
      </w:pPr>
    </w:p>
    <w:p w14:paraId="43780FAC">
      <w:pPr>
        <w:pStyle w:val="2"/>
        <w:bidi w:val="0"/>
        <w:ind w:left="0" w:leftChars="0" w:firstLine="0" w:firstLineChars="0"/>
        <w:rPr>
          <w:rFonts w:hint="eastAsia"/>
          <w:sz w:val="28"/>
          <w:szCs w:val="28"/>
          <w:lang w:val="en-US"/>
        </w:rPr>
      </w:pPr>
      <w:r>
        <w:rPr>
          <w:rFonts w:hint="eastAsia"/>
          <w:sz w:val="28"/>
          <w:szCs w:val="28"/>
          <w:lang w:val="en-US" w:eastAsia="zh-CN"/>
        </w:rPr>
        <w:t>反思与建议</w:t>
      </w:r>
    </w:p>
    <w:p w14:paraId="4CEB3D80">
      <w:pPr>
        <w:pStyle w:val="12"/>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本课例中交际策略的教学取得了较为理想的效果，但这并不意味着该方法适用于所有课型和教学阶段。从课型来看，</w:t>
      </w:r>
      <w:r>
        <w:rPr>
          <w:rFonts w:hint="eastAsia" w:asciiTheme="minorEastAsia" w:hAnsiTheme="minorEastAsia" w:cstheme="minorEastAsia"/>
          <w:sz w:val="24"/>
          <w:szCs w:val="24"/>
          <w:lang w:val="en-US" w:eastAsia="zh-CN"/>
        </w:rPr>
        <w:t>口语课</w:t>
      </w:r>
      <w:r>
        <w:rPr>
          <w:rFonts w:hint="eastAsia" w:asciiTheme="minorEastAsia" w:hAnsiTheme="minorEastAsia" w:eastAsiaTheme="minorEastAsia" w:cstheme="minorEastAsia"/>
          <w:sz w:val="24"/>
          <w:szCs w:val="24"/>
        </w:rPr>
        <w:t>是交际策略教学的天然土壤，而以阅读理解或语法讲解为主的课型中，强行</w:t>
      </w:r>
      <w:r>
        <w:rPr>
          <w:rFonts w:hint="eastAsia" w:asciiTheme="minorEastAsia" w:hAnsiTheme="minorEastAsia" w:cstheme="minorEastAsia"/>
          <w:sz w:val="24"/>
          <w:szCs w:val="24"/>
          <w:lang w:val="en-US" w:eastAsia="zh-CN"/>
        </w:rPr>
        <w:t>加入</w:t>
      </w:r>
      <w:r>
        <w:rPr>
          <w:rFonts w:hint="eastAsia" w:asciiTheme="minorEastAsia" w:hAnsiTheme="minorEastAsia" w:eastAsiaTheme="minorEastAsia" w:cstheme="minorEastAsia"/>
          <w:sz w:val="24"/>
          <w:szCs w:val="24"/>
        </w:rPr>
        <w:t>策略教学反而可能分散教学重心。</w:t>
      </w:r>
    </w:p>
    <w:p w14:paraId="4FDC8814">
      <w:pPr>
        <w:keepNext w:val="0"/>
        <w:keepLines w:val="0"/>
        <w:widowControl/>
        <w:suppressLineNumbers w:val="0"/>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同时</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交际策略教学不应游离于主题意义之外，而应</w:t>
      </w:r>
      <w:r>
        <w:rPr>
          <w:rFonts w:hint="eastAsia" w:asciiTheme="minorEastAsia" w:hAnsiTheme="minorEastAsia" w:cstheme="minorEastAsia"/>
          <w:sz w:val="24"/>
          <w:szCs w:val="24"/>
          <w:lang w:val="en-US" w:eastAsia="zh-CN"/>
        </w:rPr>
        <w:t>融入</w:t>
      </w:r>
      <w:r>
        <w:rPr>
          <w:rFonts w:hint="eastAsia" w:asciiTheme="minorEastAsia" w:hAnsiTheme="minorEastAsia" w:eastAsiaTheme="minorEastAsia" w:cstheme="minorEastAsia"/>
          <w:sz w:val="24"/>
          <w:szCs w:val="24"/>
        </w:rPr>
        <w:t>语篇的真实情境。</w:t>
      </w:r>
      <w:r>
        <w:rPr>
          <w:rFonts w:ascii="宋体" w:hAnsi="宋体" w:eastAsia="宋体" w:cs="宋体"/>
          <w:kern w:val="0"/>
          <w:sz w:val="24"/>
          <w:szCs w:val="24"/>
          <w:lang w:val="en-US" w:eastAsia="zh-CN" w:bidi="ar"/>
        </w:rPr>
        <w:t>从单元整体教学视角来看，补偿策略教学不仅服务于语言表达，也服务于主题意义建构。学生在描述老物件的过程中，不断加深对“</w:t>
      </w:r>
      <w:r>
        <w:rPr>
          <w:rFonts w:hint="default" w:ascii="Times New Roman" w:hAnsi="Times New Roman" w:eastAsia="宋体" w:cs="Times New Roman"/>
          <w:kern w:val="0"/>
          <w:sz w:val="24"/>
          <w:szCs w:val="24"/>
          <w:lang w:val="en-US" w:eastAsia="zh-CN" w:bidi="ar"/>
        </w:rPr>
        <w:t>Then and Now</w:t>
      </w:r>
      <w:r>
        <w:rPr>
          <w:rFonts w:ascii="宋体" w:hAnsi="宋体" w:eastAsia="宋体" w:cs="宋体"/>
          <w:kern w:val="0"/>
          <w:sz w:val="24"/>
          <w:szCs w:val="24"/>
          <w:lang w:val="en-US" w:eastAsia="zh-CN" w:bidi="ar"/>
        </w:rPr>
        <w:t>”主题的理解，实现了语言学习与意义探究的统一。</w:t>
      </w:r>
      <w:r>
        <w:rPr>
          <w:rFonts w:hint="eastAsia" w:asciiTheme="minorEastAsia" w:hAnsiTheme="minorEastAsia" w:eastAsiaTheme="minorEastAsia" w:cstheme="minorEastAsia"/>
          <w:sz w:val="24"/>
          <w:szCs w:val="24"/>
        </w:rPr>
        <w:t>学生描述老物件的外形与用途，本身就是在探究老物件的文化意义。策略教学一旦脱离具体主题，便容易沦为孤立的技巧训练，失去语用根基。</w:t>
      </w:r>
    </w:p>
    <w:p w14:paraId="3ACFC2A7">
      <w:pPr>
        <w:pStyle w:val="12"/>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此外，人工智能技术的发展为补偿策略训练提供了新的可能。教师可借助</w:t>
      </w:r>
      <w:r>
        <w:rPr>
          <w:rFonts w:hint="default" w:ascii="Times New Roman" w:hAnsi="Times New Roman" w:cs="Times New Roman" w:eastAsiaTheme="minorEastAsia"/>
          <w:kern w:val="0"/>
          <w:sz w:val="24"/>
          <w:szCs w:val="24"/>
          <w:lang w:val="en-US" w:eastAsia="zh-CN" w:bidi="ar"/>
        </w:rPr>
        <w:t>AI</w:t>
      </w:r>
      <w:r>
        <w:rPr>
          <w:rFonts w:hint="eastAsia" w:asciiTheme="minorEastAsia" w:hAnsiTheme="minorEastAsia" w:eastAsiaTheme="minorEastAsia" w:cstheme="minorEastAsia"/>
          <w:sz w:val="24"/>
          <w:szCs w:val="24"/>
          <w:lang w:val="en-US" w:eastAsia="zh-CN"/>
        </w:rPr>
        <w:t>对话平台创设真实的交际情境，引导学生在课后持续开展策略练习，并通过即时反馈不断优化表达方式。未来，教师还可以进一步探索</w:t>
      </w:r>
      <w:r>
        <w:rPr>
          <w:rFonts w:hint="default" w:ascii="Times New Roman" w:hAnsi="Times New Roman" w:cs="Times New Roman" w:eastAsiaTheme="minorEastAsia"/>
          <w:sz w:val="24"/>
          <w:szCs w:val="24"/>
          <w:lang w:val="en-US" w:eastAsia="zh-CN"/>
        </w:rPr>
        <w:t>AI</w:t>
      </w:r>
      <w:r>
        <w:rPr>
          <w:rFonts w:hint="eastAsia" w:asciiTheme="minorEastAsia" w:hAnsiTheme="minorEastAsia" w:eastAsiaTheme="minorEastAsia" w:cstheme="minorEastAsia"/>
          <w:sz w:val="24"/>
          <w:szCs w:val="24"/>
          <w:lang w:val="en-US" w:eastAsia="zh-CN"/>
        </w:rPr>
        <w:t>辅助策略评价和个性化指导的应用路径，促进学生将课堂中习得的补偿策略逐步内化为稳定的交际能力。</w:t>
      </w:r>
    </w:p>
    <w:p w14:paraId="04631F1C">
      <w:pPr>
        <w:pStyle w:val="12"/>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240" w:lineRule="auto"/>
        <w:ind w:left="0" w:right="0" w:firstLine="480" w:firstLineChars="200"/>
        <w:textAlignment w:val="auto"/>
        <w:rPr>
          <w:rFonts w:hint="eastAsia" w:asciiTheme="minorEastAsia" w:hAnsiTheme="minorEastAsia" w:eastAsiaTheme="minorEastAsia" w:cstheme="minorEastAsia"/>
          <w:sz w:val="24"/>
          <w:szCs w:val="24"/>
          <w:lang w:val="en-US" w:eastAsia="zh-CN"/>
        </w:rPr>
      </w:pPr>
    </w:p>
    <w:p w14:paraId="56F31D0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参考文献：</w:t>
      </w:r>
    </w:p>
    <w:p w14:paraId="42C37595">
      <w:pPr>
        <w:pStyle w:val="12"/>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Dörnyei Z. On the teachability of communication strategies[J]. TESOL Quarterly, 1995, 29(1): 55-85.</w:t>
      </w:r>
    </w:p>
    <w:p w14:paraId="10A230FD">
      <w:pPr>
        <w:pStyle w:val="12"/>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 xml:space="preserve">Faerch C, Kasper G. Plans and strategies in foreign language communication[M]//Faerch C, Kasper G. Strategies in interlanguage communication. </w:t>
      </w:r>
      <w:r>
        <w:rPr>
          <w:rFonts w:hint="eastAsia" w:asciiTheme="minorEastAsia" w:hAnsiTheme="minorEastAsia" w:eastAsiaTheme="minorEastAsia" w:cstheme="minorEastAsia"/>
          <w:sz w:val="24"/>
          <w:szCs w:val="24"/>
          <w:highlight w:val="none"/>
        </w:rPr>
        <w:t>London: Longman, 1983: 20-60.</w:t>
      </w:r>
    </w:p>
    <w:p w14:paraId="00C8A703">
      <w:pPr>
        <w:pStyle w:val="12"/>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付永庆. 以对话式人工智能促进高中生口语表达能力的实践策略[J]. 英语学习, 2024(1): 19-23.</w:t>
      </w:r>
    </w:p>
    <w:p w14:paraId="1AF2BDC3">
      <w:pPr>
        <w:pStyle w:val="12"/>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刘道义. 如何培养学生说英语的能力[J]. 中小学外语教学(中学篇), 2017, 40(12): 7-11.</w:t>
      </w:r>
    </w:p>
    <w:p w14:paraId="5B059129">
      <w:pPr>
        <w:pStyle w:val="12"/>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席芹芹. 任务驱动，寓教于"做"——浅谈任务驱动法在初中英语口语教学中的应用[J]. 疯狂英语(教学版), 2016(9): 34-35.</w:t>
      </w:r>
    </w:p>
    <w:p w14:paraId="69975646">
      <w:pPr>
        <w:rPr>
          <w:rFonts w:hint="eastAsia" w:asciiTheme="minorEastAsia" w:hAnsiTheme="minorEastAsia" w:eastAsiaTheme="minorEastAsia" w:cstheme="minorEastAsia"/>
          <w:sz w:val="24"/>
          <w:szCs w:val="24"/>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4F97"/>
    <w:multiLevelType w:val="multilevel"/>
    <w:tmpl w:val="FFFF4F97"/>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1">
    <w:nsid w:val="7FFA29F4"/>
    <w:multiLevelType w:val="singleLevel"/>
    <w:tmpl w:val="7FFA29F4"/>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9C4FE"/>
    <w:rsid w:val="040843D0"/>
    <w:rsid w:val="0D14A5AD"/>
    <w:rsid w:val="3FF9C4FE"/>
    <w:rsid w:val="45E42B61"/>
    <w:rsid w:val="48636ED0"/>
    <w:rsid w:val="5DD5B9BD"/>
    <w:rsid w:val="6BFF9D61"/>
    <w:rsid w:val="772FB7C9"/>
    <w:rsid w:val="79FF6EB8"/>
    <w:rsid w:val="7CFBCF86"/>
    <w:rsid w:val="7EFAD4BA"/>
    <w:rsid w:val="7FAEFF1E"/>
    <w:rsid w:val="7FF76544"/>
    <w:rsid w:val="AE7778F3"/>
    <w:rsid w:val="B6CF9AEE"/>
    <w:rsid w:val="BEFB1AAA"/>
    <w:rsid w:val="CFF7B668"/>
    <w:rsid w:val="DBED4485"/>
    <w:rsid w:val="EEF5DBF8"/>
    <w:rsid w:val="EEFF30BC"/>
    <w:rsid w:val="EF7BA7DA"/>
    <w:rsid w:val="F2F7BC24"/>
    <w:rsid w:val="FFB75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numPr>
        <w:ilvl w:val="2"/>
        <w:numId w:val="1"/>
      </w:numPr>
      <w:spacing w:before="0" w:beforeAutospacing="1" w:after="0" w:afterAutospacing="1"/>
      <w:ind w:firstLine="400"/>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numPr>
        <w:ilvl w:val="3"/>
        <w:numId w:val="1"/>
      </w:numPr>
      <w:spacing w:before="0" w:beforeAutospacing="1" w:after="0" w:afterAutospacing="1"/>
      <w:ind w:firstLine="402"/>
      <w:jc w:val="left"/>
      <w:outlineLvl w:val="3"/>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Emphasis"/>
    <w:basedOn w:val="15"/>
    <w:qFormat/>
    <w:uiPriority w:val="0"/>
    <w:rPr>
      <w:i/>
    </w:rPr>
  </w:style>
  <w:style w:type="character" w:styleId="18">
    <w:name w:val="HTML Code"/>
    <w:basedOn w:val="15"/>
    <w:qFormat/>
    <w:uiPriority w:val="0"/>
    <w:rPr>
      <w:rFonts w:ascii="Courier New" w:hAnsi="Courier New"/>
      <w:sz w:val="20"/>
    </w:rPr>
  </w:style>
  <w:style w:type="character" w:customStyle="1" w:styleId="19">
    <w:name w:val="10"/>
    <w:basedOn w:val="15"/>
    <w:qFormat/>
    <w:uiPriority w:val="0"/>
    <w:rPr>
      <w:rFonts w:hint="default" w:ascii="等线" w:hAnsi="等线" w:eastAsia="等线" w:cs="等线"/>
    </w:rPr>
  </w:style>
  <w:style w:type="character" w:customStyle="1" w:styleId="20">
    <w:name w:val="15"/>
    <w:basedOn w:val="15"/>
    <w:qFormat/>
    <w:uiPriority w:val="0"/>
    <w:rPr>
      <w:rFonts w:hint="default" w:ascii="等线" w:hAnsi="等线" w:eastAsia="等线" w:cs="等线"/>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4034</Words>
  <Characters>4508</Characters>
  <Lines>1</Lines>
  <Paragraphs>1</Paragraphs>
  <TotalTime>11</TotalTime>
  <ScaleCrop>false</ScaleCrop>
  <LinksUpToDate>false</LinksUpToDate>
  <CharactersWithSpaces>4612</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2026-06-06T20:12:00Z</dcterms:created>
  <dc:creator>一颗卤蛋</dc:creator>
  <cp:lastModifiedBy>潘霖滋</cp:lastModifiedBy>
  <dcterms:modified xsi:type="dcterms:W3CDTF">2026-06-09T03:36:57Z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019434B245B14294A3889A4F311FB5EB_13</vt:lpwstr>
  </property>
  <property fmtid="{D5CDD505-2E9C-101B-9397-08002B2CF9AE}" pid="4" name="KSOTemplateDocerSaveRecord">
    <vt:lpwstr>eyJoZGlkIjoiZTA4YWVhOWE5ODRjNGEzNjdhMTg3YzFjODNlMTBlODgiLCJ1c2VySWQiOiIxNjAxOTg2MTY1In0=</vt:lpwstr>
  </property>
</Properties>
</file>