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32"/>
          <w:szCs w:val="32"/>
        </w:rPr>
      </w:pPr>
      <w:r>
        <w:rPr>
          <w:rFonts w:hint="eastAsia" w:ascii="黑体" w:hAnsi="黑体" w:eastAsia="黑体" w:cs="黑体"/>
          <w:b/>
          <w:bCs/>
          <w:sz w:val="32"/>
          <w:szCs w:val="32"/>
        </w:rPr>
        <w:t>数智赋能下</w:t>
      </w:r>
      <w:r>
        <w:rPr>
          <w:rFonts w:hint="eastAsia" w:ascii="黑体" w:hAnsi="黑体" w:eastAsia="黑体" w:cs="黑体"/>
          <w:b/>
          <w:bCs/>
          <w:sz w:val="32"/>
          <w:szCs w:val="32"/>
          <w:lang w:val="en-US" w:eastAsia="zh-CN"/>
        </w:rPr>
        <w:t>小</w:t>
      </w:r>
      <w:r>
        <w:rPr>
          <w:rFonts w:hint="eastAsia" w:ascii="黑体" w:hAnsi="黑体" w:eastAsia="黑体" w:cs="黑体"/>
          <w:b/>
          <w:bCs/>
          <w:sz w:val="32"/>
          <w:szCs w:val="32"/>
        </w:rPr>
        <w:t>学体育体能课堂的精准教学设计与实践研究</w:t>
      </w:r>
    </w:p>
    <w:p>
      <w:pPr>
        <w:jc w:val="center"/>
        <w:rPr>
          <w:rFonts w:hint="eastAsia" w:ascii="楷体" w:hAnsi="楷体" w:eastAsia="楷体" w:cs="楷体"/>
          <w:b/>
          <w:bCs/>
          <w:sz w:val="28"/>
          <w:szCs w:val="28"/>
        </w:rPr>
      </w:pPr>
      <w:r>
        <w:rPr>
          <w:rFonts w:hint="eastAsia" w:ascii="楷体" w:hAnsi="楷体" w:eastAsia="楷体" w:cs="楷体"/>
          <w:b/>
          <w:bCs/>
          <w:sz w:val="28"/>
          <w:szCs w:val="28"/>
        </w:rPr>
        <w:t>——以小学四年级综合体能：“抢险行动”9-8课时为例</w:t>
      </w:r>
    </w:p>
    <w:p>
      <w:pPr>
        <w:jc w:val="center"/>
        <w:rPr>
          <w:rFonts w:hint="eastAsia" w:ascii="宋体" w:hAnsi="宋体" w:eastAsia="宋体" w:cs="宋体"/>
          <w:b/>
          <w:bCs/>
          <w:sz w:val="24"/>
          <w:szCs w:val="24"/>
        </w:rPr>
      </w:pPr>
      <w:r>
        <w:rPr>
          <w:rFonts w:hint="eastAsia" w:ascii="宋体" w:hAnsi="宋体" w:eastAsia="宋体" w:cs="宋体"/>
          <w:b/>
          <w:bCs/>
          <w:sz w:val="24"/>
          <w:szCs w:val="24"/>
          <w:lang w:val="en-US" w:eastAsia="zh-CN"/>
        </w:rPr>
        <w:t xml:space="preserve">上海市徐汇区汇师小学  </w:t>
      </w:r>
      <w:r>
        <w:rPr>
          <w:rFonts w:hint="eastAsia" w:ascii="宋体" w:hAnsi="宋体" w:eastAsia="宋体" w:cs="宋体"/>
          <w:b/>
          <w:bCs/>
          <w:sz w:val="24"/>
          <w:szCs w:val="24"/>
        </w:rPr>
        <w:t>周梓欣</w:t>
      </w:r>
    </w:p>
    <w:p>
      <w:pPr>
        <w:jc w:val="center"/>
        <w:rPr>
          <w:rFonts w:hint="eastAsia" w:ascii="宋体" w:hAnsi="宋体" w:eastAsia="宋体" w:cs="宋体"/>
          <w:b/>
          <w:bCs/>
          <w:sz w:val="22"/>
          <w:szCs w:val="28"/>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1"/>
          <w:szCs w:val="21"/>
        </w:rPr>
      </w:pPr>
      <w:r>
        <w:rPr>
          <w:rFonts w:hint="eastAsia" w:ascii="宋体" w:hAnsi="宋体" w:eastAsia="宋体" w:cs="宋体"/>
          <w:b/>
          <w:bCs/>
          <w:sz w:val="21"/>
          <w:szCs w:val="21"/>
          <w:lang w:val="en-US" w:eastAsia="zh-CN"/>
        </w:rPr>
        <w:t>[</w:t>
      </w:r>
      <w:r>
        <w:rPr>
          <w:rFonts w:hint="eastAsia" w:ascii="宋体" w:hAnsi="宋体" w:eastAsia="宋体" w:cs="宋体"/>
          <w:b/>
          <w:bCs/>
          <w:sz w:val="21"/>
          <w:szCs w:val="21"/>
        </w:rPr>
        <w:t>摘要</w:t>
      </w:r>
      <w:r>
        <w:rPr>
          <w:rFonts w:hint="eastAsia" w:ascii="宋体" w:hAnsi="宋体" w:eastAsia="宋体" w:cs="宋体"/>
          <w:b/>
          <w:bCs/>
          <w:sz w:val="21"/>
          <w:szCs w:val="21"/>
          <w:lang w:val="en-US" w:eastAsia="zh-CN"/>
        </w:rPr>
        <w:t>]</w:t>
      </w:r>
      <w:r>
        <w:rPr>
          <w:rFonts w:hint="eastAsia" w:ascii="宋体" w:hAnsi="宋体" w:eastAsia="宋体" w:cs="宋体"/>
          <w:sz w:val="21"/>
          <w:szCs w:val="21"/>
        </w:rPr>
        <w:t>本研究立足</w:t>
      </w:r>
      <w:r>
        <w:rPr>
          <w:rFonts w:hint="eastAsia" w:ascii="宋体" w:hAnsi="宋体" w:eastAsia="宋体" w:cs="宋体"/>
          <w:color w:val="auto"/>
          <w:sz w:val="21"/>
          <w:szCs w:val="21"/>
        </w:rPr>
        <w:t>“数智赋能”与“精准教学”</w:t>
      </w:r>
      <w:r>
        <w:rPr>
          <w:rFonts w:hint="eastAsia" w:ascii="宋体" w:hAnsi="宋体" w:eastAsia="宋体" w:cs="宋体"/>
          <w:sz w:val="21"/>
          <w:szCs w:val="21"/>
        </w:rPr>
        <w:t>理论体系，选取小学四年级“抢险行动”综合体能课程作为实践案例，探讨数智技术赋能下小学体育体能的教学设计与实施路径。本研究采用准实验设计，通过心率手环、光电球等工具采集数据，结合问卷与体测，构建并验证了</w:t>
      </w:r>
      <w:r>
        <w:rPr>
          <w:rFonts w:hint="eastAsia" w:ascii="宋体" w:hAnsi="宋体" w:eastAsia="宋体" w:cs="宋体"/>
          <w:sz w:val="21"/>
          <w:szCs w:val="21"/>
          <w:lang w:eastAsia="zh-CN"/>
        </w:rPr>
        <w:t>“</w:t>
      </w:r>
      <w:r>
        <w:rPr>
          <w:rFonts w:hint="eastAsia" w:ascii="宋体" w:hAnsi="宋体" w:eastAsia="宋体" w:cs="宋体"/>
          <w:sz w:val="21"/>
          <w:szCs w:val="21"/>
        </w:rPr>
        <w:t>数据</w:t>
      </w:r>
      <w:r>
        <w:rPr>
          <w:rFonts w:hint="eastAsia" w:ascii="宋体" w:hAnsi="宋体" w:eastAsia="宋体" w:cs="宋体"/>
          <w:sz w:val="21"/>
          <w:szCs w:val="21"/>
          <w:lang w:val="en-US" w:eastAsia="zh-CN"/>
        </w:rPr>
        <w:t>具身</w:t>
      </w:r>
      <w:r>
        <w:rPr>
          <w:rFonts w:hint="eastAsia" w:ascii="宋体" w:hAnsi="宋体" w:eastAsia="宋体" w:cs="宋体"/>
          <w:sz w:val="21"/>
          <w:szCs w:val="21"/>
        </w:rPr>
        <w:t>—</w:t>
      </w:r>
      <w:r>
        <w:rPr>
          <w:rFonts w:hint="eastAsia" w:ascii="宋体" w:hAnsi="宋体" w:eastAsia="宋体" w:cs="宋体"/>
          <w:sz w:val="21"/>
          <w:szCs w:val="21"/>
          <w:lang w:val="en-US" w:eastAsia="zh-CN"/>
        </w:rPr>
        <w:t>证据驱动</w:t>
      </w:r>
      <w:r>
        <w:rPr>
          <w:rFonts w:hint="eastAsia" w:ascii="宋体" w:hAnsi="宋体" w:eastAsia="宋体" w:cs="宋体"/>
          <w:sz w:val="21"/>
          <w:szCs w:val="21"/>
        </w:rPr>
        <w:t>—</w:t>
      </w:r>
      <w:r>
        <w:rPr>
          <w:rFonts w:hint="eastAsia" w:ascii="宋体" w:hAnsi="宋体" w:eastAsia="宋体" w:cs="宋体"/>
          <w:sz w:val="21"/>
          <w:szCs w:val="21"/>
          <w:lang w:val="en-US" w:eastAsia="zh-CN"/>
        </w:rPr>
        <w:t>目标凝聚</w:t>
      </w:r>
      <w:r>
        <w:rPr>
          <w:rFonts w:hint="eastAsia" w:ascii="宋体" w:hAnsi="宋体" w:eastAsia="宋体" w:cs="宋体"/>
          <w:sz w:val="21"/>
          <w:szCs w:val="21"/>
        </w:rPr>
        <w:t>—</w:t>
      </w:r>
      <w:r>
        <w:rPr>
          <w:rFonts w:hint="eastAsia" w:ascii="宋体" w:hAnsi="宋体" w:eastAsia="宋体" w:cs="宋体"/>
          <w:sz w:val="21"/>
          <w:szCs w:val="21"/>
          <w:lang w:val="en-US" w:eastAsia="zh-CN"/>
        </w:rPr>
        <w:t>生态重构”</w:t>
      </w:r>
      <w:r>
        <w:rPr>
          <w:rFonts w:hint="eastAsia" w:ascii="宋体" w:hAnsi="宋体" w:eastAsia="宋体" w:cs="宋体"/>
          <w:sz w:val="21"/>
          <w:szCs w:val="21"/>
        </w:rPr>
        <w:t>的精准教学模式。</w:t>
      </w:r>
      <w:r>
        <w:rPr>
          <w:rFonts w:hint="eastAsia" w:ascii="宋体" w:hAnsi="宋体" w:eastAsia="宋体" w:cs="宋体"/>
          <w:sz w:val="21"/>
          <w:szCs w:val="21"/>
          <w:lang w:val="en-US" w:eastAsia="zh-CN"/>
        </w:rPr>
        <w:t>实践显示</w:t>
      </w:r>
      <w:r>
        <w:rPr>
          <w:rFonts w:hint="eastAsia" w:ascii="宋体" w:hAnsi="宋体" w:eastAsia="宋体" w:cs="宋体"/>
          <w:sz w:val="21"/>
          <w:szCs w:val="21"/>
        </w:rPr>
        <w:t>，该模式能有效提升学生心肺耐力、灵敏协调等体能素质，促进个体运动负荷科学调控，助力教师实现从“经验主导”到“数据驱动”的教学转型。本研究为小学体育课堂的数字化转型提供实践范例，并为“因材施教”的体能训练体系构建提供参考。</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b/>
          <w:bCs/>
          <w:sz w:val="21"/>
          <w:szCs w:val="21"/>
          <w:lang w:val="en-US" w:eastAsia="zh-CN"/>
        </w:rPr>
        <w:t>[</w:t>
      </w:r>
      <w:r>
        <w:rPr>
          <w:rFonts w:hint="eastAsia" w:ascii="宋体" w:hAnsi="宋体" w:eastAsia="宋体" w:cs="宋体"/>
          <w:b/>
          <w:bCs/>
          <w:sz w:val="21"/>
          <w:szCs w:val="21"/>
        </w:rPr>
        <w:t>关键词</w:t>
      </w:r>
      <w:r>
        <w:rPr>
          <w:rFonts w:hint="eastAsia" w:ascii="宋体" w:hAnsi="宋体" w:eastAsia="宋体" w:cs="宋体"/>
          <w:b/>
          <w:bCs/>
          <w:sz w:val="21"/>
          <w:szCs w:val="21"/>
          <w:lang w:val="en-US" w:eastAsia="zh-CN"/>
        </w:rPr>
        <w:t>]</w:t>
      </w:r>
      <w:r>
        <w:rPr>
          <w:rFonts w:hint="eastAsia" w:ascii="宋体" w:hAnsi="宋体" w:eastAsia="宋体" w:cs="宋体"/>
          <w:sz w:val="21"/>
          <w:szCs w:val="21"/>
        </w:rPr>
        <w:t>数智赋能；精准</w:t>
      </w:r>
      <w:r>
        <w:rPr>
          <w:rFonts w:hint="eastAsia" w:ascii="宋体" w:hAnsi="宋体" w:eastAsia="宋体" w:cs="宋体"/>
          <w:sz w:val="21"/>
          <w:szCs w:val="21"/>
          <w:lang w:val="en-US" w:eastAsia="zh-CN"/>
        </w:rPr>
        <w:t>教学</w:t>
      </w:r>
      <w:r>
        <w:rPr>
          <w:rFonts w:hint="eastAsia" w:ascii="宋体" w:hAnsi="宋体" w:eastAsia="宋体" w:cs="宋体"/>
          <w:sz w:val="21"/>
          <w:szCs w:val="21"/>
        </w:rPr>
        <w:t>；小学体育；体能</w:t>
      </w:r>
    </w:p>
    <w:p>
      <w:pPr>
        <w:jc w:val="left"/>
        <w:rPr>
          <w:rFonts w:hint="eastAsia" w:ascii="宋体" w:hAnsi="宋体" w:eastAsia="宋体" w:cs="宋体"/>
          <w:sz w:val="21"/>
          <w:szCs w:val="21"/>
        </w:rPr>
      </w:pPr>
    </w:p>
    <w:p>
      <w:pPr>
        <w:keepNext w:val="0"/>
        <w:keepLines w:val="0"/>
        <w:pageBreakBefore w:val="0"/>
        <w:numPr>
          <w:ilvl w:val="0"/>
          <w:numId w:val="1"/>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引言</w:t>
      </w:r>
    </w:p>
    <w:p>
      <w:pPr>
        <w:keepNext w:val="0"/>
        <w:keepLines w:val="0"/>
        <w:pageBreakBefore w:val="0"/>
        <w:numPr>
          <w:ilvl w:val="0"/>
          <w:numId w:val="2"/>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研究背景</w:t>
      </w:r>
    </w:p>
    <w:p>
      <w:pPr>
        <w:keepNext w:val="0"/>
        <w:keepLines w:val="0"/>
        <w:pageBreakBefore w:val="0"/>
        <w:widowControl/>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楷体" w:hAnsi="楷体" w:eastAsia="楷体" w:cs="楷体"/>
          <w:sz w:val="21"/>
          <w:szCs w:val="21"/>
        </w:rPr>
        <w:t>在《义务教育体育与健康课程标准（2022年版）》的引领下，我国体育教学正经历从“技能传授”向“核心素养培育”的系统性转变。体能训练作为发展学生运动能力、健康行为与体育品德的基石，其科学性与针对性直接影响育人成效</w:t>
      </w:r>
      <w:r>
        <w:rPr>
          <w:rFonts w:hint="eastAsia" w:ascii="楷体" w:hAnsi="楷体" w:eastAsia="楷体" w:cs="楷体"/>
          <w:sz w:val="21"/>
          <w:szCs w:val="21"/>
          <w:vertAlign w:val="superscript"/>
        </w:rPr>
        <w:fldChar w:fldCharType="begin"/>
      </w:r>
      <w:r>
        <w:rPr>
          <w:rFonts w:hint="eastAsia" w:ascii="楷体" w:hAnsi="楷体" w:eastAsia="楷体" w:cs="楷体"/>
          <w:sz w:val="21"/>
          <w:szCs w:val="21"/>
          <w:vertAlign w:val="superscript"/>
        </w:rPr>
        <w:instrText xml:space="preserve"> REF _Ref13728 \r \h  \* MERGEFORMAT </w:instrText>
      </w:r>
      <w:r>
        <w:rPr>
          <w:rFonts w:hint="eastAsia" w:ascii="楷体" w:hAnsi="楷体" w:eastAsia="楷体" w:cs="楷体"/>
          <w:sz w:val="21"/>
          <w:szCs w:val="21"/>
          <w:vertAlign w:val="superscript"/>
        </w:rPr>
        <w:fldChar w:fldCharType="separate"/>
      </w:r>
      <w:r>
        <w:rPr>
          <w:rFonts w:hint="eastAsia" w:ascii="楷体" w:hAnsi="楷体" w:eastAsia="楷体" w:cs="楷体"/>
          <w:sz w:val="21"/>
          <w:szCs w:val="21"/>
          <w:vertAlign w:val="superscript"/>
        </w:rPr>
        <w:t>[1]</w:t>
      </w:r>
      <w:r>
        <w:rPr>
          <w:rFonts w:hint="eastAsia" w:ascii="楷体" w:hAnsi="楷体" w:eastAsia="楷体" w:cs="楷体"/>
          <w:sz w:val="21"/>
          <w:szCs w:val="21"/>
          <w:vertAlign w:val="superscript"/>
        </w:rPr>
        <w:fldChar w:fldCharType="end"/>
      </w:r>
      <w:r>
        <w:rPr>
          <w:rFonts w:hint="eastAsia" w:ascii="宋体" w:hAnsi="宋体" w:eastAsia="宋体" w:cs="宋体"/>
          <w:sz w:val="24"/>
          <w:szCs w:val="24"/>
        </w:rPr>
        <w:t>。</w:t>
      </w:r>
      <w:r>
        <w:rPr>
          <w:rFonts w:hint="eastAsia" w:ascii="宋体" w:hAnsi="宋体" w:eastAsia="宋体" w:cs="宋体"/>
          <w:sz w:val="21"/>
          <w:szCs w:val="21"/>
        </w:rPr>
        <w:t>与此同时，教育数字化已上升为国家战略，为体育教学的系统性改革提供了有力的政策引领与实践路径。</w:t>
      </w:r>
    </w:p>
    <w:p>
      <w:pPr>
        <w:keepNext w:val="0"/>
        <w:keepLines w:val="0"/>
        <w:pageBreakBefore w:val="0"/>
        <w:widowControl/>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楷体" w:hAnsi="楷体" w:eastAsia="楷体" w:cs="楷体"/>
          <w:sz w:val="21"/>
          <w:szCs w:val="21"/>
        </w:rPr>
        <w:t>从国家层面看</w:t>
      </w:r>
      <w:r>
        <w:rPr>
          <w:rFonts w:hint="eastAsia" w:ascii="楷体" w:hAnsi="楷体" w:eastAsia="楷体" w:cs="楷体"/>
          <w:sz w:val="21"/>
          <w:szCs w:val="21"/>
          <w:lang w:eastAsia="zh-CN"/>
        </w:rPr>
        <w:t>，</w:t>
      </w:r>
      <w:r>
        <w:rPr>
          <w:rFonts w:hint="eastAsia" w:ascii="楷体" w:hAnsi="楷体" w:eastAsia="楷体" w:cs="楷体"/>
          <w:sz w:val="21"/>
          <w:szCs w:val="21"/>
        </w:rPr>
        <w:t>《教育强国建设规划纲要（2024—2035年）》明确提出要“深化教育教学数字化转型”，推动智能技术赋能教育教学全过程。《中共中央国务院关于弘扬教育家精神加强新时代高素质专业化教师队伍建设的意见》中强调，教师要主动适应科技变革，提升数字素养与融合创新能力</w:t>
      </w:r>
      <w:r>
        <w:rPr>
          <w:rFonts w:hint="eastAsia" w:ascii="楷体" w:hAnsi="楷体" w:eastAsia="楷体" w:cs="楷体"/>
          <w:sz w:val="21"/>
          <w:szCs w:val="21"/>
          <w:vertAlign w:val="superscript"/>
          <w:lang w:val="en-US"/>
        </w:rPr>
        <w:fldChar w:fldCharType="begin"/>
      </w:r>
      <w:r>
        <w:rPr>
          <w:rFonts w:hint="eastAsia" w:ascii="楷体" w:hAnsi="楷体" w:eastAsia="楷体" w:cs="楷体"/>
          <w:sz w:val="21"/>
          <w:szCs w:val="21"/>
          <w:vertAlign w:val="superscript"/>
          <w:lang w:val="en-US"/>
        </w:rPr>
        <w:instrText xml:space="preserve"> REF _Ref21062 \r \h </w:instrText>
      </w:r>
      <w:r>
        <w:rPr>
          <w:rFonts w:hint="eastAsia" w:ascii="楷体" w:hAnsi="楷体" w:eastAsia="楷体" w:cs="楷体"/>
          <w:sz w:val="21"/>
          <w:szCs w:val="21"/>
          <w:vertAlign w:val="superscript"/>
          <w:lang w:val="en-US"/>
        </w:rPr>
        <w:fldChar w:fldCharType="separate"/>
      </w:r>
      <w:r>
        <w:rPr>
          <w:rFonts w:hint="eastAsia" w:ascii="楷体" w:hAnsi="楷体" w:eastAsia="楷体" w:cs="楷体"/>
          <w:sz w:val="21"/>
          <w:szCs w:val="21"/>
          <w:vertAlign w:val="superscript"/>
          <w:lang w:val="en-US"/>
        </w:rPr>
        <w:t>[2]</w:t>
      </w:r>
      <w:r>
        <w:rPr>
          <w:rFonts w:hint="eastAsia" w:ascii="楷体" w:hAnsi="楷体" w:eastAsia="楷体" w:cs="楷体"/>
          <w:sz w:val="21"/>
          <w:szCs w:val="21"/>
          <w:vertAlign w:val="superscript"/>
          <w:lang w:val="en-US"/>
        </w:rPr>
        <w:fldChar w:fldCharType="end"/>
      </w:r>
      <w:r>
        <w:rPr>
          <w:rFonts w:hint="eastAsia" w:ascii="宋体" w:hAnsi="宋体" w:eastAsia="宋体" w:cs="宋体"/>
          <w:sz w:val="21"/>
          <w:szCs w:val="21"/>
        </w:rPr>
        <w:t>。教育部《关于加快推进教育数字化的意见》进一步要求，推动数字技术与教育教学深度融合，构建数字化、个性化、终身化的教育体系。而《关于组织实施数字化赋能教师发展行动的通知》则聚焦于通过数字化手段提升教师专业能力，为课堂教学创新提供支撑。</w:t>
      </w:r>
    </w:p>
    <w:p>
      <w:pPr>
        <w:keepNext w:val="0"/>
        <w:keepLines w:val="0"/>
        <w:pageBreakBefore w:val="0"/>
        <w:widowControl/>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在地方层面，各省市及区县教育部门积极响应，陆续出台配套实施方案，将“数智赋能课堂”作为深化教学改革、促进教育公平与质量提升的重要抓手。在此背景下，体育教学的数字化、智能化转型已不是一种可选项，而是势在必行的时代要求。数智技术为体育课堂实现从“标准化”向“个性化”、从“经验主导”向“数据驱动”的转型提供了前所未有的可能。</w:t>
      </w:r>
    </w:p>
    <w:p>
      <w:pPr>
        <w:keepNext w:val="0"/>
        <w:keepLines w:val="0"/>
        <w:pageBreakBefore w:val="0"/>
        <w:widowControl/>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然而，审视当前小学体育课堂中的体能训练，仍面临三大现实困境：第一，训练内容呈现同质化特征，未能充分兼顾学生在生理基础、运动偏好及能力发展调节方面的个体差异；第二，教学实施过程高度依赖教师的经验性判断，教师往往依据直观观察与群体平均水平推进课堂，缺乏对负荷强度、疲劳恢复等关键因素的客观把握；第三，评价反馈存在“滞后性”与“模糊性”的问题，传统评价更关注动作结果而非过程性的表现，难以形成促进个体能力提高的持续支持。</w:t>
      </w:r>
    </w:p>
    <w:p>
      <w:pPr>
        <w:keepNext w:val="0"/>
        <w:keepLines w:val="0"/>
        <w:pageBreakBefore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与此同时，教育数字化转型为摆脱上述困境提供了新的路径。以可穿戴心率手环、光电球等等为代表的数智工具，已逐步融入学科教学，推动形成“数据驱动、精准干预”的新型教学样态。在体育领域，心率、位移速度、反应等多模态运动数据的实时采集与分析，正使“因材施练”从理念走向可能。然而，当前相关实践大多数集中于高校竞技训练或体质健康监测场景，在注重全员参与的小学体育课堂中，如何系统搭建“数据驱动”精准化的体能教学模式，仍缺乏兼具理论逻辑与操作可行性的案例探索。</w:t>
      </w:r>
    </w:p>
    <w:p>
      <w:pPr>
        <w:keepNext w:val="0"/>
        <w:keepLines w:val="0"/>
        <w:pageBreakBefore w:val="0"/>
        <w:numPr>
          <w:ilvl w:val="0"/>
          <w:numId w:val="2"/>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研究问题</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现有的政策背景与实际教学挑战，本研究致力于探索运用数字智能技术，以应对传统体育体能训练中长期存在的精准化干预难题。在常规教学实践中，教师多凭借自身经验进行观察与统一指导，这种方式往往受限于实时数据采集、个性化诊断以及内容灵活调整等方面的不足，因而难以落实针对不同学生的差异化教学。为此，本文围绕具体教学实例，重点探讨以下三个关键问题：</w:t>
      </w:r>
    </w:p>
    <w:p>
      <w:pPr>
        <w:keepNext w:val="0"/>
        <w:keepLines w:val="0"/>
        <w:pageBreakBefore w:val="0"/>
        <w:numPr>
          <w:ilvl w:val="0"/>
          <w:numId w:val="0"/>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1.目标与干预的精准对接</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在传统体能课堂中，教学目标往往难以细化为可观测、可量化的个体指标，教学干预也缺乏实时数据支持。本研究将探讨如何借助数智工具（如心率手环、光电球）实时获取学生在运动负荷、反应速度及动作协调性等多个维度的表现数据，并通过可视化方式进行分析。基于此，研究旨在建立一种将抽象体能目标转化为具体量化指标，并依据个体数据设计差异化任务的精准教学框架。</w:t>
      </w:r>
    </w:p>
    <w:p>
      <w:pPr>
        <w:keepNext w:val="0"/>
        <w:keepLines w:val="0"/>
        <w:pageBreakBefore w:val="0"/>
        <w:numPr>
          <w:ilvl w:val="0"/>
          <w:numId w:val="3"/>
        </w:numPr>
        <w:kinsoku/>
        <w:wordWrap/>
        <w:overflowPunct/>
        <w:topLinePunct w:val="0"/>
        <w:autoSpaceDE/>
        <w:autoSpaceDN/>
        <w:bidi w:val="0"/>
        <w:adjustRightInd/>
        <w:snapToGrid/>
        <w:spacing w:line="460" w:lineRule="exact"/>
        <w:ind w:left="-420" w:firstLine="420" w:firstLine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决策与调控的精准闭环</w:t>
      </w:r>
    </w:p>
    <w:p>
      <w:pPr>
        <w:keepNext w:val="0"/>
        <w:keepLines w:val="0"/>
        <w:pageBreakBefore w:val="0"/>
        <w:numPr>
          <w:ilvl w:val="-1"/>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传统教学调整多基于课后反思与群体共性，难以在课堂教学过程中开展基于实时证据的即时反馈与决策。本研究将重点探索数智赋能课堂中利用实时汇聚的个体与小组数据，形成</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数据感知-策略调整-行为优化</w:t>
      </w:r>
      <w:r>
        <w:rPr>
          <w:rFonts w:hint="eastAsia" w:ascii="宋体" w:hAnsi="宋体" w:eastAsia="宋体" w:cs="宋体"/>
          <w:color w:val="auto"/>
          <w:sz w:val="21"/>
          <w:szCs w:val="21"/>
          <w:lang w:val="en-US" w:eastAsia="zh-CN"/>
        </w:rPr>
        <w:t>”</w:t>
      </w:r>
      <w:r>
        <w:rPr>
          <w:rFonts w:hint="eastAsia" w:ascii="宋体" w:hAnsi="宋体" w:eastAsia="宋体" w:cs="宋体"/>
          <w:sz w:val="21"/>
          <w:szCs w:val="21"/>
          <w:lang w:val="en-US" w:eastAsia="zh-CN"/>
        </w:rPr>
        <w:t>的教学干预闭环。教师依据动态数据流，从“经验主导者”转型为“数据决策者”，实现对学生个体运动负荷与团队协作策略的精准化、即时性调控。</w:t>
      </w:r>
    </w:p>
    <w:p>
      <w:pPr>
        <w:keepNext w:val="0"/>
        <w:keepLines w:val="0"/>
        <w:pageBreakBefore w:val="0"/>
        <w:numPr>
          <w:ilvl w:val="0"/>
          <w:numId w:val="3"/>
        </w:numPr>
        <w:kinsoku/>
        <w:wordWrap/>
        <w:overflowPunct/>
        <w:topLinePunct w:val="0"/>
        <w:autoSpaceDE/>
        <w:autoSpaceDN/>
        <w:bidi w:val="0"/>
        <w:adjustRightInd/>
        <w:snapToGrid/>
        <w:spacing w:line="460" w:lineRule="exact"/>
        <w:ind w:left="-420" w:firstLine="420" w:firstLine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模式与效果的精准验证</w:t>
      </w:r>
    </w:p>
    <w:p>
      <w:pPr>
        <w:keepNext w:val="0"/>
        <w:keepLines w:val="0"/>
        <w:pageBreakBefore w:val="0"/>
        <w:numPr>
          <w:ilvl w:val="-1"/>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相较于依赖经验判断的传统教学方式，本研究将进一步检验基于数智技术的精准教学方案在提升学生心肺耐力、灵敏协调等核心体能指标方面的实际效果及其作用程度。同时，研究亦关注该模式如何帮助学生深化对自身运动状态的理解，发展其自我监测与调节的能力，并为教师适应数字化教学环境、提升数据应用素养提供实践参考与发展路径。</w:t>
      </w:r>
    </w:p>
    <w:p>
      <w:pPr>
        <w:keepNext w:val="0"/>
        <w:keepLines w:val="0"/>
        <w:pageBreakBefore w:val="0"/>
        <w:numPr>
          <w:ilvl w:val="0"/>
          <w:numId w:val="2"/>
        </w:numPr>
        <w:kinsoku/>
        <w:wordWrap/>
        <w:overflowPunct/>
        <w:topLinePunct w:val="0"/>
        <w:autoSpaceDE/>
        <w:autoSpaceDN/>
        <w:bidi w:val="0"/>
        <w:adjustRightInd/>
        <w:snapToGrid/>
        <w:spacing w:line="460" w:lineRule="exact"/>
        <w:ind w:firstLine="0" w:firstLine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核心概念</w:t>
      </w:r>
    </w:p>
    <w:p>
      <w:pPr>
        <w:keepNext w:val="0"/>
        <w:keepLines w:val="0"/>
        <w:pageBreakBefore w:val="0"/>
        <w:numPr>
          <w:ilvl w:val="-1"/>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aps w:val="0"/>
          <w:color w:val="auto"/>
          <w:spacing w:val="0"/>
          <w:sz w:val="21"/>
          <w:szCs w:val="21"/>
          <w:shd w:val="clear" w:fill="auto"/>
        </w:rPr>
      </w:pPr>
      <w:r>
        <w:rPr>
          <w:rFonts w:hint="eastAsia" w:ascii="宋体" w:hAnsi="宋体" w:eastAsia="宋体" w:cs="宋体"/>
          <w:i w:val="0"/>
          <w:iCs w:val="0"/>
          <w:caps w:val="0"/>
          <w:color w:val="auto"/>
          <w:spacing w:val="0"/>
          <w:sz w:val="21"/>
          <w:szCs w:val="21"/>
          <w:shd w:val="clear" w:fill="auto"/>
        </w:rPr>
        <w:t>在教育数字化转型的背景下，“数智赋能”与“精准教学”共同构成了重构体育教学范式的核心学术概念。本部分旨在系统梳理精准教学的理论渊源及其在体育学科中的实践演进脉络，并明确当前小学体育领域的研究缺口，从而为本研究的定位与价值提供理论支撑。</w:t>
      </w:r>
    </w:p>
    <w:p>
      <w:pPr>
        <w:keepNext w:val="0"/>
        <w:keepLines w:val="0"/>
        <w:pageBreakBefore w:val="0"/>
        <w:numPr>
          <w:ilvl w:val="0"/>
          <w:numId w:val="4"/>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数智赋能</w:t>
      </w:r>
    </w:p>
    <w:p>
      <w:pPr>
        <w:keepNext w:val="0"/>
        <w:keepLines w:val="0"/>
        <w:pageBreakBefore w:val="0"/>
        <w:numPr>
          <w:ilvl w:val="-1"/>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aps w:val="0"/>
          <w:spacing w:val="0"/>
          <w:sz w:val="21"/>
          <w:szCs w:val="21"/>
          <w:shd w:val="clear"/>
        </w:rPr>
      </w:pPr>
      <w:r>
        <w:rPr>
          <w:rFonts w:hint="eastAsia" w:ascii="楷体" w:hAnsi="楷体" w:eastAsia="楷体" w:cs="楷体"/>
          <w:i w:val="0"/>
          <w:iCs w:val="0"/>
          <w:caps w:val="0"/>
          <w:spacing w:val="0"/>
          <w:sz w:val="21"/>
          <w:szCs w:val="21"/>
          <w:shd w:val="clear"/>
        </w:rPr>
        <w:t>何谓数智技术？根据《党的二十届三中全会〈决定〉学习辅导百问》，数智技术是数字化和智能化的有机融合，可以理解为“数字化+智能化”，是在数字化基础上融合应用机器学习、人工智能等智能技术的过程。而“赋能”则强调技术不仅是辅助工具，更是推动教学结构、决策模式与学习生态发生根本性转变的驱动力量</w:t>
      </w:r>
      <w:r>
        <w:rPr>
          <w:rFonts w:hint="eastAsia" w:ascii="楷体" w:hAnsi="楷体" w:eastAsia="楷体" w:cs="楷体"/>
          <w:i w:val="0"/>
          <w:iCs w:val="0"/>
          <w:caps w:val="0"/>
          <w:spacing w:val="0"/>
          <w:sz w:val="21"/>
          <w:szCs w:val="21"/>
          <w:shd w:val="clear"/>
          <w:vertAlign w:val="superscript"/>
          <w:lang w:eastAsia="zh-CN"/>
        </w:rPr>
        <w:fldChar w:fldCharType="begin"/>
      </w:r>
      <w:r>
        <w:rPr>
          <w:rFonts w:hint="eastAsia" w:ascii="楷体" w:hAnsi="楷体" w:eastAsia="楷体" w:cs="楷体"/>
          <w:i w:val="0"/>
          <w:iCs w:val="0"/>
          <w:caps w:val="0"/>
          <w:spacing w:val="0"/>
          <w:sz w:val="21"/>
          <w:szCs w:val="21"/>
          <w:shd w:val="clear"/>
          <w:vertAlign w:val="superscript"/>
          <w:lang w:eastAsia="zh-CN"/>
        </w:rPr>
        <w:instrText xml:space="preserve"> REF _Ref21369 \r \h </w:instrText>
      </w:r>
      <w:r>
        <w:rPr>
          <w:rFonts w:hint="eastAsia" w:ascii="楷体" w:hAnsi="楷体" w:eastAsia="楷体" w:cs="楷体"/>
          <w:i w:val="0"/>
          <w:iCs w:val="0"/>
          <w:caps w:val="0"/>
          <w:spacing w:val="0"/>
          <w:sz w:val="21"/>
          <w:szCs w:val="21"/>
          <w:shd w:val="clear"/>
          <w:vertAlign w:val="superscript"/>
          <w:lang w:eastAsia="zh-CN"/>
        </w:rPr>
        <w:fldChar w:fldCharType="separate"/>
      </w:r>
      <w:r>
        <w:rPr>
          <w:rFonts w:hint="eastAsia" w:ascii="楷体" w:hAnsi="楷体" w:eastAsia="楷体" w:cs="楷体"/>
          <w:i w:val="0"/>
          <w:iCs w:val="0"/>
          <w:caps w:val="0"/>
          <w:spacing w:val="0"/>
          <w:sz w:val="21"/>
          <w:szCs w:val="21"/>
          <w:shd w:val="clear"/>
          <w:vertAlign w:val="superscript"/>
          <w:lang w:eastAsia="zh-CN"/>
        </w:rPr>
        <w:t>[3]</w:t>
      </w:r>
      <w:r>
        <w:rPr>
          <w:rFonts w:hint="eastAsia" w:ascii="楷体" w:hAnsi="楷体" w:eastAsia="楷体" w:cs="楷体"/>
          <w:i w:val="0"/>
          <w:iCs w:val="0"/>
          <w:caps w:val="0"/>
          <w:spacing w:val="0"/>
          <w:sz w:val="21"/>
          <w:szCs w:val="21"/>
          <w:shd w:val="clear"/>
          <w:vertAlign w:val="superscript"/>
          <w:lang w:eastAsia="zh-CN"/>
        </w:rPr>
        <w:fldChar w:fldCharType="end"/>
      </w:r>
      <w:r>
        <w:rPr>
          <w:rFonts w:hint="eastAsia" w:ascii="宋体" w:hAnsi="宋体" w:eastAsia="宋体" w:cs="宋体"/>
          <w:i w:val="0"/>
          <w:iCs w:val="0"/>
          <w:caps w:val="0"/>
          <w:spacing w:val="0"/>
          <w:sz w:val="21"/>
          <w:szCs w:val="21"/>
          <w:shd w:val="clear"/>
        </w:rPr>
        <w:t>。因此，数智赋能本质上是以数据为基石、以智能技术为引擎，重构“教、学、</w:t>
      </w:r>
      <w:r>
        <w:rPr>
          <w:rFonts w:hint="eastAsia" w:ascii="宋体" w:hAnsi="宋体" w:eastAsia="宋体" w:cs="宋体"/>
          <w:i w:val="0"/>
          <w:iCs w:val="0"/>
          <w:caps w:val="0"/>
          <w:spacing w:val="0"/>
          <w:sz w:val="21"/>
          <w:szCs w:val="21"/>
          <w:shd w:val="clear"/>
          <w:lang w:val="en-US" w:eastAsia="zh-CN"/>
        </w:rPr>
        <w:t>赛、</w:t>
      </w:r>
      <w:r>
        <w:rPr>
          <w:rFonts w:hint="eastAsia" w:ascii="宋体" w:hAnsi="宋体" w:eastAsia="宋体" w:cs="宋体"/>
          <w:i w:val="0"/>
          <w:iCs w:val="0"/>
          <w:caps w:val="0"/>
          <w:spacing w:val="0"/>
          <w:sz w:val="21"/>
          <w:szCs w:val="21"/>
          <w:shd w:val="clear"/>
        </w:rPr>
        <w:t>评”全过程的教育新范式。</w:t>
      </w:r>
    </w:p>
    <w:p>
      <w:pPr>
        <w:keepNext w:val="0"/>
        <w:keepLines w:val="0"/>
        <w:pageBreakBefore w:val="0"/>
        <w:numPr>
          <w:ilvl w:val="0"/>
          <w:numId w:val="5"/>
        </w:numPr>
        <w:kinsoku/>
        <w:wordWrap/>
        <w:overflowPunct/>
        <w:topLinePunct w:val="0"/>
        <w:autoSpaceDE/>
        <w:autoSpaceDN/>
        <w:bidi w:val="0"/>
        <w:adjustRightInd/>
        <w:snapToGrid/>
        <w:spacing w:line="460" w:lineRule="exact"/>
        <w:ind w:left="422" w:hanging="422" w:hangingChars="200"/>
        <w:jc w:val="left"/>
        <w:textAlignment w:val="auto"/>
        <w:rPr>
          <w:rFonts w:hint="eastAsia" w:ascii="宋体" w:hAnsi="宋体" w:eastAsia="宋体" w:cs="宋体"/>
          <w:b/>
          <w:bCs/>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数据驱动：从经验决策到循证治理</w:t>
      </w:r>
    </w:p>
    <w:p>
      <w:pPr>
        <w:keepNext w:val="0"/>
        <w:keepLines w:val="0"/>
        <w:pageBreakBefore w:val="0"/>
        <w:numPr>
          <w:ilvl w:val="-1"/>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aps w:val="0"/>
          <w:spacing w:val="0"/>
          <w:sz w:val="21"/>
          <w:szCs w:val="21"/>
          <w:shd w:val="clear"/>
          <w:lang w:val="en-US" w:eastAsia="zh-CN"/>
        </w:rPr>
      </w:pPr>
      <w:r>
        <w:rPr>
          <w:rFonts w:hint="eastAsia" w:ascii="宋体" w:hAnsi="宋体" w:eastAsia="宋体" w:cs="宋体"/>
          <w:i w:val="0"/>
          <w:iCs w:val="0"/>
          <w:caps w:val="0"/>
          <w:spacing w:val="0"/>
          <w:sz w:val="21"/>
          <w:szCs w:val="21"/>
          <w:shd w:val="clear"/>
          <w:lang w:val="en-US" w:eastAsia="zh-CN"/>
        </w:rPr>
        <w:t>数智赋能的基石在于将教学全要素转化为可采集、可分析、可流通的数据。它强调教学决策应从依赖教师的个人经验与直观判断，转向基于实时、连续、多维度数据流的循证过程。在体育教学中，这意味着将模糊的“学生很累”、“动作不规范”等主观描述，转化为“心率持续高于160次/分”、“关节角度偏离标准值15度”等客观指标。数据成为洞察学习过程、诊断个体问题、评估教学效果的共同语言与核心依据，实现教学治理的科学化与精细化。</w:t>
      </w:r>
    </w:p>
    <w:p>
      <w:pPr>
        <w:keepNext w:val="0"/>
        <w:keepLines w:val="0"/>
        <w:pageBreakBefore w:val="0"/>
        <w:numPr>
          <w:ilvl w:val="0"/>
          <w:numId w:val="5"/>
        </w:numPr>
        <w:kinsoku/>
        <w:wordWrap/>
        <w:overflowPunct/>
        <w:topLinePunct w:val="0"/>
        <w:autoSpaceDE/>
        <w:autoSpaceDN/>
        <w:bidi w:val="0"/>
        <w:adjustRightInd/>
        <w:snapToGrid/>
        <w:spacing w:line="460" w:lineRule="exact"/>
        <w:ind w:left="422" w:leftChars="0" w:hanging="422" w:hangingChars="200"/>
        <w:jc w:val="left"/>
        <w:textAlignment w:val="auto"/>
        <w:rPr>
          <w:rFonts w:hint="eastAsia" w:ascii="宋体" w:hAnsi="宋体" w:eastAsia="宋体" w:cs="宋体"/>
          <w:b/>
          <w:bCs/>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智能升级：从流程自动化到认知增强</w:t>
      </w:r>
    </w:p>
    <w:p>
      <w:pPr>
        <w:keepNext w:val="0"/>
        <w:keepLines w:val="0"/>
        <w:pageBreakBefore w:val="0"/>
        <w:numPr>
          <w:ilvl w:val="-1"/>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aps w:val="0"/>
          <w:spacing w:val="0"/>
          <w:sz w:val="21"/>
          <w:szCs w:val="21"/>
          <w:shd w:val="clear"/>
          <w:lang w:val="en-US" w:eastAsia="zh-CN"/>
        </w:rPr>
      </w:pPr>
      <w:r>
        <w:rPr>
          <w:rFonts w:hint="eastAsia" w:ascii="宋体" w:hAnsi="宋体" w:eastAsia="宋体" w:cs="宋体"/>
          <w:i w:val="0"/>
          <w:iCs w:val="0"/>
          <w:caps w:val="0"/>
          <w:spacing w:val="0"/>
          <w:sz w:val="21"/>
          <w:szCs w:val="21"/>
          <w:shd w:val="clear"/>
          <w:lang w:val="en-US" w:eastAsia="zh-CN"/>
        </w:rPr>
        <w:t>数智赋能超越了一般数字化带来的流程便利（如考勤、计分），其关键在于引入人工智能、机器学习等算法模型，实现认知层面的增强。它表现为系统能够对复杂数据（如多模态运动数据）进行自动分析、模式识别与趋势预测。例如，通过算法识别学生动作模式的共性错误，或预测个体在特定负荷下的疲劳风险。这相当于为教师提供了强大的“认知外脑”，使其能够超越人类感官局限，进行更深层次的教学诊断与前瞻性干预，从而实现从“标准化流水线”到“个性化导航” 的教学升级。</w:t>
      </w:r>
    </w:p>
    <w:p>
      <w:pPr>
        <w:keepNext w:val="0"/>
        <w:keepLines w:val="0"/>
        <w:pageBreakBefore w:val="0"/>
        <w:numPr>
          <w:ilvl w:val="0"/>
          <w:numId w:val="5"/>
        </w:numPr>
        <w:kinsoku/>
        <w:wordWrap/>
        <w:overflowPunct/>
        <w:topLinePunct w:val="0"/>
        <w:autoSpaceDE/>
        <w:autoSpaceDN/>
        <w:bidi w:val="0"/>
        <w:adjustRightInd/>
        <w:snapToGrid/>
        <w:spacing w:line="460" w:lineRule="exact"/>
        <w:ind w:left="422" w:leftChars="0" w:hanging="422" w:hangingChars="200"/>
        <w:jc w:val="left"/>
        <w:textAlignment w:val="auto"/>
        <w:rPr>
          <w:rFonts w:hint="eastAsia" w:ascii="宋体" w:hAnsi="宋体" w:eastAsia="宋体" w:cs="宋体"/>
          <w:b/>
          <w:bCs/>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融合创新：从技术叠加到生态重构</w:t>
      </w:r>
    </w:p>
    <w:p>
      <w:pPr>
        <w:keepNext w:val="0"/>
        <w:keepLines w:val="0"/>
        <w:pageBreakBefore w:val="0"/>
        <w:numPr>
          <w:ilvl w:val="-1"/>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aps w:val="0"/>
          <w:spacing w:val="0"/>
          <w:sz w:val="21"/>
          <w:szCs w:val="21"/>
          <w:shd w:val="clear"/>
          <w:lang w:val="en-US" w:eastAsia="zh-CN"/>
        </w:rPr>
      </w:pPr>
      <w:r>
        <w:rPr>
          <w:rFonts w:hint="eastAsia" w:ascii="宋体" w:hAnsi="宋体" w:eastAsia="宋体" w:cs="宋体"/>
          <w:i w:val="0"/>
          <w:iCs w:val="0"/>
          <w:caps w:val="0"/>
          <w:spacing w:val="0"/>
          <w:sz w:val="21"/>
          <w:szCs w:val="21"/>
          <w:shd w:val="clear"/>
          <w:lang w:val="en-US" w:eastAsia="zh-CN"/>
        </w:rPr>
        <w:t>数智赋能并非简单地将智能设备机械地移植至传统课堂，而是致力于实现技术手段与教学目标、教学内容、教学方法及教学评价的有机统一，从而推动教学形态的根本革新。在此过程中，传统的“教师主导、教材为本、课堂封闭”的教学结构，逐渐转向以学生为主体、以问题为导向、以活动为载体的新型教学模式。在本研究所开展的课例中，光电球不再仅仅用作记录时间或得分的孤立工具，而是与“抢险行动”情境及具体的体能训练目标紧密结合，成为动态生成任务、引发认知冲突、促进协作学习的关键环境支持。通过这种方式，技术深度融入教学的整体脉络，与教师和学生共同构建了一个互动充分、情境沉浸且持续演进的智慧学习生态。</w:t>
      </w:r>
    </w:p>
    <w:p>
      <w:pPr>
        <w:keepNext w:val="0"/>
        <w:keepLines w:val="0"/>
        <w:pageBreakBefore w:val="0"/>
        <w:numPr>
          <w:ilvl w:val="0"/>
          <w:numId w:val="5"/>
        </w:numPr>
        <w:kinsoku/>
        <w:wordWrap/>
        <w:overflowPunct/>
        <w:topLinePunct w:val="0"/>
        <w:autoSpaceDE/>
        <w:autoSpaceDN/>
        <w:bidi w:val="0"/>
        <w:adjustRightInd/>
        <w:snapToGrid/>
        <w:spacing w:line="460" w:lineRule="exact"/>
        <w:ind w:left="422" w:leftChars="0" w:hanging="422" w:hangingChars="200"/>
        <w:jc w:val="left"/>
        <w:textAlignment w:val="auto"/>
        <w:rPr>
          <w:rFonts w:hint="eastAsia" w:ascii="宋体" w:hAnsi="宋体" w:eastAsia="宋体" w:cs="宋体"/>
          <w:b/>
          <w:bCs/>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以人为本：从关注效能到促进发展</w:t>
      </w:r>
    </w:p>
    <w:p>
      <w:pPr>
        <w:keepNext w:val="0"/>
        <w:keepLines w:val="0"/>
        <w:pageBreakBefore w:val="0"/>
        <w:numPr>
          <w:ilvl w:val="-1"/>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aps w:val="0"/>
          <w:spacing w:val="0"/>
          <w:sz w:val="21"/>
          <w:szCs w:val="21"/>
          <w:shd w:val="clear"/>
          <w:lang w:val="en-US" w:eastAsia="zh-CN"/>
        </w:rPr>
      </w:pPr>
      <w:r>
        <w:rPr>
          <w:rFonts w:hint="eastAsia" w:ascii="宋体" w:hAnsi="宋体" w:eastAsia="宋体" w:cs="宋体"/>
          <w:i w:val="0"/>
          <w:iCs w:val="0"/>
          <w:caps w:val="0"/>
          <w:spacing w:val="0"/>
          <w:sz w:val="21"/>
          <w:szCs w:val="21"/>
          <w:shd w:val="clear"/>
          <w:lang w:val="en-US" w:eastAsia="zh-CN"/>
        </w:rPr>
        <w:t>数智技术融入教育的根本追求，并不在于凸显技术本身，而在于切实助力学生的整体发展。其理念核心要求对可能发生的“技术异化”保持清醒认识，并始终坚持将技术应用的落脚点放在促进学生认知提升、技能习得、身心健康以及社会性发展等多元目标上。具体到体育教学领域，这意味着各类数据反馈不应异化为加重心理负担的“数字压力”，而应当成为支撑学生认识自我、反思策略并进行元认知调节的有效辅助工具。此外，数智赋能的范围既包括学生，也延伸至教师。它能够帮助教师从程式化的工作中解脱出来，从而将更多注意力投向更具创造性的教学设计、情感层面的互动以及因人而异的个性化指导。最终，这一路径旨在实现“以技术增进教育智慧”，而非简单以技术替代人的角色，以此真正回归教育培育人的根本使命。</w:t>
      </w:r>
    </w:p>
    <w:p>
      <w:pPr>
        <w:keepNext w:val="0"/>
        <w:keepLines w:val="0"/>
        <w:pageBreakBefore w:val="0"/>
        <w:numPr>
          <w:ilvl w:val="0"/>
          <w:numId w:val="6"/>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精准教学</w:t>
      </w:r>
    </w:p>
    <w:p>
      <w:pPr>
        <w:keepNext w:val="0"/>
        <w:keepLines w:val="0"/>
        <w:pageBreakBefore w:val="0"/>
        <w:numPr>
          <w:ilvl w:val="0"/>
          <w:numId w:val="0"/>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（1）精准教学的理论渊源与核心理念</w:t>
      </w:r>
    </w:p>
    <w:p>
      <w:pPr>
        <w:keepNext w:val="0"/>
        <w:keepLines w:val="0"/>
        <w:pageBreakBefore w:val="0"/>
        <w:numPr>
          <w:ilvl w:val="-1"/>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aps w:val="0"/>
          <w:spacing w:val="0"/>
          <w:sz w:val="21"/>
          <w:szCs w:val="21"/>
          <w:shd w:val="clear"/>
          <w:lang w:val="en-US" w:eastAsia="zh-CN"/>
        </w:rPr>
      </w:pPr>
      <w:r>
        <w:rPr>
          <w:rFonts w:hint="eastAsia" w:ascii="楷体" w:hAnsi="楷体" w:eastAsia="楷体" w:cs="楷体"/>
          <w:i w:val="0"/>
          <w:iCs w:val="0"/>
          <w:caps w:val="0"/>
          <w:spacing w:val="0"/>
          <w:sz w:val="21"/>
          <w:szCs w:val="21"/>
          <w:shd w:val="clear"/>
        </w:rPr>
        <w:t>精准教学</w:t>
      </w:r>
      <w:r>
        <w:rPr>
          <w:rFonts w:hint="eastAsia" w:ascii="楷体" w:hAnsi="楷体" w:eastAsia="楷体" w:cs="楷体"/>
          <w:i w:val="0"/>
          <w:iCs w:val="0"/>
          <w:caps w:val="0"/>
          <w:spacing w:val="0"/>
          <w:sz w:val="21"/>
          <w:szCs w:val="21"/>
          <w:shd w:val="clear"/>
          <w:lang w:val="en-US" w:eastAsia="zh-CN"/>
        </w:rPr>
        <w:t>这一创新理念最初由Lindsley 在 20 世纪 60 年代基于行为主义学习理论框架提出，其核心在于通过持标的实际达成情况</w:t>
      </w:r>
      <w:r>
        <w:rPr>
          <w:rFonts w:hint="eastAsia" w:ascii="楷体" w:hAnsi="楷体" w:eastAsia="楷体" w:cs="楷体"/>
          <w:i w:val="0"/>
          <w:iCs w:val="0"/>
          <w:caps w:val="0"/>
          <w:spacing w:val="0"/>
          <w:sz w:val="21"/>
          <w:szCs w:val="21"/>
          <w:shd w:val="clear"/>
          <w:vertAlign w:val="superscript"/>
          <w:lang w:val="en-US" w:eastAsia="zh-CN"/>
        </w:rPr>
        <w:fldChar w:fldCharType="begin"/>
      </w:r>
      <w:r>
        <w:rPr>
          <w:rFonts w:hint="eastAsia" w:ascii="楷体" w:hAnsi="楷体" w:eastAsia="楷体" w:cs="楷体"/>
          <w:i w:val="0"/>
          <w:iCs w:val="0"/>
          <w:caps w:val="0"/>
          <w:spacing w:val="0"/>
          <w:sz w:val="21"/>
          <w:szCs w:val="21"/>
          <w:shd w:val="clear"/>
          <w:vertAlign w:val="superscript"/>
          <w:lang w:val="en-US" w:eastAsia="zh-CN"/>
        </w:rPr>
        <w:instrText xml:space="preserve"> REF _Ref11767 \r \h </w:instrText>
      </w:r>
      <w:r>
        <w:rPr>
          <w:rFonts w:hint="eastAsia" w:ascii="楷体" w:hAnsi="楷体" w:eastAsia="楷体" w:cs="楷体"/>
          <w:i w:val="0"/>
          <w:iCs w:val="0"/>
          <w:caps w:val="0"/>
          <w:spacing w:val="0"/>
          <w:sz w:val="21"/>
          <w:szCs w:val="21"/>
          <w:shd w:val="clear"/>
          <w:vertAlign w:val="superscript"/>
          <w:lang w:val="en-US" w:eastAsia="zh-CN"/>
        </w:rPr>
        <w:fldChar w:fldCharType="separate"/>
      </w:r>
      <w:r>
        <w:rPr>
          <w:rFonts w:hint="eastAsia" w:ascii="楷体" w:hAnsi="楷体" w:eastAsia="楷体" w:cs="楷体"/>
          <w:i w:val="0"/>
          <w:iCs w:val="0"/>
          <w:caps w:val="0"/>
          <w:spacing w:val="0"/>
          <w:sz w:val="21"/>
          <w:szCs w:val="21"/>
          <w:shd w:val="clear"/>
          <w:vertAlign w:val="superscript"/>
          <w:lang w:val="en-US" w:eastAsia="zh-CN"/>
        </w:rPr>
        <w:t>[4]</w:t>
      </w:r>
      <w:r>
        <w:rPr>
          <w:rFonts w:hint="eastAsia" w:ascii="楷体" w:hAnsi="楷体" w:eastAsia="楷体" w:cs="楷体"/>
          <w:i w:val="0"/>
          <w:iCs w:val="0"/>
          <w:caps w:val="0"/>
          <w:spacing w:val="0"/>
          <w:sz w:val="21"/>
          <w:szCs w:val="21"/>
          <w:shd w:val="clear"/>
          <w:vertAlign w:val="superscript"/>
          <w:lang w:val="en-US" w:eastAsia="zh-CN"/>
        </w:rPr>
        <w:fldChar w:fldCharType="end"/>
      </w:r>
      <w:r>
        <w:rPr>
          <w:rFonts w:hint="eastAsia" w:ascii="宋体" w:hAnsi="宋体" w:eastAsia="宋体" w:cs="宋体"/>
          <w:i w:val="0"/>
          <w:iCs w:val="0"/>
          <w:caps w:val="0"/>
          <w:spacing w:val="0"/>
          <w:sz w:val="21"/>
          <w:szCs w:val="21"/>
          <w:shd w:val="clear"/>
          <w:lang w:val="en-US" w:eastAsia="zh-CN"/>
        </w:rPr>
        <w:t>。精准化教学超越传统“一刀切”的经验型教学，以学习者的个体差异为逻辑起点，通过对学习过程与结果进行持续、精确地测量与数据分析，进而实现教学目标、内容、方法与评价的针对性适配与动态优化的教学范式。</w:t>
      </w:r>
    </w:p>
    <w:p>
      <w:pPr>
        <w:keepNext w:val="0"/>
        <w:keepLines w:val="0"/>
        <w:pageBreakBefore w:val="0"/>
        <w:numPr>
          <w:ilvl w:val="-1"/>
          <w:numId w:val="0"/>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（2）精准教学在体育学科中的技术演进脉络</w:t>
      </w:r>
    </w:p>
    <w:p>
      <w:pPr>
        <w:keepNext w:val="0"/>
        <w:keepLines w:val="0"/>
        <w:pageBreakBefore w:val="0"/>
        <w:numPr>
          <w:ilvl w:val="-1"/>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aps w:val="0"/>
          <w:spacing w:val="0"/>
          <w:sz w:val="21"/>
          <w:szCs w:val="21"/>
          <w:shd w:val="clear"/>
          <w:lang w:val="en-US" w:eastAsia="zh-CN"/>
        </w:rPr>
      </w:pPr>
      <w:r>
        <w:rPr>
          <w:rFonts w:hint="eastAsia" w:ascii="宋体" w:hAnsi="宋体" w:eastAsia="宋体" w:cs="宋体"/>
          <w:i w:val="0"/>
          <w:iCs w:val="0"/>
          <w:caps w:val="0"/>
          <w:spacing w:val="0"/>
          <w:sz w:val="21"/>
          <w:szCs w:val="21"/>
          <w:shd w:val="clear"/>
          <w:lang w:val="en-US" w:eastAsia="zh-CN"/>
        </w:rPr>
        <w:t>在体育教学与训练领域，精准教学的实践与科学技术，特别是数据采集与分析技术的发展紧密相连，其演进历程可概括为以下三个递进阶段：</w:t>
      </w:r>
    </w:p>
    <w:p>
      <w:pPr>
        <w:keepNext w:val="0"/>
        <w:keepLines w:val="0"/>
        <w:pageBreakBefore w:val="0"/>
        <w:numPr>
          <w:ilvl w:val="0"/>
          <w:numId w:val="7"/>
        </w:numPr>
        <w:kinsoku/>
        <w:wordWrap/>
        <w:overflowPunct/>
        <w:topLinePunct w:val="0"/>
        <w:autoSpaceDE/>
        <w:autoSpaceDN/>
        <w:bidi w:val="0"/>
        <w:adjustRightInd/>
        <w:snapToGrid/>
        <w:spacing w:line="460" w:lineRule="exact"/>
        <w:ind w:left="420" w:leftChars="0" w:hanging="420" w:firstLineChars="0"/>
        <w:jc w:val="left"/>
        <w:textAlignment w:val="auto"/>
        <w:rPr>
          <w:rFonts w:hint="eastAsia" w:ascii="宋体" w:hAnsi="宋体" w:eastAsia="宋体" w:cs="宋体"/>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单一生理指标监控——客观化与量化的初探</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aps w:val="0"/>
          <w:spacing w:val="0"/>
          <w:sz w:val="21"/>
          <w:szCs w:val="21"/>
          <w:shd w:val="clear"/>
          <w:lang w:val="en-US" w:eastAsia="zh-CN"/>
        </w:rPr>
      </w:pPr>
      <w:r>
        <w:rPr>
          <w:rFonts w:hint="eastAsia" w:ascii="宋体" w:hAnsi="宋体" w:eastAsia="宋体" w:cs="宋体"/>
          <w:i w:val="0"/>
          <w:iCs w:val="0"/>
          <w:caps w:val="0"/>
          <w:spacing w:val="0"/>
          <w:sz w:val="21"/>
          <w:szCs w:val="21"/>
          <w:shd w:val="clear"/>
          <w:lang w:val="en-US" w:eastAsia="zh-CN"/>
        </w:rPr>
        <w:t>此阶段是体育教学走向“精准”的起点，其核心特征是借助工具将主观的身体感受转化为客观数据。早期实践中，常使用秒表、皮尺等工具测量速度与距离；随着心率监测设备的引入，体育教学实现了一次重要跨越。此类设备使教师能够实时追踪学生的运动强度，确保其负荷保持在科学有效的区间。这一阶段解决了“练多少”的量化问题，实现了从教师经验判断向客观生理指标参照的初步转变，为科学控制训练负荷、提升心肺功能奠定了基础。</w:t>
      </w:r>
    </w:p>
    <w:p>
      <w:pPr>
        <w:keepNext w:val="0"/>
        <w:keepLines w:val="0"/>
        <w:pageBreakBefore w:val="0"/>
        <w:numPr>
          <w:ilvl w:val="0"/>
          <w:numId w:val="7"/>
        </w:numPr>
        <w:kinsoku/>
        <w:wordWrap/>
        <w:overflowPunct/>
        <w:topLinePunct w:val="0"/>
        <w:autoSpaceDE/>
        <w:autoSpaceDN/>
        <w:bidi w:val="0"/>
        <w:adjustRightInd/>
        <w:snapToGrid/>
        <w:spacing w:line="460" w:lineRule="exact"/>
        <w:ind w:left="420" w:leftChars="0" w:hanging="420" w:firstLineChars="0"/>
        <w:jc w:val="left"/>
        <w:textAlignment w:val="auto"/>
        <w:rPr>
          <w:rFonts w:hint="eastAsia" w:ascii="宋体" w:hAnsi="宋体" w:eastAsia="宋体" w:cs="宋体"/>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动作技术与行为量化分析——可视化与过程化诊断</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i w:val="0"/>
          <w:iCs w:val="0"/>
          <w:caps w:val="0"/>
          <w:spacing w:val="0"/>
          <w:sz w:val="21"/>
          <w:szCs w:val="21"/>
          <w:shd w:val="clear"/>
          <w:lang w:val="en-US" w:eastAsia="zh-CN"/>
        </w:rPr>
      </w:pPr>
      <w:r>
        <w:rPr>
          <w:rFonts w:hint="eastAsia" w:ascii="宋体" w:hAnsi="宋体" w:eastAsia="宋体" w:cs="宋体"/>
          <w:i w:val="0"/>
          <w:iCs w:val="0"/>
          <w:caps w:val="0"/>
          <w:spacing w:val="0"/>
          <w:sz w:val="21"/>
          <w:szCs w:val="21"/>
          <w:shd w:val="clear"/>
          <w:lang w:val="en-US" w:eastAsia="zh-CN"/>
        </w:rPr>
        <w:t>随着影像与传感技术的进步，精准教学的焦点从“结果”延伸至“过程”。高速摄像、视频分析工具以及惯性测量单元等动作捕捉传感器的运用，使对运动技术细节进行量化评估成为可能。在此阶段，可采集关节角度、运动轨迹、发力顺序、身体姿态等高精度过程数据。教学目标也随之进一步细化，由提升基础体能转向优化专项技术动作、纠正错误运动模式并预防损伤，从而推动运动技能教学朝着标准化与精细化的方向发展。</w:t>
      </w:r>
    </w:p>
    <w:p>
      <w:pPr>
        <w:keepNext w:val="0"/>
        <w:keepLines w:val="0"/>
        <w:pageBreakBefore w:val="0"/>
        <w:numPr>
          <w:ilvl w:val="0"/>
          <w:numId w:val="7"/>
        </w:numPr>
        <w:kinsoku/>
        <w:wordWrap/>
        <w:overflowPunct/>
        <w:topLinePunct w:val="0"/>
        <w:autoSpaceDE/>
        <w:autoSpaceDN/>
        <w:bidi w:val="0"/>
        <w:adjustRightInd/>
        <w:snapToGrid/>
        <w:spacing w:line="460" w:lineRule="exact"/>
        <w:ind w:left="420" w:leftChars="0" w:hanging="420" w:firstLineChars="0"/>
        <w:jc w:val="left"/>
        <w:textAlignment w:val="auto"/>
        <w:rPr>
          <w:rFonts w:hint="eastAsia" w:ascii="宋体" w:hAnsi="宋体" w:eastAsia="宋体" w:cs="宋体"/>
          <w:i w:val="0"/>
          <w:iCs w:val="0"/>
          <w:caps w:val="0"/>
          <w:spacing w:val="0"/>
          <w:sz w:val="21"/>
          <w:szCs w:val="21"/>
          <w:shd w:val="clear"/>
          <w:lang w:val="en-US" w:eastAsia="zh-CN"/>
        </w:rPr>
      </w:pPr>
      <w:r>
        <w:rPr>
          <w:rFonts w:hint="eastAsia" w:ascii="宋体" w:hAnsi="宋体" w:eastAsia="宋体" w:cs="宋体"/>
          <w:b/>
          <w:bCs/>
          <w:i w:val="0"/>
          <w:iCs w:val="0"/>
          <w:caps w:val="0"/>
          <w:spacing w:val="0"/>
          <w:sz w:val="21"/>
          <w:szCs w:val="21"/>
          <w:shd w:val="clear"/>
          <w:lang w:val="en-US" w:eastAsia="zh-CN"/>
        </w:rPr>
        <w:t>多模态数据融合与智能决策——系统化与个性化赋能</w:t>
      </w:r>
    </w:p>
    <w:p>
      <w:pPr>
        <w:keepNext w:val="0"/>
        <w:keepLines w:val="0"/>
        <w:pageBreakBefore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当前，精准教学正进入以多源数据融合和人工智能驱动为特征的崭新阶段。借助计算机视觉（如AI姿态识别）、多维可穿戴设备、智能运动设备（如光电球）等技术，可以同步采集生理（心率、肌电）、动作（骨骼点、力度）、行为（反应时、决策选择）乃至情境（环境干扰）等多模态数据。技术的角色从辅助工具升维为驱动教学结构变革的关键要素与“认知脚手架”。通过对多维度数据的关联分析，系统能够构建更为立体化的学生画像，不仅支持教师进行“证据驱动”的实时干预，更指向由算法辅助生成个性化运动处方、自适应学习路径的终极目标，最终形成“监测-分析-干预-评价”的完整教学闭环。</w:t>
      </w:r>
    </w:p>
    <w:p>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（3）当前小学体育精准教学的研究与实践缺口</w:t>
      </w:r>
    </w:p>
    <w:p>
      <w:pPr>
        <w:keepNext w:val="0"/>
        <w:keepLines w:val="0"/>
        <w:pageBreakBefore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尽管精准教学在竞技体育和高阶训练中已取得长足发展，但其在基础教育阶段，尤其是在小学体育课堂中的系统化实践与理论研究仍存在明显缺口，主要体现在以下三方面：</w:t>
      </w:r>
    </w:p>
    <w:p>
      <w:pPr>
        <w:keepNext w:val="0"/>
        <w:keepLines w:val="0"/>
        <w:pageBreakBefore w:val="0"/>
        <w:numPr>
          <w:ilvl w:val="0"/>
          <w:numId w:val="7"/>
        </w:numPr>
        <w:kinsoku/>
        <w:wordWrap/>
        <w:overflowPunct/>
        <w:topLinePunct w:val="0"/>
        <w:autoSpaceDE/>
        <w:autoSpaceDN/>
        <w:bidi w:val="0"/>
        <w:adjustRightInd/>
        <w:snapToGrid/>
        <w:spacing w:line="460" w:lineRule="exact"/>
        <w:ind w:left="420" w:leftChars="0" w:hanging="420" w:firstLine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技术应用的“广度”与“深度”失衡</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有研究与应用多集中于跑步、跳绳等易于标准化的周期性项目，而对篮球、体操等涉及复杂技能、战术决策和团队协作的项目的精准化教学探索不足。多数实践仍停留在数据的单点采集与可视化呈现（“有数据”），未能深入至基于数据流进行动态任务生成、即时反馈与教学策略自动调优（“用数据”）的深度闭环，技术与教学设计的融合尚显表层化。</w:t>
      </w:r>
    </w:p>
    <w:p>
      <w:pPr>
        <w:keepNext w:val="0"/>
        <w:keepLines w:val="0"/>
        <w:pageBreakBefore w:val="0"/>
        <w:numPr>
          <w:ilvl w:val="0"/>
          <w:numId w:val="7"/>
        </w:numPr>
        <w:kinsoku/>
        <w:wordWrap/>
        <w:overflowPunct/>
        <w:topLinePunct w:val="0"/>
        <w:autoSpaceDE/>
        <w:autoSpaceDN/>
        <w:bidi w:val="0"/>
        <w:adjustRightInd/>
        <w:snapToGrid/>
        <w:spacing w:line="460" w:lineRule="exact"/>
        <w:ind w:left="420" w:leftChars="0" w:hanging="420" w:firstLine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忽视儿童发展的特殊性与体育的育人完整性</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小学阶段的核心目标在于培养兴趣、养成习惯、促进身心全面发展。当前许多技术方案直接移植自竞技体育或成人训练模型，容易忽视儿童认知水平、注意力特点、情感需求以及基础运动能力形成的客观规律。研究缺口在于如何设计符合儿童认知的数据反馈形式（如游戏化、故事化），以及如何平衡数据驱动的精准性与体育游戏所蕴含的乐趣性、创造性和社会性交往价值，避免技术应用导致体育教学的“去人文化”与“功利化”倾向。</w:t>
      </w:r>
    </w:p>
    <w:p>
      <w:pPr>
        <w:keepNext w:val="0"/>
        <w:keepLines w:val="0"/>
        <w:pageBreakBefore w:val="0"/>
        <w:numPr>
          <w:ilvl w:val="0"/>
          <w:numId w:val="7"/>
        </w:numPr>
        <w:kinsoku/>
        <w:wordWrap/>
        <w:overflowPunct/>
        <w:topLinePunct w:val="0"/>
        <w:autoSpaceDE/>
        <w:autoSpaceDN/>
        <w:bidi w:val="0"/>
        <w:adjustRightInd/>
        <w:snapToGrid/>
        <w:spacing w:line="460" w:lineRule="exact"/>
        <w:ind w:left="420" w:leftChars="0" w:hanging="420" w:firstLine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教师数据素养与角色转型的支持体系薄弱</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精准教学的有效实施，迫切要求体育教师从传统的“示范-指挥者”转型为“数据解读者-学习设计者-过程调控者”。然而，当前针对一线体育教师的数据素养培训体系严重缺位。教师在数据解读（从海量信息中识别关键指标）、教学转化（将数据洞察转化为可操作的个别化指导）以及人机协同（与智能系统高效合作）等方面面临普遍挑战。如何构建系统的支持路径，帮助教师完成这一角色转型，是关乎精准教学能否在课堂层面真正落地的关键，亦是现有研究未能充分解答的实践难题。</w:t>
      </w:r>
    </w:p>
    <w:p>
      <w:pPr>
        <w:keepNext w:val="0"/>
        <w:keepLines w:val="0"/>
        <w:pageBreakBefore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本研究为小学体育教学的数字化转型提供一个具体、可操作的实践样本。在理论层面，它超越了“技术赋能”，更通过构建并验证一个结合体育学科特点（如运动负荷监控、动作分</w:t>
      </w:r>
      <w:r>
        <w:rPr>
          <w:rFonts w:hint="eastAsia" w:ascii="宋体" w:hAnsi="宋体" w:eastAsia="宋体" w:cs="宋体"/>
          <w:color w:val="auto"/>
          <w:sz w:val="21"/>
          <w:szCs w:val="21"/>
        </w:rPr>
        <w:t>析）的数据驱动教学模式，促进了学习体育科学与运动训练理论在小</w:t>
      </w:r>
      <w:r>
        <w:rPr>
          <w:rFonts w:hint="eastAsia" w:ascii="宋体" w:hAnsi="宋体" w:eastAsia="宋体" w:cs="宋体"/>
          <w:sz w:val="21"/>
          <w:szCs w:val="21"/>
        </w:rPr>
        <w:t>学体育中的融合。在实践层面，研究内容</w:t>
      </w:r>
      <w:r>
        <w:rPr>
          <w:rFonts w:hint="eastAsia" w:ascii="宋体" w:hAnsi="宋体" w:eastAsia="宋体" w:cs="宋体"/>
          <w:sz w:val="21"/>
          <w:szCs w:val="21"/>
          <w:lang w:eastAsia="zh-CN"/>
        </w:rPr>
        <w:t>并非</w:t>
      </w:r>
      <w:r>
        <w:rPr>
          <w:rFonts w:hint="eastAsia" w:ascii="宋体" w:hAnsi="宋体" w:eastAsia="宋体" w:cs="宋体"/>
          <w:sz w:val="21"/>
          <w:szCs w:val="21"/>
        </w:rPr>
        <w:t>抽象的理念知识，而是一套包含工具使用、数据解读和教学决策流程的具体方案。这不仅能直接助力一线教师提升“用数据说话”的教学能力，也可为区域开展体育教学数字化推广提供一个真实、完整、可供借鉴的课例范例，从而推动“因材施教”在体育训练中落到实处。</w:t>
      </w:r>
    </w:p>
    <w:p>
      <w:pPr>
        <w:keepNext w:val="0"/>
        <w:keepLines w:val="0"/>
        <w:pageBreakBefore w:val="0"/>
        <w:numPr>
          <w:ilvl w:val="0"/>
          <w:numId w:val="2"/>
        </w:numPr>
        <w:kinsoku/>
        <w:wordWrap/>
        <w:overflowPunct/>
        <w:topLinePunct w:val="0"/>
        <w:autoSpaceDE/>
        <w:autoSpaceDN/>
        <w:bidi w:val="0"/>
        <w:adjustRightInd/>
        <w:snapToGrid/>
        <w:spacing w:line="460" w:lineRule="exact"/>
        <w:ind w:left="0" w:leftChars="0" w:firstLine="0" w:firstLine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研究方法</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为系统探究数智赋能下精准化教学模式的实际效果，回应前述三个研究问题，本研究采用混合研究范式，综合运用量化与质性方法，通过准实验设计收集多源数据，以形成相互印证的证据链。</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1.研究对象</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研究选取上海市徐汇区一所示范性小学四年级学生作为研究对象。采用整群抽样法，选取该校四年级两个在既往体能测试平均成绩、男女比例、班级人数上无显著差异的平行班，分别设定为实验班与对照班。其中，实验班共40人（男生20人，女生20人），对照班共40人（男生20人，女生20人）。所有学生均无器质性体育训练禁忌症，并获知其与家长知情同意。两班由同一位具有3年以上教学经验的体育教师授课，以控制教师变量。</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2.研究设计</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研究采用“不等组前后测”准实验设计。实验班在四年级体能单元（共9课时）中，全程实施基于心率手环与光电球系统的数智赋能精准教学模式。对照班则在相同课时内，由同一教师采用基于经验观察与统一指导的传统教学模式，完成相同的体能训练内容与情境主题。研究通过前测（单元教学开始前一周）与后测（单元教学结束后一周），分别对两班学生的体能素质、体能认知及课堂体验数据进行采集与对比，以检验教学模式的差异化效果。</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3.数据收集工具</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本研究通过三类工具收集数据：</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（1）智能设备与体能测试工具：</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生理数据采集方面，研究使用了Sunfit Link心率监测手环，该设备能够实时同步获取每位学生以及班级整体的平均心率，并统计在不同强度心率区间内的持续时长。行为与环境数据的采集则依托C4gym光电球反应训练系统实现，该系统由一组可编程控制亮灭与颜色的光电球、中央控制器及数据接收终端构成，用于记录学生的反应时间、移动路径、触球准确率等行为指标。在体能素质的前测与后测中，选取了以下三项测试：以3分钟跳绳评估心肺耐力，以10×4米往返跑测量速度与灵敏性，并以坐位体前屈检验柔韧素质。</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200"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（2）调查问卷：</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本研究采用了自行编制的《小学生体育课堂体验与认知调查问卷》。该问卷经过专家效度检验与预测试信度分析（Cronbach's α &gt; 0.8），共包含两个维度：</w:t>
      </w:r>
    </w:p>
    <w:p>
      <w:pPr>
        <w:keepNext w:val="0"/>
        <w:keepLines w:val="0"/>
        <w:pageBreakBefore w:val="0"/>
        <w:widowControl w:val="0"/>
        <w:numPr>
          <w:ilvl w:val="0"/>
          <w:numId w:val="8"/>
        </w:numPr>
        <w:kinsoku/>
        <w:wordWrap/>
        <w:overflowPunct/>
        <w:topLinePunct w:val="0"/>
        <w:autoSpaceDE/>
        <w:autoSpaceDN/>
        <w:bidi w:val="0"/>
        <w:adjustRightInd/>
        <w:snapToGrid/>
        <w:spacing w:line="460" w:lineRule="exact"/>
        <w:ind w:left="420" w:leftChars="0" w:hanging="42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体能认知与策略维度：</w:t>
      </w:r>
      <w:r>
        <w:rPr>
          <w:rFonts w:hint="eastAsia" w:ascii="宋体" w:hAnsi="宋体" w:eastAsia="宋体" w:cs="宋体"/>
          <w:b w:val="0"/>
          <w:bCs w:val="0"/>
          <w:sz w:val="21"/>
          <w:szCs w:val="21"/>
          <w:lang w:val="en-US" w:eastAsia="zh-CN"/>
        </w:rPr>
        <w:t>旨在考察学生对运动负荷、疲劳恢复以及团队协作策略的认知程度，例如设置“我理解运动时心跳加快属于正常生理现象”等陈述。</w:t>
      </w:r>
    </w:p>
    <w:p>
      <w:pPr>
        <w:keepNext w:val="0"/>
        <w:keepLines w:val="0"/>
        <w:pageBreakBefore w:val="0"/>
        <w:widowControl w:val="0"/>
        <w:numPr>
          <w:ilvl w:val="0"/>
          <w:numId w:val="8"/>
        </w:numPr>
        <w:kinsoku/>
        <w:wordWrap/>
        <w:overflowPunct/>
        <w:topLinePunct w:val="0"/>
        <w:autoSpaceDE/>
        <w:autoSpaceDN/>
        <w:bidi w:val="0"/>
        <w:adjustRightInd/>
        <w:snapToGrid/>
        <w:spacing w:line="460" w:lineRule="exact"/>
        <w:ind w:left="420" w:leftChars="0" w:hanging="42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数智赋能/课堂活动体验维度</w:t>
      </w:r>
      <w:r>
        <w:rPr>
          <w:rFonts w:hint="eastAsia" w:ascii="宋体" w:hAnsi="宋体" w:eastAsia="宋体" w:cs="宋体"/>
          <w:b w:val="0"/>
          <w:bCs w:val="0"/>
          <w:sz w:val="21"/>
          <w:szCs w:val="21"/>
          <w:lang w:val="en-US" w:eastAsia="zh-CN"/>
        </w:rPr>
        <w:t>：在实验班中，问卷侧重于收集学生对数据反馈、人机交互等方面的感受（如“看到大屏幕上显示本组的心率数据，增强了我的参与动机”）；对照班的问卷则主要关注学生对传统游戏化教学活动的体验评价。</w:t>
      </w:r>
    </w:p>
    <w:p>
      <w:pPr>
        <w:keepNext w:val="0"/>
        <w:keepLines w:val="0"/>
        <w:pageBreakBefore w:val="0"/>
        <w:numPr>
          <w:ilvl w:val="0"/>
          <w:numId w:val="9"/>
        </w:numPr>
        <w:kinsoku/>
        <w:wordWrap/>
        <w:overflowPunct/>
        <w:topLinePunct w:val="0"/>
        <w:autoSpaceDE/>
        <w:autoSpaceDN/>
        <w:bidi w:val="0"/>
        <w:adjustRightInd/>
        <w:snapToGrid/>
        <w:spacing w:line="460" w:lineRule="exact"/>
        <w:ind w:left="422" w:leftChars="0" w:hanging="422" w:hanging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质性资料：</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firstLine="420" w:firstLineChars="20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研究还收集了多种质性资料以进行深入分析，主要包括教师的课后反思日志；对部分学生进行的半结构化访谈录音，访谈问题例如“当你注意到自己心率较高时，会如何调整？”等等；以及完整的课堂教学录像。这些材料共同用于深度解读学生在课堂中的行为变化及其背后的决策过程。</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4.数据分析方法</w:t>
      </w:r>
    </w:p>
    <w:p>
      <w:pPr>
        <w:keepNext w:val="0"/>
        <w:keepLines w:val="0"/>
        <w:pageBreakBefore w:val="0"/>
        <w:numPr>
          <w:ilvl w:val="0"/>
          <w:numId w:val="0"/>
        </w:numPr>
        <w:kinsoku/>
        <w:wordWrap/>
        <w:overflowPunct/>
        <w:topLinePunct w:val="0"/>
        <w:autoSpaceDE/>
        <w:autoSpaceDN/>
        <w:bidi w:val="0"/>
        <w:adjustRightInd/>
        <w:snapToGrid/>
        <w:spacing w:line="460" w:lineRule="exact"/>
        <w:ind w:leftChars="0"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对收集的多源数据，采用以下方法进行分析：</w:t>
      </w:r>
    </w:p>
    <w:p>
      <w:pPr>
        <w:keepNext w:val="0"/>
        <w:keepLines w:val="0"/>
        <w:pageBreakBefore w:val="0"/>
        <w:numPr>
          <w:ilvl w:val="0"/>
          <w:numId w:val="10"/>
        </w:numPr>
        <w:kinsoku/>
        <w:wordWrap/>
        <w:overflowPunct/>
        <w:topLinePunct w:val="0"/>
        <w:autoSpaceDE/>
        <w:autoSpaceDN/>
        <w:bidi w:val="0"/>
        <w:adjustRightInd/>
        <w:snapToGrid/>
        <w:spacing w:line="460" w:lineRule="exact"/>
        <w:ind w:left="422" w:leftChars="0" w:hanging="422" w:hanging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量化数据分析</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首先进行描述性统计，计算所有体能测试成绩以及问卷各维度得分的平均值与标准差，以呈现数据的基本分布特征。</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进一步采用推断统计，运用SPSS 26.0软件进行检验。在干预开始前，对两个班级的前测数据施行独立样本t检验，以确认两组学生的起始水平具备可比性。为评估教学干预的效果，对两班后测成绩进行独立样本t检验，以分析组间差异；同时对实验班与对照班分别进行前后测的配对样本t检验，以比较各组自身的进步情况。问卷各维度得分的组间比较也使用独立样本t检验完成。统计分析中，将P&lt;0.05定义为具有显著性差异，P&lt;0.01则定义为具有高度显著性差异。</w:t>
      </w:r>
    </w:p>
    <w:p>
      <w:pPr>
        <w:keepNext w:val="0"/>
        <w:keepLines w:val="0"/>
        <w:pageBreakBefore w:val="0"/>
        <w:numPr>
          <w:ilvl w:val="0"/>
          <w:numId w:val="10"/>
        </w:numPr>
        <w:kinsoku/>
        <w:wordWrap/>
        <w:overflowPunct/>
        <w:topLinePunct w:val="0"/>
        <w:autoSpaceDE/>
        <w:autoSpaceDN/>
        <w:bidi w:val="0"/>
        <w:adjustRightInd/>
        <w:snapToGrid/>
        <w:spacing w:line="460" w:lineRule="exact"/>
        <w:ind w:left="422" w:leftChars="0" w:hanging="422" w:hanging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质性资料分析</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用质性内容分析法处理访谈录音与反思日志文本。通过归纳式编码，对文本进行反复阅读与提炼，逐步形成数据意识萌芽、策略调整节点、技术应用难点等关键主题，并将其归类为若干核心类属。质性分析结果将与量化研究发现相互印证、补充，从而深入阐释教学模式产生效果的作用机制及其在实际应用中可能遇到的限制。</w:t>
      </w:r>
    </w:p>
    <w:p>
      <w:pPr>
        <w:keepNext w:val="0"/>
        <w:keepLines w:val="0"/>
        <w:pageBreakBefore w:val="0"/>
        <w:numPr>
          <w:ilvl w:val="0"/>
          <w:numId w:val="0"/>
        </w:numPr>
        <w:kinsoku/>
        <w:wordWrap/>
        <w:overflowPunct/>
        <w:topLinePunct w:val="0"/>
        <w:autoSpaceDE/>
        <w:autoSpaceDN/>
        <w:bidi w:val="0"/>
        <w:adjustRightInd/>
        <w:snapToGrid/>
        <w:spacing w:line="460" w:lineRule="exact"/>
        <w:jc w:val="left"/>
        <w:textAlignment w:val="auto"/>
        <w:rPr>
          <w:rFonts w:hint="eastAsia" w:ascii="宋体" w:hAnsi="宋体" w:eastAsia="宋体" w:cs="宋体"/>
          <w:sz w:val="21"/>
          <w:szCs w:val="21"/>
        </w:rPr>
      </w:pPr>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案例描述：基于数智赋能的精准化教学系统架构与实施</w:t>
      </w:r>
    </w:p>
    <w:p>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w:t>
      </w:r>
      <w:r>
        <w:rPr>
          <w:rFonts w:hint="eastAsia" w:ascii="宋体" w:hAnsi="宋体" w:eastAsia="宋体" w:cs="宋体"/>
          <w:b/>
          <w:bCs/>
          <w:sz w:val="21"/>
          <w:szCs w:val="21"/>
          <w:lang w:val="en-US" w:eastAsia="zh-CN"/>
        </w:rPr>
        <w:t>一</w:t>
      </w:r>
      <w:r>
        <w:rPr>
          <w:rFonts w:hint="eastAsia" w:ascii="宋体" w:hAnsi="宋体" w:eastAsia="宋体" w:cs="宋体"/>
          <w:b/>
          <w:bCs/>
          <w:sz w:val="21"/>
          <w:szCs w:val="21"/>
        </w:rPr>
        <w:t>）数智赋能的关键支撑点与教学实例阐述</w:t>
      </w:r>
    </w:p>
    <w:p>
      <w:pPr>
        <w:keepNext w:val="0"/>
        <w:keepLines w:val="0"/>
        <w:pageBreakBefore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案例以“抢险行动”为教学情境，系统重构了小学四年级体能单元的教学逻辑，其核心在于将数智技术从辅助工具升维为驱动教学结构变革的关键要素。通过心率手环与光电球等智能设备的深度嵌入，教学实现了从经验主导到数据驱动、从群体统一到个体适配的精准化转型，具体体现于以下四个层面的实践。</w:t>
      </w:r>
    </w:p>
    <w:p>
      <w:pPr>
        <w:keepNext w:val="0"/>
        <w:keepLines w:val="0"/>
        <w:pageBreakBefore w:val="0"/>
        <w:numPr>
          <w:ilvl w:val="0"/>
          <w:numId w:val="11"/>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数智赋能下的多维度数据采集与可视化监控体系</w:t>
      </w:r>
    </w:p>
    <w:p>
      <w:pPr>
        <w:keepNext w:val="0"/>
        <w:keepLines w:val="0"/>
        <w:pageBreakBefore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本案例构建了覆盖生理机能与动作表现的双轨数据采集系统。在数智赋能层面，心率手环作为“生理负荷传感器”，持续采集学生个体实时心率，并以有效心率区间（140-160次/分）为科学参照，将身体感受转化为客观量化指标；光电球则充当“环境交互与行为触发器”，其颜色、亮灭节奏的动态变化，同步记录学生的反应速度、动作选择与协调性。在精准教学层面，这两类数据的实时汇聚与可视化呈现（如通过大屏动态显示），使教师能够超越传统经验观察，精准识别每位学生的当前负荷水平与技能状态，为实施差异化干预提供了实证起点，实现了“教有所据”。</w:t>
      </w:r>
    </w:p>
    <w:p>
      <w:pPr>
        <w:keepNext w:val="0"/>
        <w:keepLines w:val="0"/>
        <w:pageBreakBefore w:val="0"/>
        <w:numPr>
          <w:ilvl w:val="0"/>
          <w:numId w:val="12"/>
        </w:numPr>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精准教学导向下的动态任务生成与个性化适配机制</w:t>
      </w:r>
    </w:p>
    <w:p>
      <w:pPr>
        <w:keepNext w:val="0"/>
        <w:keepLines w:val="0"/>
        <w:pageBreakBefore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教学设计利用数智技术实现了学习任务的自适应生成与动态分层。数智赋能体现为光电球系统可根据预设程序或教师实时调控，变换信号模式（如“踏浪登陆”中颜色对应不同动作，“探雷排险”中结合转台增加不确定性），从而在恒定物理空间内创设出复杂度与认知需求持续演变的动态学习环境。精准教学则在于，这种动态性自然形成了任务难度的弹性梯度。不同能力水平的学生在面对同一组光电信号时，其反应策略、动作速度与完成质量会自然分化，这实则是系统对学习者“最近发展区”的无感检测与隐性适配，使教学能“隐形”地关照个体差异，推动每位学生在挑战阈值内获得发展。</w:t>
      </w:r>
    </w:p>
    <w:p>
      <w:pPr>
        <w:keepNext w:val="0"/>
        <w:keepLines w:val="0"/>
        <w:pageBreakBefore w:val="0"/>
        <w:numPr>
          <w:ilvl w:val="0"/>
          <w:numId w:val="12"/>
        </w:numPr>
        <w:kinsoku/>
        <w:wordWrap/>
        <w:overflowPunct/>
        <w:topLinePunct w:val="0"/>
        <w:autoSpaceDE/>
        <w:autoSpaceDN/>
        <w:bidi w:val="0"/>
        <w:adjustRightInd/>
        <w:snapToGrid/>
        <w:spacing w:line="460" w:lineRule="exact"/>
        <w:ind w:left="0" w:leftChars="0" w:firstLine="0" w:firstLineChars="0"/>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基于实时数据循证的反馈干预与认知能力培养</w:t>
      </w:r>
    </w:p>
    <w:p>
      <w:pPr>
        <w:keepNext w:val="0"/>
        <w:keepLines w:val="0"/>
        <w:pageBreakBefore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本案例的核心突破在于构建了“</w:t>
      </w:r>
      <w:r>
        <w:rPr>
          <w:rFonts w:hint="eastAsia" w:ascii="宋体" w:hAnsi="宋体" w:eastAsia="宋体" w:cs="宋体"/>
          <w:color w:val="auto"/>
          <w:sz w:val="21"/>
          <w:szCs w:val="21"/>
        </w:rPr>
        <w:t>数据感知-策略调整-行为优化</w:t>
      </w:r>
      <w:r>
        <w:rPr>
          <w:rFonts w:hint="eastAsia" w:ascii="宋体" w:hAnsi="宋体" w:eastAsia="宋体" w:cs="宋体"/>
          <w:sz w:val="21"/>
          <w:szCs w:val="21"/>
        </w:rPr>
        <w:t>”的即时教学闭环。数智赋能提供了闭环的技术链路：在“探雷排险”等环节，系统不仅独立呈现心率数据与动作结果，更支持二者在时空上的同步对标。精准教学的关键操作是教师引导学生进行数据关联分析，例如，让学生观察“当心率超过160次/分时，拍灭光电球的准确性是否下降”。这一过程使学生亲历“疲劳影响动作质量”这一生理规律的实证过程，从而将抽象的“合理分配体力”教学难点，转化为基于自身数据的认知建构与行为调控。教学由此从外部指令转向内在认知驱动，培养了学生的科学运动意识与认知能力。</w:t>
      </w:r>
    </w:p>
    <w:p>
      <w:pPr>
        <w:keepNext w:val="0"/>
        <w:keepLines w:val="0"/>
        <w:pageBreakBefore w:val="0"/>
        <w:numPr>
          <w:ilvl w:val="0"/>
          <w:numId w:val="12"/>
        </w:numPr>
        <w:kinsoku/>
        <w:wordWrap/>
        <w:overflowPunct/>
        <w:topLinePunct w:val="0"/>
        <w:autoSpaceDE/>
        <w:autoSpaceDN/>
        <w:bidi w:val="0"/>
        <w:adjustRightInd/>
        <w:snapToGrid/>
        <w:spacing w:line="460" w:lineRule="exact"/>
        <w:ind w:left="0" w:leftChars="0" w:firstLine="0" w:firstLineChars="0"/>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指向团队协同效能的数据化洞察与策略优化</w:t>
      </w:r>
    </w:p>
    <w:p>
      <w:pPr>
        <w:keepNext w:val="0"/>
        <w:keepLines w:val="0"/>
        <w:pageBreakBefore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在综合性的“抢运物资”团队任务中，数智赋能实现了对集体行为效能的数据化洞察。数智赋能的深化体现在数据关注点从个体指标转向团队协同指标，如系统可分析组员心率变化的同步性、团队整体反应时间的稳定性等。精准教学在此阶段的升华在于，利用这些协同数据可视化呈现团队运行的“隐性节奏”。例如，通过数据发现某小组在信号响应时存在明显延迟，便可引导该组针对性反思观察分工或沟通方式。这使得团队协作从依赖情感与默契，转向基于共同数据事实进行策略诊断、沟通优化与行动校准，实现了在复杂任务中集体智慧与行动效率的精准提升。</w:t>
      </w:r>
    </w:p>
    <w:p>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w:t>
      </w:r>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）教学实施流程：数据驱动的精准化干预闭环</w:t>
      </w:r>
    </w:p>
    <w:p>
      <w:pPr>
        <w:keepNext w:val="0"/>
        <w:keepLines w:val="0"/>
        <w:pageBreakBefore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课前，教师依据综合分析生理数据与体能认知数据，初步把握班级整体特征与个体差异，进而设计更具针对性的教学方案。课中，教学沿“感知-决策-调控”的路径推进，学生在“踏浪登陆”环节初步建立对数据的感知；在“越障攀礁”和“探雷排险”环节学习对数据进行关联分析并做出判断；最终在“抢运物资”这一复杂团队任务中进行综合应用。课后，通过个性化体能报告引导学生进行总结与迁移，将课堂生成的数据意识与策略经验，转化为对自身运动习惯的认知，从而真正实现核心素养的内化与沉淀。整个流程体现了数智赋能从辅助工具升维为“教学结构性要素”的深层变革。</w:t>
      </w:r>
    </w:p>
    <w:p>
      <w:pPr>
        <w:keepNext w:val="0"/>
        <w:keepLines w:val="0"/>
        <w:pageBreakBefore w:val="0"/>
        <w:widowControl w:val="0"/>
        <w:numPr>
          <w:ilvl w:val="0"/>
          <w:numId w:val="0"/>
        </w:numPr>
        <w:kinsoku/>
        <w:wordWrap/>
        <w:overflowPunct/>
        <w:autoSpaceDE/>
        <w:autoSpaceDN/>
        <w:bidi w:val="0"/>
        <w:adjustRightInd/>
        <w:snapToGrid/>
        <w:spacing w:line="460" w:lineRule="exact"/>
        <w:jc w:val="lef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案例分析：数智赋能体育课堂的多维效果检视</w:t>
      </w:r>
    </w:p>
    <w:p>
      <w:pPr>
        <w:keepNext w:val="0"/>
        <w:keepLines w:val="0"/>
        <w:pageBreakBefore w:val="0"/>
        <w:widowControl w:val="0"/>
        <w:kinsoku/>
        <w:wordWrap/>
        <w:overflowPunct/>
        <w:autoSpaceDE/>
        <w:autoSpaceDN/>
        <w:bidi w:val="0"/>
        <w:adjustRightInd/>
        <w:snapToGrid/>
        <w:spacing w:line="460" w:lineRule="exact"/>
        <w:ind w:firstLine="420"/>
        <w:jc w:val="left"/>
        <w:textAlignment w:val="auto"/>
        <w:rPr>
          <w:rFonts w:hint="eastAsia" w:ascii="宋体" w:hAnsi="宋体" w:eastAsia="宋体" w:cs="宋体"/>
          <w:sz w:val="21"/>
          <w:szCs w:val="21"/>
        </w:rPr>
      </w:pPr>
      <w:r>
        <w:rPr>
          <w:rFonts w:hint="eastAsia" w:ascii="宋体" w:hAnsi="宋体" w:eastAsia="宋体" w:cs="宋体"/>
          <w:sz w:val="21"/>
          <w:szCs w:val="21"/>
        </w:rPr>
        <w:t>为系统评估数智赋能体育教学模式的实际成效，本研究通过整合体能测试、学习体验与行为迁移三组数据，构建了评估“数智赋能”课堂效果的完整证据链。数据分析清晰表明，实验班在各项关键指标上均显著优于对照班。这一系统性优势源于数智技术对“精准化教学”范式的深度支撑，具体体现为“数据具身—证据驱动—目标凝聚—生态重构”四个维度的联动革新。</w:t>
      </w:r>
    </w:p>
    <w:p>
      <w:pPr>
        <w:keepNext w:val="0"/>
        <w:keepLines w:val="0"/>
        <w:pageBreakBefore w:val="0"/>
        <w:widowControl w:val="0"/>
        <w:numPr>
          <w:ilvl w:val="0"/>
          <w:numId w:val="13"/>
        </w:numPr>
        <w:kinsoku/>
        <w:wordWrap/>
        <w:overflowPunct/>
        <w:topLinePunct/>
        <w:autoSpaceDE/>
        <w:autoSpaceDN/>
        <w:bidi w:val="0"/>
        <w:adjustRightInd/>
        <w:snapToGrid/>
        <w:spacing w:line="460" w:lineRule="exact"/>
        <w:ind w:left="0" w:hanging="422" w:hangingChars="200"/>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数据具身：从模糊感知到量化认知的精准转化</w:t>
      </w:r>
    </w:p>
    <w:p>
      <w:pPr>
        <w:keepNext w:val="0"/>
        <w:keepLines w:val="0"/>
        <w:pageBreakBefore w:val="0"/>
        <w:widowControl w:val="0"/>
        <w:kinsoku/>
        <w:wordWrap/>
        <w:overflowPunct/>
        <w:autoSpaceDE/>
        <w:autoSpaceDN/>
        <w:bidi w:val="0"/>
        <w:adjustRightInd/>
        <w:snapToGrid/>
        <w:spacing w:line="460" w:lineRule="exact"/>
        <w:ind w:firstLine="420"/>
        <w:jc w:val="left"/>
        <w:textAlignment w:val="auto"/>
        <w:rPr>
          <w:rFonts w:hint="eastAsia" w:ascii="宋体" w:hAnsi="宋体" w:eastAsia="宋体" w:cs="宋体"/>
          <w:sz w:val="21"/>
          <w:szCs w:val="21"/>
        </w:rPr>
      </w:pPr>
      <w:r>
        <w:rPr>
          <w:rFonts w:hint="default" w:ascii="宋体" w:hAnsi="宋体" w:eastAsia="宋体" w:cs="宋体"/>
          <w:sz w:val="21"/>
          <w:szCs w:val="21"/>
        </w:rPr>
        <w:t>数智赋能的核心在于将内在、主观的身体感受，转化为客观、可观测的量化数据，实现身体感知的“数据化”与认知的“精准化”。行为迁移数据显示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见表1</w:t>
      </w:r>
      <w:r>
        <w:rPr>
          <w:rFonts w:hint="eastAsia" w:ascii="宋体" w:hAnsi="宋体" w:eastAsia="宋体" w:cs="宋体"/>
          <w:sz w:val="21"/>
          <w:szCs w:val="21"/>
          <w:lang w:eastAsia="zh-CN"/>
        </w:rPr>
        <w:t>）</w:t>
      </w:r>
      <w:r>
        <w:rPr>
          <w:rFonts w:hint="default" w:ascii="宋体" w:hAnsi="宋体" w:eastAsia="宋体" w:cs="宋体"/>
          <w:sz w:val="21"/>
          <w:szCs w:val="21"/>
        </w:rPr>
        <w:t>，实验班82.5%的学生在课后会主动关注心跳、呼吸等身体信号，显著高于对照班62.5%。这源于心率手环将“疲劳”等模糊感受，实时转化为“心率150次/分”的精确数值。学习问卷结果进一步显示，实验班在“体能认知与策略”维度的均分</w:t>
      </w:r>
      <w:r>
        <w:rPr>
          <w:rFonts w:hint="eastAsia" w:ascii="宋体" w:hAnsi="宋体" w:eastAsia="宋体" w:cs="宋体"/>
          <w:sz w:val="21"/>
          <w:szCs w:val="21"/>
          <w:lang w:val="en-US" w:eastAsia="zh-CN"/>
        </w:rPr>
        <w:t>为</w:t>
      </w:r>
      <w:r>
        <w:rPr>
          <w:rFonts w:hint="default" w:ascii="宋体" w:hAnsi="宋体" w:eastAsia="宋体" w:cs="宋体"/>
          <w:sz w:val="21"/>
          <w:szCs w:val="21"/>
        </w:rPr>
        <w:t>16.25</w:t>
      </w:r>
      <w:r>
        <w:rPr>
          <w:rFonts w:hint="eastAsia" w:ascii="宋体" w:hAnsi="宋体" w:eastAsia="宋体" w:cs="宋体"/>
          <w:sz w:val="21"/>
          <w:szCs w:val="21"/>
          <w:lang w:eastAsia="zh-CN"/>
        </w:rPr>
        <w:t>，</w:t>
      </w:r>
      <w:r>
        <w:rPr>
          <w:rFonts w:hint="default" w:ascii="宋体" w:hAnsi="宋体" w:eastAsia="宋体" w:cs="宋体"/>
          <w:sz w:val="21"/>
          <w:szCs w:val="21"/>
        </w:rPr>
        <w:t>显著高于对照班</w:t>
      </w:r>
      <w:r>
        <w:rPr>
          <w:rFonts w:hint="eastAsia" w:ascii="宋体" w:hAnsi="宋体" w:eastAsia="宋体" w:cs="宋体"/>
          <w:sz w:val="21"/>
          <w:szCs w:val="21"/>
          <w:lang w:val="en-US" w:eastAsia="zh-CN"/>
        </w:rPr>
        <w:t>的均分</w:t>
      </w:r>
      <w:r>
        <w:rPr>
          <w:rFonts w:hint="default" w:ascii="宋体" w:hAnsi="宋体" w:eastAsia="宋体" w:cs="宋体"/>
          <w:sz w:val="21"/>
          <w:szCs w:val="21"/>
        </w:rPr>
        <w:t>14.69。这表明，学生借助数据不仅感知状态，更能理解运动原理，实现了从本能反应到策略调控的认知跃迁，为精准自我管理奠定了基础。</w:t>
      </w:r>
    </w:p>
    <w:p>
      <w:pPr>
        <w:jc w:val="center"/>
        <w:rPr>
          <w:rFonts w:hint="eastAsia" w:ascii="宋体" w:hAnsi="宋体" w:eastAsia="宋体" w:cs="宋体"/>
          <w:sz w:val="21"/>
          <w:szCs w:val="21"/>
        </w:rPr>
      </w:pPr>
      <w:r>
        <w:rPr>
          <w:rFonts w:hint="eastAsia" w:ascii="宋体" w:hAnsi="宋体" w:eastAsia="宋体" w:cs="宋体"/>
          <w:sz w:val="21"/>
          <w:szCs w:val="21"/>
        </w:rPr>
        <w:t>表</w:t>
      </w: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课后行为迁移</w:t>
      </w:r>
      <w:r>
        <w:rPr>
          <w:rFonts w:hint="eastAsia" w:ascii="宋体" w:hAnsi="宋体" w:eastAsia="宋体" w:cs="宋体"/>
          <w:sz w:val="21"/>
          <w:szCs w:val="21"/>
        </w:rPr>
        <w:t>对比</w:t>
      </w:r>
    </w:p>
    <w:p>
      <w:pPr>
        <w:ind w:firstLine="420" w:firstLineChars="200"/>
        <w:jc w:val="left"/>
        <w:rPr>
          <w:rFonts w:hint="eastAsia" w:ascii="宋体" w:hAnsi="宋体" w:eastAsia="宋体" w:cs="宋体"/>
          <w:sz w:val="21"/>
          <w:szCs w:val="21"/>
        </w:rPr>
      </w:pPr>
      <w:r>
        <w:rPr>
          <w:rFonts w:hint="eastAsia" w:eastAsiaTheme="minorEastAsia"/>
          <w:sz w:val="21"/>
          <w:szCs w:val="21"/>
          <w:lang w:eastAsia="zh-CN"/>
        </w:rPr>
        <w:drawing>
          <wp:anchor distT="0" distB="0" distL="114300" distR="114300" simplePos="0" relativeHeight="251660288" behindDoc="0" locked="0" layoutInCell="1" allowOverlap="1">
            <wp:simplePos x="0" y="0"/>
            <wp:positionH relativeFrom="column">
              <wp:posOffset>39370</wp:posOffset>
            </wp:positionH>
            <wp:positionV relativeFrom="paragraph">
              <wp:posOffset>77470</wp:posOffset>
            </wp:positionV>
            <wp:extent cx="5256530" cy="2988310"/>
            <wp:effectExtent l="5080" t="4445" r="8890" b="17145"/>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both"/>
        <w:rPr>
          <w:rFonts w:hint="eastAsia" w:ascii="宋体" w:hAnsi="宋体" w:eastAsia="宋体" w:cs="宋体"/>
          <w:sz w:val="21"/>
          <w:szCs w:val="21"/>
        </w:rPr>
      </w:pPr>
    </w:p>
    <w:p>
      <w:pPr>
        <w:jc w:val="left"/>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宋体" w:hAnsi="宋体" w:eastAsia="宋体" w:cs="宋体"/>
          <w:b/>
          <w:bCs/>
          <w:sz w:val="21"/>
          <w:szCs w:val="21"/>
        </w:rPr>
      </w:pP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
          <w:bCs/>
          <w:sz w:val="21"/>
          <w:szCs w:val="21"/>
        </w:rPr>
      </w:pPr>
      <w:r>
        <w:rPr>
          <w:rFonts w:ascii="宋体" w:hAnsi="宋体" w:eastAsia="宋体" w:cs="宋体"/>
          <w:b/>
          <w:bCs/>
          <w:sz w:val="21"/>
          <w:szCs w:val="21"/>
        </w:rPr>
        <w:t>（二）证据驱动：从经验判断到数据决策的精准干预</w:t>
      </w:r>
    </w:p>
    <w:p>
      <w:pPr>
        <w:keepNext w:val="0"/>
        <w:keepLines w:val="0"/>
        <w:pageBreakBefore w:val="0"/>
        <w:widowControl w:val="0"/>
        <w:kinsoku/>
        <w:wordWrap/>
        <w:overflowPunct/>
        <w:topLinePunct w:val="0"/>
        <w:autoSpaceDE/>
        <w:autoSpaceDN/>
        <w:bidi w:val="0"/>
        <w:adjustRightInd/>
        <w:snapToGrid/>
        <w:spacing w:line="460" w:lineRule="exact"/>
        <w:ind w:firstLine="420"/>
        <w:jc w:val="left"/>
        <w:textAlignment w:val="auto"/>
        <w:rPr>
          <w:rFonts w:hint="eastAsia" w:ascii="宋体" w:hAnsi="宋体" w:eastAsia="宋体" w:cs="宋体"/>
          <w:sz w:val="21"/>
          <w:szCs w:val="21"/>
          <w:lang w:val="en-US" w:eastAsia="zh-CN"/>
        </w:rPr>
      </w:pPr>
      <w:r>
        <w:rPr>
          <w:rFonts w:ascii="宋体" w:hAnsi="宋体" w:eastAsia="宋体" w:cs="宋体"/>
          <w:sz w:val="21"/>
          <w:szCs w:val="21"/>
        </w:rPr>
        <w:t>数智技术重构了课堂的决策逻辑，使教学干预建立在实时、连续的数据流之上，推动教学从经验主导转向证据驱动的“精准化”。学习体验数据显示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见表2</w:t>
      </w:r>
      <w:r>
        <w:rPr>
          <w:rFonts w:hint="eastAsia" w:ascii="宋体" w:hAnsi="宋体" w:eastAsia="宋体" w:cs="宋体"/>
          <w:sz w:val="21"/>
          <w:szCs w:val="21"/>
          <w:lang w:eastAsia="zh-CN"/>
        </w:rPr>
        <w:t>）</w:t>
      </w:r>
      <w:r>
        <w:rPr>
          <w:rFonts w:ascii="宋体" w:hAnsi="宋体" w:eastAsia="宋体" w:cs="宋体"/>
          <w:sz w:val="21"/>
          <w:szCs w:val="21"/>
        </w:rPr>
        <w:t>，实验班“数智赋能体验”维度的均分</w:t>
      </w:r>
      <w:r>
        <w:rPr>
          <w:rFonts w:hint="eastAsia" w:ascii="宋体" w:hAnsi="宋体" w:eastAsia="宋体" w:cs="宋体"/>
          <w:sz w:val="21"/>
          <w:szCs w:val="21"/>
          <w:lang w:val="en-US" w:eastAsia="zh-CN"/>
        </w:rPr>
        <w:t>为</w:t>
      </w:r>
      <w:r>
        <w:rPr>
          <w:rFonts w:ascii="宋体" w:hAnsi="宋体" w:eastAsia="宋体" w:cs="宋体"/>
          <w:sz w:val="21"/>
          <w:szCs w:val="21"/>
        </w:rPr>
        <w:t>17.26</w:t>
      </w:r>
      <w:r>
        <w:rPr>
          <w:rFonts w:hint="eastAsia" w:ascii="宋体" w:hAnsi="宋体" w:eastAsia="宋体" w:cs="宋体"/>
          <w:sz w:val="21"/>
          <w:szCs w:val="21"/>
          <w:lang w:eastAsia="zh-CN"/>
        </w:rPr>
        <w:t>，</w:t>
      </w:r>
      <w:r>
        <w:rPr>
          <w:rFonts w:ascii="宋体" w:hAnsi="宋体" w:eastAsia="宋体" w:cs="宋体"/>
          <w:sz w:val="21"/>
          <w:szCs w:val="21"/>
        </w:rPr>
        <w:t>远超对照班“课堂活动体验”</w:t>
      </w:r>
      <w:r>
        <w:rPr>
          <w:rFonts w:hint="eastAsia" w:ascii="宋体" w:hAnsi="宋体" w:eastAsia="宋体" w:cs="宋体"/>
          <w:sz w:val="21"/>
          <w:szCs w:val="21"/>
          <w:lang w:val="en-US" w:eastAsia="zh-CN"/>
        </w:rPr>
        <w:t>的</w:t>
      </w:r>
      <w:r>
        <w:rPr>
          <w:rFonts w:ascii="宋体" w:hAnsi="宋体" w:eastAsia="宋体" w:cs="宋体"/>
          <w:sz w:val="21"/>
          <w:szCs w:val="21"/>
        </w:rPr>
        <w:t>11.83，差异达45.9%。这源于教学反馈性质的变革：教师通过大屏实时呈现小组平均心率、任务进度等数据，其指导从“再坚持一下”的模糊鼓励，转变为“当前心率处于最佳负荷区间”的精准反馈。课堂互动围绕具体证据展开，使“教”与“学”的决策同步精准化。</w:t>
      </w:r>
    </w:p>
    <w:p>
      <w:pPr>
        <w:keepNext w:val="0"/>
        <w:keepLines w:val="0"/>
        <w:pageBreakBefore w:val="0"/>
        <w:widowControl w:val="0"/>
        <w:kinsoku/>
        <w:wordWrap/>
        <w:overflowPunct/>
        <w:topLinePunct w:val="0"/>
        <w:autoSpaceDE/>
        <w:autoSpaceDN/>
        <w:bidi w:val="0"/>
        <w:adjustRightInd/>
        <w:snapToGrid/>
        <w:spacing w:line="460" w:lineRule="exact"/>
        <w:ind w:firstLine="420"/>
        <w:jc w:val="center"/>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42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表2学习体验维度对比</w:t>
      </w:r>
    </w:p>
    <w:p>
      <w:pPr>
        <w:ind w:firstLine="420"/>
        <w:jc w:val="left"/>
        <w:rPr>
          <w:rFonts w:hint="eastAsia" w:ascii="宋体" w:hAnsi="宋体" w:eastAsia="宋体" w:cs="宋体"/>
          <w:sz w:val="21"/>
          <w:szCs w:val="21"/>
        </w:rPr>
      </w:pPr>
    </w:p>
    <w:p>
      <w:pPr>
        <w:ind w:firstLine="420"/>
        <w:jc w:val="left"/>
        <w:rPr>
          <w:rFonts w:hint="eastAsia" w:ascii="宋体" w:hAnsi="宋体" w:eastAsia="宋体" w:cs="宋体"/>
          <w:sz w:val="21"/>
          <w:szCs w:val="21"/>
        </w:rPr>
      </w:pPr>
      <w:r>
        <w:rPr>
          <w:rFonts w:hint="eastAsia" w:eastAsiaTheme="minorEastAsia"/>
          <w:sz w:val="21"/>
          <w:szCs w:val="21"/>
          <w:lang w:eastAsia="zh-CN"/>
        </w:rPr>
        <w:drawing>
          <wp:anchor distT="0" distB="0" distL="114300" distR="114300" simplePos="0" relativeHeight="251661312" behindDoc="0" locked="0" layoutInCell="1" allowOverlap="1">
            <wp:simplePos x="0" y="0"/>
            <wp:positionH relativeFrom="column">
              <wp:posOffset>10160</wp:posOffset>
            </wp:positionH>
            <wp:positionV relativeFrom="paragraph">
              <wp:posOffset>99060</wp:posOffset>
            </wp:positionV>
            <wp:extent cx="5221605" cy="2606675"/>
            <wp:effectExtent l="4445" t="4445" r="6350" b="508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200" w:firstLine="422" w:firstLineChars="200"/>
        <w:jc w:val="left"/>
        <w:textAlignment w:val="auto"/>
        <w:rPr>
          <w:rFonts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三</w:t>
      </w:r>
      <w:r>
        <w:rPr>
          <w:rFonts w:hint="eastAsia" w:ascii="宋体" w:hAnsi="宋体" w:eastAsia="宋体" w:cs="宋体"/>
          <w:b/>
          <w:bCs/>
          <w:sz w:val="21"/>
          <w:szCs w:val="21"/>
          <w:lang w:eastAsia="zh-CN"/>
        </w:rPr>
        <w:t>）</w:t>
      </w:r>
      <w:r>
        <w:rPr>
          <w:rFonts w:ascii="宋体" w:hAnsi="宋体" w:eastAsia="宋体" w:cs="宋体"/>
          <w:b/>
          <w:bCs/>
          <w:sz w:val="21"/>
          <w:szCs w:val="21"/>
        </w:rPr>
        <w:t>目标凝聚：从情感联结到数据协同的精准协作</w:t>
      </w:r>
    </w:p>
    <w:p>
      <w:pPr>
        <w:keepNext w:val="0"/>
        <w:keepLines w:val="0"/>
        <w:pageBreakBefore w:val="0"/>
        <w:widowControl w:val="0"/>
        <w:kinsoku/>
        <w:wordWrap/>
        <w:overflowPunct/>
        <w:topLinePunct w:val="0"/>
        <w:autoSpaceDE/>
        <w:autoSpaceDN/>
        <w:bidi w:val="0"/>
        <w:adjustRightInd/>
        <w:snapToGrid/>
        <w:spacing w:line="460" w:lineRule="exact"/>
        <w:ind w:firstLine="420"/>
        <w:jc w:val="left"/>
        <w:textAlignment w:val="auto"/>
        <w:rPr>
          <w:rFonts w:hint="eastAsia" w:ascii="宋体" w:hAnsi="宋体" w:eastAsia="宋体" w:cs="宋体"/>
          <w:sz w:val="21"/>
          <w:szCs w:val="21"/>
          <w:lang w:val="en-US" w:eastAsia="zh-CN"/>
        </w:rPr>
      </w:pPr>
      <w:r>
        <w:rPr>
          <w:rFonts w:hint="default" w:ascii="宋体" w:hAnsi="宋体" w:eastAsia="宋体" w:cs="宋体"/>
          <w:sz w:val="21"/>
          <w:szCs w:val="21"/>
        </w:rPr>
        <w:t>数智工具通过设定清晰、共享、可量化的数据目标，将团队协作从依赖情感与情境代入，升级为以数据为纽带的精准协同。实验班学生对“小组数据大屏竞赛”印象最深</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见图1</w:t>
      </w:r>
      <w:r>
        <w:rPr>
          <w:rFonts w:hint="eastAsia" w:ascii="宋体" w:hAnsi="宋体" w:eastAsia="宋体" w:cs="宋体"/>
          <w:sz w:val="21"/>
          <w:szCs w:val="21"/>
          <w:lang w:eastAsia="zh-CN"/>
        </w:rPr>
        <w:t>）</w:t>
      </w:r>
      <w:r>
        <w:rPr>
          <w:rFonts w:hint="default" w:ascii="宋体" w:hAnsi="宋体" w:eastAsia="宋体" w:cs="宋体"/>
          <w:sz w:val="21"/>
          <w:szCs w:val="21"/>
        </w:rPr>
        <w:t>，这表明实时呈现的团队综合数据（如平均心率、总耗时）构成了可视化的共同挑战。为实现这些具体的数据目标，成员必须主动沟通、即时调整策略。这种以数据为中心的协作，为团队精神提供了可衡量、可优化的精准载体。反观对照班，其协作更多依赖游戏情境，缺乏持续的数据锚点来校准协作效能。</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图1 实验班课堂印象环节</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sz w:val="21"/>
          <w:szCs w:val="21"/>
          <w:lang w:val="en-US" w:eastAsia="zh-CN"/>
        </w:rPr>
      </w:pPr>
      <w:r>
        <w:rPr>
          <w:sz w:val="21"/>
          <w:szCs w:val="21"/>
        </w:rPr>
        <w:drawing>
          <wp:anchor distT="0" distB="0" distL="114300" distR="114300" simplePos="0" relativeHeight="251663360" behindDoc="0" locked="0" layoutInCell="1" allowOverlap="1">
            <wp:simplePos x="0" y="0"/>
            <wp:positionH relativeFrom="column">
              <wp:posOffset>855345</wp:posOffset>
            </wp:positionH>
            <wp:positionV relativeFrom="paragraph">
              <wp:posOffset>89535</wp:posOffset>
            </wp:positionV>
            <wp:extent cx="3649345" cy="2115820"/>
            <wp:effectExtent l="0" t="0" r="8255" b="5080"/>
            <wp:wrapSquare wrapText="bothSides"/>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8"/>
                    <a:stretch>
                      <a:fillRect/>
                    </a:stretch>
                  </pic:blipFill>
                  <pic:spPr>
                    <a:xfrm>
                      <a:off x="0" y="0"/>
                      <a:ext cx="3649345" cy="211582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val="0"/>
          <w:bCs w:val="0"/>
          <w:sz w:val="21"/>
          <w:szCs w:val="21"/>
          <w:lang w:val="en-US" w:eastAsia="zh-CN"/>
        </w:rPr>
      </w:pPr>
    </w:p>
    <w:p>
      <w:pPr>
        <w:jc w:val="left"/>
        <w:rPr>
          <w:sz w:val="21"/>
          <w:szCs w:val="21"/>
        </w:rPr>
      </w:pPr>
    </w:p>
    <w:p>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0" w:firstLineChars="0"/>
        <w:jc w:val="left"/>
        <w:textAlignment w:val="auto"/>
        <w:rPr>
          <w:rFonts w:hint="default"/>
          <w:sz w:val="21"/>
          <w:szCs w:val="21"/>
        </w:rPr>
      </w:pPr>
      <w:r>
        <w:rPr>
          <w:b/>
          <w:bCs/>
          <w:sz w:val="21"/>
          <w:szCs w:val="21"/>
        </w:rPr>
        <w:t>生态重构：从单向传授到双向互动的精准学习场域</w:t>
      </w:r>
      <w:r>
        <w:rPr>
          <w:rFonts w:hint="default"/>
          <w:b/>
          <w:bCs/>
          <w:sz w:val="21"/>
          <w:szCs w:val="21"/>
        </w:rPr>
        <w:br w:type="textWrapping"/>
      </w:r>
      <w:r>
        <w:rPr>
          <w:rFonts w:hint="eastAsia"/>
          <w:b/>
          <w:bCs/>
          <w:sz w:val="21"/>
          <w:szCs w:val="21"/>
          <w:lang w:val="en-US" w:eastAsia="zh-CN"/>
        </w:rPr>
        <w:t xml:space="preserve">    </w:t>
      </w:r>
      <w:r>
        <w:rPr>
          <w:rFonts w:hint="default"/>
          <w:sz w:val="21"/>
          <w:szCs w:val="21"/>
        </w:rPr>
        <w:t>数智赋能的综合效应重塑了课堂整体生态，构建了一个以数据流动为循环、双向互动、深度沉浸的精准学习生态系统。这一重构体现在两方面：</w:t>
      </w:r>
      <w:r>
        <w:rPr>
          <w:rFonts w:hint="eastAsia"/>
          <w:sz w:val="21"/>
          <w:szCs w:val="21"/>
          <w:lang w:val="en-US" w:eastAsia="zh-CN"/>
        </w:rPr>
        <w:t>第一</w:t>
      </w:r>
      <w:r>
        <w:rPr>
          <w:rFonts w:hint="default"/>
          <w:sz w:val="21"/>
          <w:szCs w:val="21"/>
        </w:rPr>
        <w:t>互动模式从</w:t>
      </w:r>
      <w:r>
        <w:rPr>
          <w:rFonts w:hint="eastAsia"/>
          <w:sz w:val="21"/>
          <w:szCs w:val="21"/>
          <w:lang w:eastAsia="zh-CN"/>
        </w:rPr>
        <w:t>“</w:t>
      </w:r>
      <w:r>
        <w:rPr>
          <w:rFonts w:hint="default"/>
          <w:sz w:val="21"/>
          <w:szCs w:val="21"/>
        </w:rPr>
        <w:t>教师→学生</w:t>
      </w:r>
      <w:r>
        <w:rPr>
          <w:rFonts w:hint="eastAsia"/>
          <w:sz w:val="21"/>
          <w:szCs w:val="21"/>
          <w:lang w:eastAsia="zh-CN"/>
        </w:rPr>
        <w:t>”</w:t>
      </w:r>
      <w:r>
        <w:rPr>
          <w:rFonts w:hint="default"/>
          <w:sz w:val="21"/>
          <w:szCs w:val="21"/>
        </w:rPr>
        <w:t>的单向传递，转变为</w:t>
      </w:r>
      <w:r>
        <w:rPr>
          <w:rFonts w:hint="eastAsia"/>
          <w:sz w:val="21"/>
          <w:szCs w:val="21"/>
          <w:lang w:eastAsia="zh-CN"/>
        </w:rPr>
        <w:t>“</w:t>
      </w:r>
      <w:r>
        <w:rPr>
          <w:rFonts w:hint="default"/>
          <w:sz w:val="21"/>
          <w:szCs w:val="21"/>
        </w:rPr>
        <w:t>学生（数据）→教师/团队→策略→学生（行动）</w:t>
      </w:r>
      <w:r>
        <w:rPr>
          <w:rFonts w:hint="eastAsia"/>
          <w:sz w:val="21"/>
          <w:szCs w:val="21"/>
          <w:lang w:eastAsia="zh-CN"/>
        </w:rPr>
        <w:t>”</w:t>
      </w:r>
      <w:r>
        <w:rPr>
          <w:rFonts w:hint="default"/>
          <w:sz w:val="21"/>
          <w:szCs w:val="21"/>
        </w:rPr>
        <w:t>的数据闭环。</w:t>
      </w:r>
      <w:r>
        <w:rPr>
          <w:rFonts w:hint="eastAsia"/>
          <w:sz w:val="21"/>
          <w:szCs w:val="21"/>
          <w:lang w:val="en-US" w:eastAsia="zh-CN"/>
        </w:rPr>
        <w:t>第二，</w:t>
      </w:r>
      <w:r>
        <w:rPr>
          <w:rFonts w:hint="default"/>
          <w:sz w:val="21"/>
          <w:szCs w:val="21"/>
        </w:rPr>
        <w:t>学生的参与度因即时反馈与游戏化设计显著提升，对</w:t>
      </w:r>
      <w:r>
        <w:rPr>
          <w:rFonts w:hint="eastAsia"/>
          <w:sz w:val="21"/>
          <w:szCs w:val="21"/>
          <w:lang w:eastAsia="zh-CN"/>
        </w:rPr>
        <w:t>“</w:t>
      </w:r>
      <w:r>
        <w:rPr>
          <w:rFonts w:hint="default"/>
          <w:sz w:val="21"/>
          <w:szCs w:val="21"/>
        </w:rPr>
        <w:t>光电球让练习更有趣</w:t>
      </w:r>
      <w:r>
        <w:rPr>
          <w:rFonts w:hint="eastAsia"/>
          <w:sz w:val="21"/>
          <w:szCs w:val="21"/>
          <w:lang w:eastAsia="zh-CN"/>
        </w:rPr>
        <w:t>”</w:t>
      </w:r>
      <w:r>
        <w:rPr>
          <w:rFonts w:hint="default"/>
          <w:sz w:val="21"/>
          <w:szCs w:val="21"/>
        </w:rPr>
        <w:t>等表述认同度高</w:t>
      </w:r>
      <w:r>
        <w:rPr>
          <w:rFonts w:hint="eastAsia"/>
          <w:sz w:val="21"/>
          <w:szCs w:val="21"/>
          <w:lang w:val="en-US" w:eastAsia="zh-CN"/>
        </w:rPr>
        <w:t>的</w:t>
      </w:r>
      <w:r>
        <w:rPr>
          <w:rFonts w:hint="default"/>
          <w:sz w:val="21"/>
          <w:szCs w:val="21"/>
        </w:rPr>
        <w:t>均分</w:t>
      </w:r>
      <w:r>
        <w:rPr>
          <w:rFonts w:hint="eastAsia"/>
          <w:sz w:val="21"/>
          <w:szCs w:val="21"/>
          <w:lang w:val="en-US" w:eastAsia="zh-CN"/>
        </w:rPr>
        <w:t>为</w:t>
      </w:r>
      <w:r>
        <w:rPr>
          <w:rFonts w:hint="default"/>
          <w:sz w:val="21"/>
          <w:szCs w:val="21"/>
        </w:rPr>
        <w:t>4.78。最终，这种生态获得学生高度接纳，并直接转化为优异的体能结果</w:t>
      </w:r>
      <w:r>
        <w:rPr>
          <w:rFonts w:hint="eastAsia"/>
          <w:sz w:val="21"/>
          <w:szCs w:val="21"/>
          <w:lang w:eastAsia="zh-CN"/>
        </w:rPr>
        <w:t>，</w:t>
      </w:r>
      <w:r>
        <w:rPr>
          <w:rFonts w:hint="eastAsia"/>
          <w:sz w:val="21"/>
          <w:szCs w:val="21"/>
          <w:lang w:val="en-US" w:eastAsia="zh-CN"/>
        </w:rPr>
        <w:t>如</w:t>
      </w:r>
      <w:r>
        <w:rPr>
          <w:rFonts w:hint="default"/>
          <w:sz w:val="21"/>
          <w:szCs w:val="21"/>
        </w:rPr>
        <w:t>实验班跳绳成绩提升20.0%，远超对照班的7.6%</w:t>
      </w:r>
      <w:r>
        <w:rPr>
          <w:rFonts w:hint="eastAsia"/>
          <w:sz w:val="21"/>
          <w:szCs w:val="21"/>
          <w:lang w:eastAsia="zh-CN"/>
        </w:rPr>
        <w:t>（</w:t>
      </w:r>
      <w:r>
        <w:rPr>
          <w:rFonts w:hint="eastAsia"/>
          <w:sz w:val="21"/>
          <w:szCs w:val="21"/>
          <w:lang w:val="en-US" w:eastAsia="zh-CN"/>
        </w:rPr>
        <w:t>见表3</w:t>
      </w:r>
      <w:r>
        <w:rPr>
          <w:rFonts w:hint="eastAsia"/>
          <w:sz w:val="21"/>
          <w:szCs w:val="21"/>
          <w:lang w:eastAsia="zh-CN"/>
        </w:rPr>
        <w:t>）</w:t>
      </w:r>
      <w:r>
        <w:rPr>
          <w:rFonts w:hint="default"/>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jc w:val="center"/>
        <w:textAlignment w:val="auto"/>
        <w:rPr>
          <w:rFonts w:hint="default"/>
          <w:sz w:val="21"/>
          <w:szCs w:val="21"/>
          <w:lang w:val="en-US" w:eastAsia="zh-CN"/>
        </w:rPr>
      </w:pPr>
      <w:r>
        <w:rPr>
          <w:rFonts w:hint="default"/>
          <w:sz w:val="21"/>
          <w:szCs w:val="21"/>
        </w:rPr>
        <w:t>表</w:t>
      </w:r>
      <w:r>
        <w:rPr>
          <w:rFonts w:hint="default"/>
          <w:sz w:val="21"/>
          <w:szCs w:val="21"/>
          <w:lang w:val="en-US" w:eastAsia="zh-CN"/>
        </w:rPr>
        <w:t>3 体测前后对比</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jc w:val="center"/>
        <w:textAlignment w:val="auto"/>
        <w:rPr>
          <w:sz w:val="21"/>
          <w:szCs w:val="21"/>
        </w:rPr>
      </w:pPr>
      <w:r>
        <w:rPr>
          <w:rFonts w:hint="eastAsia" w:eastAsiaTheme="minorEastAsia"/>
          <w:sz w:val="21"/>
          <w:szCs w:val="21"/>
          <w:lang w:eastAsia="zh-CN"/>
        </w:rPr>
        <w:drawing>
          <wp:anchor distT="0" distB="0" distL="114300" distR="114300" simplePos="0" relativeHeight="251662336" behindDoc="0" locked="0" layoutInCell="1" allowOverlap="1">
            <wp:simplePos x="0" y="0"/>
            <wp:positionH relativeFrom="column">
              <wp:posOffset>70485</wp:posOffset>
            </wp:positionH>
            <wp:positionV relativeFrom="paragraph">
              <wp:posOffset>98425</wp:posOffset>
            </wp:positionV>
            <wp:extent cx="5256530" cy="2988310"/>
            <wp:effectExtent l="5080" t="4445" r="8890" b="1714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sz w:val="21"/>
          <w:szCs w:val="21"/>
        </w:rPr>
      </w:pPr>
      <w:r>
        <w:rPr>
          <w:rFonts w:hint="default"/>
          <w:sz w:val="21"/>
          <w:szCs w:val="21"/>
        </w:rPr>
        <w:t>综上，本研究的讨论证实，数智赋能精准教学的有效性，源于它通过数据重构了</w:t>
      </w:r>
      <w:r>
        <w:rPr>
          <w:rFonts w:hint="default"/>
          <w:color w:val="auto"/>
          <w:sz w:val="21"/>
          <w:szCs w:val="21"/>
        </w:rPr>
        <w:t>“数据具身—证据驱动—目标凝聚—生态重构”</w:t>
      </w:r>
      <w:r>
        <w:rPr>
          <w:rFonts w:hint="default"/>
          <w:sz w:val="21"/>
          <w:szCs w:val="21"/>
        </w:rPr>
        <w:t>的全链条教学逻辑，从而在提升技能的同时，培养了学生的数据素养、元认知能力和科学运动观念，为核心素养的落地提供了可操作的路径。</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b/>
          <w:bCs/>
          <w:sz w:val="21"/>
          <w:szCs w:val="21"/>
        </w:rPr>
      </w:pPr>
      <w:r>
        <w:rPr>
          <w:rFonts w:hint="eastAsia"/>
          <w:b/>
          <w:bCs/>
          <w:sz w:val="21"/>
          <w:szCs w:val="21"/>
          <w:lang w:val="en-US" w:eastAsia="zh-CN"/>
        </w:rPr>
        <w:t>四、</w:t>
      </w:r>
      <w:r>
        <w:rPr>
          <w:rFonts w:hint="eastAsia"/>
          <w:b/>
          <w:bCs/>
          <w:sz w:val="21"/>
          <w:szCs w:val="21"/>
        </w:rPr>
        <w:t>反思与启示</w:t>
      </w:r>
      <w:r>
        <w:rPr>
          <w:b/>
          <w:bCs/>
          <w:sz w:val="21"/>
          <w:szCs w:val="21"/>
        </w:rPr>
        <w:t>：从实践探索到可迁移的教学系统重构</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sz w:val="21"/>
          <w:szCs w:val="21"/>
        </w:rPr>
      </w:pPr>
      <w:r>
        <w:rPr>
          <w:sz w:val="21"/>
          <w:szCs w:val="21"/>
        </w:rPr>
        <w:t>本研究的核心在于验证并阐释一个数智赋能的精准教学模式。以下将结合研究数据，直接回应前述三个研究问题，深入讨论数智技术如何具体地解决了传统教学中的核心矛盾。</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b/>
          <w:bCs/>
          <w:sz w:val="21"/>
          <w:szCs w:val="21"/>
        </w:rPr>
      </w:pPr>
      <w:r>
        <w:rPr>
          <w:rFonts w:hint="eastAsia"/>
          <w:b/>
          <w:bCs/>
          <w:sz w:val="21"/>
          <w:szCs w:val="21"/>
          <w:lang w:eastAsia="zh-CN"/>
        </w:rPr>
        <w:t>（</w:t>
      </w:r>
      <w:r>
        <w:rPr>
          <w:rFonts w:hint="eastAsia"/>
          <w:b/>
          <w:bCs/>
          <w:sz w:val="21"/>
          <w:szCs w:val="21"/>
          <w:lang w:val="en-US" w:eastAsia="zh-CN"/>
        </w:rPr>
        <w:t>一</w:t>
      </w:r>
      <w:r>
        <w:rPr>
          <w:rFonts w:hint="eastAsia"/>
          <w:b/>
          <w:bCs/>
          <w:sz w:val="21"/>
          <w:szCs w:val="21"/>
          <w:lang w:eastAsia="zh-CN"/>
        </w:rPr>
        <w:t>）</w:t>
      </w:r>
      <w:r>
        <w:rPr>
          <w:rFonts w:hint="default"/>
          <w:b/>
          <w:bCs/>
          <w:sz w:val="21"/>
          <w:szCs w:val="21"/>
        </w:rPr>
        <w:t>数据促成教学目标与教学干预的精准对接</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sz w:val="21"/>
          <w:szCs w:val="21"/>
        </w:rPr>
      </w:pPr>
      <w:r>
        <w:rPr>
          <w:rFonts w:hint="default"/>
          <w:sz w:val="21"/>
          <w:szCs w:val="21"/>
        </w:rPr>
        <w:t>传统体能教学中，“提升心肺耐力”、“发展灵敏协调”等目标往往是抽象和笼统的，教师难以将其转化为针对每个学生的具体干预措施。本研究表明，数智技术的核心作用在于完成了从“抽象素养目标”到“具体个体指标”的拆解与映射，从而架起了目标与干预之间的桥梁。</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sz w:val="21"/>
          <w:szCs w:val="21"/>
        </w:rPr>
      </w:pPr>
      <w:r>
        <w:rPr>
          <w:rFonts w:hint="default"/>
          <w:sz w:val="21"/>
          <w:szCs w:val="21"/>
        </w:rPr>
        <w:t>首先，技术实现了教学目标的“数据化翻译”。在本案例中，“心肺耐力”被转化为“在140-160次/分有效心率区间内的累计运动时长”，“灵敏协调”被转化为“对光电球信号的平均反应时与正确率”。这种翻译使模糊的目标成为可测量、可监控的客观指标。</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sz w:val="21"/>
          <w:szCs w:val="21"/>
        </w:rPr>
      </w:pPr>
      <w:r>
        <w:rPr>
          <w:rFonts w:hint="default"/>
          <w:sz w:val="21"/>
          <w:szCs w:val="21"/>
        </w:rPr>
        <w:t>其次，数据驱动的任务系统实现了干预的“个性化生成”。传统教学干预是预设和统一的。而在本模式中，光电球系统并非简单的计时器，而是一个动态任务生成器。系统根据总体教学目标设定信号规则，但学生个体的实时表现数据（如连续反应成功/失败）会间接地使其面临的挑战难度产生动态分化。例如，反应快的学生会更快触发更复杂的信号组合，而反应慢的学生则在相对稳定的节奏中巩固练习。这实质上是一种 “隐性的自适应学习路径” ，使教学干预能自动适配学生当下的能力边界，实现“最近发展区”内的精准施教。</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jc w:val="left"/>
        <w:textAlignment w:val="auto"/>
        <w:rPr>
          <w:rFonts w:hint="default"/>
          <w:b/>
          <w:bCs/>
          <w:sz w:val="21"/>
          <w:szCs w:val="21"/>
        </w:rPr>
      </w:pPr>
      <w:r>
        <w:rPr>
          <w:rFonts w:hint="eastAsia"/>
          <w:b/>
          <w:bCs/>
          <w:sz w:val="21"/>
          <w:szCs w:val="21"/>
          <w:lang w:eastAsia="zh-CN"/>
        </w:rPr>
        <w:t>（</w:t>
      </w:r>
      <w:r>
        <w:rPr>
          <w:rFonts w:hint="eastAsia"/>
          <w:b/>
          <w:bCs/>
          <w:sz w:val="21"/>
          <w:szCs w:val="21"/>
          <w:lang w:val="en-US" w:eastAsia="zh-CN"/>
        </w:rPr>
        <w:t>二</w:t>
      </w:r>
      <w:r>
        <w:rPr>
          <w:rFonts w:hint="eastAsia"/>
          <w:b/>
          <w:bCs/>
          <w:sz w:val="21"/>
          <w:szCs w:val="21"/>
          <w:lang w:eastAsia="zh-CN"/>
        </w:rPr>
        <w:t>）</w:t>
      </w:r>
      <w:r>
        <w:rPr>
          <w:rFonts w:hint="default"/>
          <w:b/>
          <w:bCs/>
          <w:sz w:val="21"/>
          <w:szCs w:val="21"/>
        </w:rPr>
        <w:t>实时数据支持“教学决策闭环”的形成与运行</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sz w:val="21"/>
          <w:szCs w:val="21"/>
        </w:rPr>
      </w:pPr>
      <w:r>
        <w:rPr>
          <w:rFonts w:hint="default"/>
          <w:sz w:val="21"/>
          <w:szCs w:val="21"/>
        </w:rPr>
        <w:t>传统教学的调整依赖课后反思，决策滞后。本研究构建的“数据感知-策略调整-行为优化”闭环，其有效性根植于实时数据将教学决策从“基于回忆的推测”转变为“基于现场的洞察”。</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sz w:val="21"/>
          <w:szCs w:val="21"/>
        </w:rPr>
      </w:pPr>
      <w:r>
        <w:rPr>
          <w:rFonts w:hint="default"/>
          <w:sz w:val="21"/>
          <w:szCs w:val="21"/>
        </w:rPr>
        <w:t>闭环的运转体现在两个层面：教师决策层面与学生决策层面。对教师而言，大屏上汇聚的实时数据流（如小组平均心率曲线、任务完成进度热力图）构成了一个 “教学仪表盘” 。这使教师的角色从“经验的指挥者”转变为“数据的领航员”。例如，当教师发现某小组平均心率持续低于目标区间时，可立即通过调整光电球信号频率来增加其负荷，这种干预是即时且证据确凿的。本研究中实验班学生在“数智赋能体验”维度上的高分（均分17.26），正是对这种精准、有据的反馈模式的积极回应。</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sz w:val="21"/>
          <w:szCs w:val="21"/>
        </w:rPr>
      </w:pPr>
      <w:r>
        <w:rPr>
          <w:rFonts w:hint="default"/>
          <w:sz w:val="21"/>
          <w:szCs w:val="21"/>
        </w:rPr>
        <w:t>对学生而言，实时数据反馈催生了 “元认知监控” 。在“探雷排险”环节中，学生被引导关注“高心率是否导致拍球准确率下降”。这个过程是将内在的生理感受（“我累了”）与外显的行为表现（“我失误多了”）通过数据进行因果关联。学生从而学会解读身体信号，并自主做出“稍作调整，控制节奏”的策略性决策。行为迁移数据显示，82.5%的实验班学生课后会主动关注身体信号，这标志着数据闭环已内化为学生的自我调控能力，教学闭环由此延伸至课外，形成了可持续的学习习惯。</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jc w:val="left"/>
        <w:textAlignment w:val="auto"/>
        <w:rPr>
          <w:rFonts w:hint="default"/>
          <w:b/>
          <w:bCs/>
          <w:sz w:val="21"/>
          <w:szCs w:val="21"/>
        </w:rPr>
      </w:pPr>
      <w:r>
        <w:rPr>
          <w:rFonts w:hint="eastAsia"/>
          <w:b/>
          <w:bCs/>
          <w:sz w:val="21"/>
          <w:szCs w:val="21"/>
          <w:lang w:eastAsia="zh-CN"/>
        </w:rPr>
        <w:t>（</w:t>
      </w:r>
      <w:r>
        <w:rPr>
          <w:rFonts w:hint="eastAsia"/>
          <w:b/>
          <w:bCs/>
          <w:sz w:val="21"/>
          <w:szCs w:val="21"/>
          <w:lang w:val="en-US" w:eastAsia="zh-CN"/>
        </w:rPr>
        <w:t>三</w:t>
      </w:r>
      <w:r>
        <w:rPr>
          <w:rFonts w:hint="eastAsia"/>
          <w:b/>
          <w:bCs/>
          <w:sz w:val="21"/>
          <w:szCs w:val="21"/>
          <w:lang w:eastAsia="zh-CN"/>
        </w:rPr>
        <w:t>）</w:t>
      </w:r>
      <w:r>
        <w:rPr>
          <w:rFonts w:hint="default"/>
          <w:b/>
          <w:bCs/>
          <w:sz w:val="21"/>
          <w:szCs w:val="21"/>
        </w:rPr>
        <w:t>数智赋能的精准教学模式有效提升体能素养</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sz w:val="21"/>
          <w:szCs w:val="21"/>
        </w:rPr>
      </w:pPr>
      <w:r>
        <w:rPr>
          <w:rFonts w:hint="default"/>
          <w:sz w:val="21"/>
          <w:szCs w:val="21"/>
        </w:rPr>
        <w:t>综合数据表明，实验班在体能成绩（如跳绳提升20.0%）、认知水平及行为迁移上均显著优于对照班。这种系统性优势并非源于训练时间的简单增加，而是源于数智赋能模式所激发的 “深度参与”与“意义建构” 。</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sz w:val="21"/>
          <w:szCs w:val="21"/>
        </w:rPr>
      </w:pPr>
      <w:r>
        <w:rPr>
          <w:rFonts w:hint="default"/>
          <w:sz w:val="21"/>
          <w:szCs w:val="21"/>
        </w:rPr>
        <w:t>第一，数据创造了清晰的即时反馈回路，显著提升了练习的专注度与努力质量。对照班的练习反馈是延迟和模糊的（如教师最后的总结），而实验班学生每一次触球、每一次奔跑都能通过心率变化或结果提示获得即时反馈。这种高频、透明的反馈符合游戏化学习原理，使“枯燥”的体能练习转化为目标清晰的挑战，这是实验班学生感到“光电球让练习更有趣”（认同度均分4.78）并投入更多心理努力的深层原因。</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sz w:val="21"/>
          <w:szCs w:val="21"/>
        </w:rPr>
      </w:pPr>
      <w:r>
        <w:rPr>
          <w:rFonts w:hint="default"/>
          <w:sz w:val="21"/>
          <w:szCs w:val="21"/>
        </w:rPr>
        <w:t>第二，多模态数据融合构建了整体性的“体能认知”。传统教学可能孤立地发展学生的“体”与“智”。而本模式通过将心率（生理负荷）与动作表现（技能效果）数据同步呈现并关联分析，帮助学生直观地理解了“运动科学”的基本原理——即负荷、疲劳、恢复与表现之间是动态关联的。这促使学生从“机械执行动作”转向 “智慧管理自己的身体” 。因此，体能提升不仅是生理适应的结果，更是认知参与的产物，是实现“以体育人、以体启智”的体现。</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rFonts w:hint="default"/>
          <w:b/>
          <w:bCs/>
          <w:color w:val="auto"/>
          <w:sz w:val="21"/>
          <w:szCs w:val="21"/>
        </w:rPr>
      </w:pPr>
      <w:r>
        <w:rPr>
          <w:rFonts w:hint="eastAsia"/>
          <w:b/>
          <w:bCs/>
          <w:color w:val="auto"/>
          <w:sz w:val="21"/>
          <w:szCs w:val="21"/>
          <w:lang w:eastAsia="zh-CN"/>
        </w:rPr>
        <w:t>（</w:t>
      </w:r>
      <w:r>
        <w:rPr>
          <w:rFonts w:hint="eastAsia"/>
          <w:b/>
          <w:bCs/>
          <w:color w:val="auto"/>
          <w:sz w:val="21"/>
          <w:szCs w:val="21"/>
          <w:lang w:val="en-US" w:eastAsia="zh-CN"/>
        </w:rPr>
        <w:t>四</w:t>
      </w:r>
      <w:r>
        <w:rPr>
          <w:rFonts w:hint="eastAsia"/>
          <w:b/>
          <w:bCs/>
          <w:color w:val="auto"/>
          <w:sz w:val="21"/>
          <w:szCs w:val="21"/>
          <w:lang w:eastAsia="zh-CN"/>
        </w:rPr>
        <w:t>）</w:t>
      </w:r>
      <w:r>
        <w:rPr>
          <w:rFonts w:hint="default"/>
          <w:b/>
          <w:bCs/>
          <w:color w:val="auto"/>
          <w:sz w:val="21"/>
          <w:szCs w:val="21"/>
        </w:rPr>
        <w:t>走向审慎、包容与可持续的融合创新</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color w:val="auto"/>
          <w:sz w:val="21"/>
          <w:szCs w:val="21"/>
        </w:rPr>
      </w:pPr>
      <w:r>
        <w:rPr>
          <w:rFonts w:hint="default"/>
          <w:color w:val="auto"/>
          <w:sz w:val="21"/>
          <w:szCs w:val="21"/>
        </w:rPr>
        <w:t>当然，本研究亦揭示出若干有待在更广泛实践中深入探索的共性议题，标志着走向深度融合的探索刚刚起步。第一，技术的“双刃剑”效应需被审慎对待，例如，过度依赖外部数据反馈是否会削弱学习者对自身内在感受与直觉判断的信赖？如何在利用数据的同时，保持各学科教学特有的人文关怀与情境化智慧？第二，模式的可持续性与教育公平性面临挑战，其对硬件设施、数字资源及教师持续专业发展的支持体系提出了较高要求，如何在资源差异显著的学校环境中实现广泛而公平的推广？第三，长期育人效果有待追踪，数智赋能对学生持久学习兴趣的激发、自主学习能力的养成以及社会性情感发展的影响，需通过长期的纵向研究予以验证。第四，教学适配的灵活性至关重要，面对不同学段学生认知特点的差异、不同学科知识属性的区别，应如何动态调整数智工具的应用策略与深度，以实现真正意义上的个性化与适应性教学？</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b/>
          <w:bCs/>
          <w:color w:val="auto"/>
          <w:sz w:val="21"/>
          <w:szCs w:val="21"/>
        </w:rPr>
      </w:pPr>
      <w:r>
        <w:rPr>
          <w:rFonts w:hint="eastAsia"/>
          <w:b/>
          <w:bCs/>
          <w:color w:val="auto"/>
          <w:sz w:val="21"/>
          <w:szCs w:val="21"/>
          <w:lang w:val="en-US" w:eastAsia="zh-CN"/>
        </w:rPr>
        <w:t>五、</w:t>
      </w:r>
      <w:r>
        <w:rPr>
          <w:b/>
          <w:bCs/>
          <w:color w:val="auto"/>
          <w:sz w:val="21"/>
          <w:szCs w:val="21"/>
        </w:rPr>
        <w:t>结语</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sz w:val="21"/>
          <w:szCs w:val="21"/>
        </w:rPr>
      </w:pPr>
      <w:r>
        <w:rPr>
          <w:sz w:val="21"/>
          <w:szCs w:val="21"/>
        </w:rPr>
        <w:t>数智赋能教学的探索，其根本意义在于揭示了一条通往“更科学、更沉浸、更协同”的现代教学路径的共性原则。本研究通过案例初步验证了基于“数据具身—证据驱动—目标凝聚—生态重构”框架的可行性与有效性，并提供了一个具有可操作、可迁移特征的核心范式。展望未来，我们期待更多教育实践者与研究者共同投身于这一深刻的教学转型中，以审慎而开放的态度，在多元学科场景中持续探索、验证并优化这一框架，积极回应上述挑战，最终让技术真正助力于学习者全面而有个性的成长。</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b/>
          <w:bCs/>
          <w:color w:val="auto"/>
          <w:sz w:val="21"/>
          <w:szCs w:val="21"/>
        </w:rPr>
      </w:pPr>
      <w:bookmarkStart w:id="0" w:name="_Ref10025"/>
      <w:r>
        <w:rPr>
          <w:rFonts w:hint="eastAsia"/>
          <w:b/>
          <w:bCs/>
          <w:color w:val="auto"/>
          <w:sz w:val="21"/>
          <w:szCs w:val="21"/>
          <w:lang w:val="en-US" w:eastAsia="zh-CN"/>
        </w:rPr>
        <w:t>六、</w:t>
      </w:r>
      <w:r>
        <w:rPr>
          <w:rFonts w:hint="eastAsia"/>
          <w:b/>
          <w:bCs/>
          <w:color w:val="auto"/>
          <w:sz w:val="21"/>
          <w:szCs w:val="21"/>
        </w:rPr>
        <w:t>参考文献</w:t>
      </w:r>
      <w:bookmarkEnd w:id="0"/>
    </w:p>
    <w:p>
      <w:pPr>
        <w:keepNext w:val="0"/>
        <w:keepLines w:val="0"/>
        <w:pageBreakBefore w:val="0"/>
        <w:widowControl w:val="0"/>
        <w:numPr>
          <w:ilvl w:val="0"/>
          <w:numId w:val="14"/>
        </w:numPr>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bookmarkStart w:id="1" w:name="_Ref13728"/>
      <w:r>
        <w:rPr>
          <w:rFonts w:ascii="华文楷体" w:hAnsi="华文楷体" w:eastAsia="华文楷体" w:cs="Times New Roman"/>
          <w:kern w:val="0"/>
          <w:sz w:val="21"/>
          <w:szCs w:val="21"/>
          <w:lang w:val="en-US" w:eastAsia="zh-CN" w:bidi="ar-SA"/>
        </w:rPr>
        <w:t>辛艳军,李倩倩.基于学科核心素养下高中生体育品德的培养研究[J].体育科技文献通报,2019,27(06):80+94.DOI:10.19379/j.cnki.issn.1005-0256.2019.06.035.</w:t>
      </w:r>
      <w:bookmarkEnd w:id="1"/>
    </w:p>
    <w:p>
      <w:pPr>
        <w:keepNext w:val="0"/>
        <w:keepLines w:val="0"/>
        <w:pageBreakBefore w:val="0"/>
        <w:widowControl w:val="0"/>
        <w:numPr>
          <w:ilvl w:val="0"/>
          <w:numId w:val="14"/>
        </w:numPr>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bookmarkStart w:id="2" w:name="_Ref21062"/>
      <w:r>
        <w:rPr>
          <w:rFonts w:ascii="华文楷体" w:hAnsi="华文楷体" w:eastAsia="华文楷体" w:cs="Times New Roman"/>
          <w:kern w:val="0"/>
          <w:sz w:val="21"/>
          <w:szCs w:val="21"/>
          <w:lang w:val="en-US" w:eastAsia="zh-CN" w:bidi="ar-SA"/>
        </w:rPr>
        <w:t>周洪宇,曾嘉怡.“新时代大先生行动”：背景、意蕴与实施[J].教育学术月刊,2024,(09):3-11.DOI:10.16477/j.cnki.issn1674-2311.2024.09.011.</w:t>
      </w:r>
      <w:bookmarkEnd w:id="2"/>
    </w:p>
    <w:p>
      <w:pPr>
        <w:keepNext w:val="0"/>
        <w:keepLines w:val="0"/>
        <w:pageBreakBefore w:val="0"/>
        <w:widowControl w:val="0"/>
        <w:numPr>
          <w:ilvl w:val="0"/>
          <w:numId w:val="14"/>
        </w:numPr>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bookmarkStart w:id="3" w:name="_Ref21369"/>
      <w:r>
        <w:rPr>
          <w:rFonts w:ascii="华文楷体" w:hAnsi="华文楷体" w:eastAsia="华文楷体" w:cs="Times New Roman"/>
          <w:kern w:val="0"/>
          <w:sz w:val="21"/>
          <w:szCs w:val="21"/>
          <w:lang w:val="en-US" w:eastAsia="zh-CN" w:bidi="ar-SA"/>
        </w:rPr>
        <w:t>高奇琦.数智融合引领产业转型升级[J].人民论坛,2024,(16):44-47.</w:t>
      </w:r>
      <w:bookmarkEnd w:id="3"/>
    </w:p>
    <w:p>
      <w:pPr>
        <w:keepNext w:val="0"/>
        <w:keepLines w:val="0"/>
        <w:pageBreakBefore w:val="0"/>
        <w:widowControl w:val="0"/>
        <w:numPr>
          <w:ilvl w:val="0"/>
          <w:numId w:val="14"/>
        </w:numPr>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bookmarkStart w:id="4" w:name="_Ref11767"/>
      <w:r>
        <w:rPr>
          <w:rFonts w:ascii="华文楷体" w:hAnsi="华文楷体" w:eastAsia="华文楷体" w:cs="Times New Roman"/>
          <w:kern w:val="0"/>
          <w:sz w:val="21"/>
          <w:szCs w:val="21"/>
          <w:lang w:val="en-US" w:eastAsia="zh-CN" w:bidi="ar-SA"/>
        </w:rPr>
        <w:t>周华丽,段佳倪.数智赋能精准教学:研究进展、热点与展望[J].北京联合大学学报,2025,39(06):18-25.DOI:10.16255/j.cnki.ldxbz.2025.06.003.</w:t>
      </w:r>
      <w:bookmarkEnd w:id="4"/>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ascii="华文楷体" w:hAnsi="华文楷体" w:eastAsia="华文楷体" w:cs="Times New Roman"/>
          <w:kern w:val="0"/>
          <w:sz w:val="21"/>
          <w:szCs w:val="21"/>
          <w:lang w:val="en-US" w:eastAsia="zh-CN" w:bidi="ar-SA"/>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hint="eastAsia" w:asciiTheme="minorEastAsia" w:hAnsiTheme="minorEastAsia"/>
          <w:kern w:val="0"/>
          <w:szCs w:val="21"/>
          <w:lang w:val="en-US" w:eastAsia="zh-CN"/>
        </w:rPr>
      </w:pPr>
      <w:r>
        <w:rPr>
          <w:rFonts w:hint="eastAsia" w:asciiTheme="minorEastAsia" w:hAnsiTheme="minorEastAsia"/>
          <w:kern w:val="0"/>
          <w:szCs w:val="21"/>
        </w:rPr>
        <w:t>作者姓名</w:t>
      </w:r>
      <w:r>
        <w:rPr>
          <w:rFonts w:hint="eastAsia" w:asciiTheme="minorEastAsia" w:hAnsiTheme="minorEastAsia"/>
          <w:kern w:val="0"/>
          <w:szCs w:val="21"/>
          <w:lang w:eastAsia="zh-CN"/>
        </w:rPr>
        <w:t>：</w:t>
      </w:r>
      <w:r>
        <w:rPr>
          <w:rFonts w:hint="eastAsia" w:asciiTheme="minorEastAsia" w:hAnsiTheme="minorEastAsia"/>
          <w:kern w:val="0"/>
          <w:szCs w:val="21"/>
          <w:lang w:val="en-US" w:eastAsia="zh-CN"/>
        </w:rPr>
        <w:t>周梓欣</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hint="eastAsia" w:asciiTheme="minorEastAsia" w:hAnsiTheme="minorEastAsia"/>
          <w:kern w:val="0"/>
          <w:szCs w:val="21"/>
          <w:lang w:val="en-US" w:eastAsia="zh-CN"/>
        </w:rPr>
      </w:pPr>
      <w:r>
        <w:rPr>
          <w:rFonts w:hint="eastAsia" w:asciiTheme="minorEastAsia" w:hAnsiTheme="minorEastAsia"/>
          <w:kern w:val="0"/>
          <w:szCs w:val="21"/>
        </w:rPr>
        <w:t>单位全称</w:t>
      </w:r>
      <w:r>
        <w:rPr>
          <w:rFonts w:hint="eastAsia" w:asciiTheme="minorEastAsia" w:hAnsiTheme="minorEastAsia"/>
          <w:kern w:val="0"/>
          <w:szCs w:val="21"/>
          <w:lang w:eastAsia="zh-CN"/>
        </w:rPr>
        <w:t>：</w:t>
      </w:r>
      <w:r>
        <w:rPr>
          <w:rFonts w:hint="eastAsia" w:asciiTheme="minorEastAsia" w:hAnsiTheme="minorEastAsia"/>
          <w:kern w:val="0"/>
          <w:szCs w:val="21"/>
          <w:lang w:val="en-US" w:eastAsia="zh-CN"/>
        </w:rPr>
        <w:t>上海市徐汇区汇师小学</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hint="eastAsia" w:asciiTheme="minorEastAsia" w:hAnsiTheme="minorEastAsia"/>
          <w:kern w:val="0"/>
          <w:szCs w:val="21"/>
          <w:lang w:val="en-US" w:eastAsia="zh-CN"/>
        </w:rPr>
      </w:pPr>
      <w:r>
        <w:rPr>
          <w:rFonts w:hint="eastAsia" w:asciiTheme="minorEastAsia" w:hAnsiTheme="minorEastAsia"/>
          <w:kern w:val="0"/>
          <w:szCs w:val="21"/>
        </w:rPr>
        <w:t>手机号码</w:t>
      </w:r>
      <w:r>
        <w:rPr>
          <w:rFonts w:hint="eastAsia" w:asciiTheme="minorEastAsia" w:hAnsiTheme="minorEastAsia"/>
          <w:kern w:val="0"/>
          <w:szCs w:val="21"/>
          <w:lang w:eastAsia="zh-CN"/>
        </w:rPr>
        <w:t>：</w:t>
      </w:r>
      <w:r>
        <w:rPr>
          <w:rFonts w:hint="eastAsia" w:asciiTheme="minorEastAsia" w:hAnsiTheme="minorEastAsia"/>
          <w:kern w:val="0"/>
          <w:szCs w:val="21"/>
          <w:lang w:val="en-US" w:eastAsia="zh-CN"/>
        </w:rPr>
        <w:t>13373650877</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460" w:lineRule="exact"/>
        <w:jc w:val="left"/>
        <w:textAlignment w:val="auto"/>
        <w:rPr>
          <w:rFonts w:hint="default" w:ascii="华文楷体" w:hAnsi="华文楷体" w:cs="Times New Roman" w:eastAsiaTheme="minorEastAsia"/>
          <w:kern w:val="0"/>
          <w:sz w:val="21"/>
          <w:szCs w:val="21"/>
          <w:lang w:val="en-US" w:eastAsia="zh-CN" w:bidi="ar-SA"/>
        </w:rPr>
      </w:pPr>
      <w:r>
        <w:rPr>
          <w:rFonts w:hint="eastAsia" w:asciiTheme="minorEastAsia" w:hAnsiTheme="minorEastAsia"/>
          <w:kern w:val="0"/>
          <w:szCs w:val="21"/>
        </w:rPr>
        <w:t>常用电子邮箱</w:t>
      </w:r>
      <w:r>
        <w:rPr>
          <w:rFonts w:hint="eastAsia" w:asciiTheme="minorEastAsia" w:hAnsiTheme="minorEastAsia"/>
          <w:kern w:val="0"/>
          <w:szCs w:val="21"/>
          <w:lang w:eastAsia="zh-CN"/>
        </w:rPr>
        <w:t>：</w:t>
      </w:r>
      <w:r>
        <w:rPr>
          <w:rFonts w:hint="eastAsia" w:asciiTheme="minorEastAsia" w:hAnsiTheme="minorEastAsia"/>
          <w:kern w:val="0"/>
          <w:szCs w:val="21"/>
          <w:lang w:val="en-US" w:eastAsia="zh-CN"/>
        </w:rPr>
        <w:t>865577856@qq.com</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bookmarkStart w:id="5" w:name="_GoBack"/>
    <w:bookmarkEnd w:id="5"/>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A5C5D"/>
    <w:multiLevelType w:val="singleLevel"/>
    <w:tmpl w:val="89CA5C5D"/>
    <w:lvl w:ilvl="0" w:tentative="0">
      <w:start w:val="1"/>
      <w:numFmt w:val="decimal"/>
      <w:suff w:val="space"/>
      <w:lvlText w:val="%1."/>
      <w:lvlJc w:val="left"/>
    </w:lvl>
  </w:abstractNum>
  <w:abstractNum w:abstractNumId="1">
    <w:nsid w:val="8BFD15CC"/>
    <w:multiLevelType w:val="singleLevel"/>
    <w:tmpl w:val="8BFD15CC"/>
    <w:lvl w:ilvl="0" w:tentative="0">
      <w:start w:val="1"/>
      <w:numFmt w:val="chineseCounting"/>
      <w:suff w:val="nothing"/>
      <w:lvlText w:val="（%1）"/>
      <w:lvlJc w:val="left"/>
      <w:rPr>
        <w:rFonts w:hint="eastAsia"/>
        <w:b/>
        <w:bCs/>
        <w:sz w:val="21"/>
        <w:szCs w:val="21"/>
      </w:rPr>
    </w:lvl>
  </w:abstractNum>
  <w:abstractNum w:abstractNumId="2">
    <w:nsid w:val="A32AD136"/>
    <w:multiLevelType w:val="singleLevel"/>
    <w:tmpl w:val="A32AD136"/>
    <w:lvl w:ilvl="0" w:tentative="0">
      <w:start w:val="1"/>
      <w:numFmt w:val="bullet"/>
      <w:lvlText w:val=""/>
      <w:lvlJc w:val="left"/>
      <w:pPr>
        <w:ind w:left="420" w:hanging="420"/>
      </w:pPr>
      <w:rPr>
        <w:rFonts w:hint="default" w:ascii="Wingdings" w:hAnsi="Wingdings"/>
      </w:rPr>
    </w:lvl>
  </w:abstractNum>
  <w:abstractNum w:abstractNumId="3">
    <w:nsid w:val="A7F2FDC7"/>
    <w:multiLevelType w:val="singleLevel"/>
    <w:tmpl w:val="A7F2FDC7"/>
    <w:lvl w:ilvl="0" w:tentative="0">
      <w:start w:val="1"/>
      <w:numFmt w:val="decimal"/>
      <w:suff w:val="nothing"/>
      <w:lvlText w:val="（%1）"/>
      <w:lvlJc w:val="left"/>
    </w:lvl>
  </w:abstractNum>
  <w:abstractNum w:abstractNumId="4">
    <w:nsid w:val="A8364513"/>
    <w:multiLevelType w:val="singleLevel"/>
    <w:tmpl w:val="A8364513"/>
    <w:lvl w:ilvl="0" w:tentative="0">
      <w:start w:val="2"/>
      <w:numFmt w:val="decimal"/>
      <w:suff w:val="space"/>
      <w:lvlText w:val="%1."/>
      <w:lvlJc w:val="left"/>
    </w:lvl>
  </w:abstractNum>
  <w:abstractNum w:abstractNumId="5">
    <w:nsid w:val="C85B8D04"/>
    <w:multiLevelType w:val="singleLevel"/>
    <w:tmpl w:val="C85B8D04"/>
    <w:lvl w:ilvl="0" w:tentative="0">
      <w:start w:val="1"/>
      <w:numFmt w:val="bullet"/>
      <w:lvlText w:val=""/>
      <w:lvlJc w:val="left"/>
      <w:pPr>
        <w:ind w:left="420" w:hanging="420"/>
      </w:pPr>
      <w:rPr>
        <w:rFonts w:hint="default" w:ascii="Wingdings" w:hAnsi="Wingdings"/>
      </w:rPr>
    </w:lvl>
  </w:abstractNum>
  <w:abstractNum w:abstractNumId="6">
    <w:nsid w:val="CBBD811A"/>
    <w:multiLevelType w:val="singleLevel"/>
    <w:tmpl w:val="CBBD811A"/>
    <w:lvl w:ilvl="0" w:tentative="0">
      <w:start w:val="1"/>
      <w:numFmt w:val="chineseCounting"/>
      <w:suff w:val="nothing"/>
      <w:lvlText w:val="%1、"/>
      <w:lvlJc w:val="left"/>
      <w:rPr>
        <w:rFonts w:hint="eastAsia"/>
        <w:sz w:val="21"/>
        <w:szCs w:val="21"/>
      </w:rPr>
    </w:lvl>
  </w:abstractNum>
  <w:abstractNum w:abstractNumId="7">
    <w:nsid w:val="CDCE5D5C"/>
    <w:multiLevelType w:val="singleLevel"/>
    <w:tmpl w:val="CDCE5D5C"/>
    <w:lvl w:ilvl="0" w:tentative="0">
      <w:start w:val="2"/>
      <w:numFmt w:val="decimal"/>
      <w:lvlText w:val="%1."/>
      <w:lvlJc w:val="left"/>
      <w:pPr>
        <w:tabs>
          <w:tab w:val="left" w:pos="312"/>
        </w:tabs>
      </w:pPr>
    </w:lvl>
  </w:abstractNum>
  <w:abstractNum w:abstractNumId="8">
    <w:nsid w:val="DBA0339D"/>
    <w:multiLevelType w:val="singleLevel"/>
    <w:tmpl w:val="DBA0339D"/>
    <w:lvl w:ilvl="0" w:tentative="0">
      <w:start w:val="1"/>
      <w:numFmt w:val="decimal"/>
      <w:suff w:val="nothing"/>
      <w:lvlText w:val="（%1）"/>
      <w:lvlJc w:val="left"/>
    </w:lvl>
  </w:abstractNum>
  <w:abstractNum w:abstractNumId="9">
    <w:nsid w:val="E22142DB"/>
    <w:multiLevelType w:val="singleLevel"/>
    <w:tmpl w:val="E22142DB"/>
    <w:lvl w:ilvl="0" w:tentative="0">
      <w:start w:val="2"/>
      <w:numFmt w:val="decimal"/>
      <w:lvlText w:val="%1."/>
      <w:lvlJc w:val="left"/>
      <w:pPr>
        <w:tabs>
          <w:tab w:val="left" w:pos="312"/>
        </w:tabs>
        <w:ind w:left="-420"/>
      </w:pPr>
    </w:lvl>
  </w:abstractNum>
  <w:abstractNum w:abstractNumId="10">
    <w:nsid w:val="342D08F5"/>
    <w:multiLevelType w:val="singleLevel"/>
    <w:tmpl w:val="342D08F5"/>
    <w:lvl w:ilvl="0" w:tentative="0">
      <w:start w:val="1"/>
      <w:numFmt w:val="chineseCounting"/>
      <w:suff w:val="nothing"/>
      <w:lvlText w:val="（%1）"/>
      <w:lvlJc w:val="left"/>
      <w:rPr>
        <w:rFonts w:hint="eastAsia"/>
      </w:rPr>
    </w:lvl>
  </w:abstractNum>
  <w:abstractNum w:abstractNumId="11">
    <w:nsid w:val="517573E9"/>
    <w:multiLevelType w:val="singleLevel"/>
    <w:tmpl w:val="517573E9"/>
    <w:lvl w:ilvl="0" w:tentative="0">
      <w:start w:val="1"/>
      <w:numFmt w:val="decimal"/>
      <w:lvlText w:val="%1."/>
      <w:lvlJc w:val="left"/>
      <w:pPr>
        <w:tabs>
          <w:tab w:val="left" w:pos="312"/>
        </w:tabs>
      </w:pPr>
    </w:lvl>
  </w:abstractNum>
  <w:abstractNum w:abstractNumId="12">
    <w:nsid w:val="5ED17AD0"/>
    <w:multiLevelType w:val="singleLevel"/>
    <w:tmpl w:val="5ED17AD0"/>
    <w:lvl w:ilvl="0" w:tentative="0">
      <w:start w:val="2"/>
      <w:numFmt w:val="decimal"/>
      <w:suff w:val="nothing"/>
      <w:lvlText w:val="（%1）"/>
      <w:lvlJc w:val="left"/>
    </w:lvl>
  </w:abstractNum>
  <w:abstractNum w:abstractNumId="13">
    <w:nsid w:val="76C78205"/>
    <w:multiLevelType w:val="singleLevel"/>
    <w:tmpl w:val="76C78205"/>
    <w:lvl w:ilvl="0" w:tentative="0">
      <w:start w:val="1"/>
      <w:numFmt w:val="decimal"/>
      <w:lvlText w:val="[%1]"/>
      <w:lvlJc w:val="left"/>
      <w:pPr>
        <w:tabs>
          <w:tab w:val="left" w:pos="420"/>
        </w:tabs>
        <w:ind w:left="425" w:hanging="425"/>
      </w:pPr>
      <w:rPr>
        <w:rFonts w:hint="default"/>
      </w:rPr>
    </w:lvl>
  </w:abstractNum>
  <w:num w:numId="1">
    <w:abstractNumId w:val="6"/>
  </w:num>
  <w:num w:numId="2">
    <w:abstractNumId w:val="1"/>
  </w:num>
  <w:num w:numId="3">
    <w:abstractNumId w:val="9"/>
  </w:num>
  <w:num w:numId="4">
    <w:abstractNumId w:val="11"/>
  </w:num>
  <w:num w:numId="5">
    <w:abstractNumId w:val="8"/>
  </w:num>
  <w:num w:numId="6">
    <w:abstractNumId w:val="7"/>
  </w:num>
  <w:num w:numId="7">
    <w:abstractNumId w:val="5"/>
  </w:num>
  <w:num w:numId="8">
    <w:abstractNumId w:val="2"/>
  </w:num>
  <w:num w:numId="9">
    <w:abstractNumId w:val="12"/>
  </w:num>
  <w:num w:numId="10">
    <w:abstractNumId w:val="3"/>
  </w:num>
  <w:num w:numId="11">
    <w:abstractNumId w:val="0"/>
  </w:num>
  <w:num w:numId="12">
    <w:abstractNumId w:val="4"/>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ZiOGFiZWJkZjIwNmZjNDZlMDI1YzYzZTBjOTJmM2MifQ=="/>
  </w:docVars>
  <w:rsids>
    <w:rsidRoot w:val="00F85233"/>
    <w:rsid w:val="002B3677"/>
    <w:rsid w:val="00655B8D"/>
    <w:rsid w:val="00CA01A5"/>
    <w:rsid w:val="00F4162C"/>
    <w:rsid w:val="00F85233"/>
    <w:rsid w:val="06672034"/>
    <w:rsid w:val="077C2160"/>
    <w:rsid w:val="080261BB"/>
    <w:rsid w:val="08236132"/>
    <w:rsid w:val="097A4E03"/>
    <w:rsid w:val="0A9D21CB"/>
    <w:rsid w:val="0BC114DF"/>
    <w:rsid w:val="170F2F04"/>
    <w:rsid w:val="1C907DE2"/>
    <w:rsid w:val="1E6629C9"/>
    <w:rsid w:val="1E90231B"/>
    <w:rsid w:val="25726877"/>
    <w:rsid w:val="29CD75EB"/>
    <w:rsid w:val="32644CA9"/>
    <w:rsid w:val="33CD08B8"/>
    <w:rsid w:val="3C7E15AD"/>
    <w:rsid w:val="40644F5E"/>
    <w:rsid w:val="427D5E63"/>
    <w:rsid w:val="43CD455D"/>
    <w:rsid w:val="4618037D"/>
    <w:rsid w:val="4A672D39"/>
    <w:rsid w:val="5C461809"/>
    <w:rsid w:val="5D243A23"/>
    <w:rsid w:val="5D6934A6"/>
    <w:rsid w:val="65F9648D"/>
    <w:rsid w:val="66A80E51"/>
    <w:rsid w:val="677333E4"/>
    <w:rsid w:val="6927586C"/>
    <w:rsid w:val="697D48A2"/>
    <w:rsid w:val="69CE4DB7"/>
    <w:rsid w:val="6C493901"/>
    <w:rsid w:val="6D536D97"/>
    <w:rsid w:val="6DD03E1D"/>
    <w:rsid w:val="6E461CD3"/>
    <w:rsid w:val="74236BD9"/>
    <w:rsid w:val="7B7F7F7B"/>
    <w:rsid w:val="7BB504B1"/>
    <w:rsid w:val="7EB85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7"/>
    <w:qFormat/>
    <w:uiPriority w:val="0"/>
    <w:pPr>
      <w:jc w:val="left"/>
    </w:pPr>
  </w:style>
  <w:style w:type="paragraph" w:styleId="5">
    <w:name w:val="Plain Text"/>
    <w:basedOn w:val="1"/>
    <w:qFormat/>
    <w:uiPriority w:val="99"/>
    <w:pPr>
      <w:widowControl/>
      <w:spacing w:after="100" w:afterAutospacing="1" w:line="480" w:lineRule="exact"/>
      <w:ind w:firstLine="100" w:firstLineChars="100"/>
      <w:jc w:val="left"/>
    </w:pPr>
    <w:rPr>
      <w:rFonts w:ascii="宋体" w:hAnsi="Courier New" w:eastAsia="宋体" w:cs="Times New Roman"/>
      <w:kern w:val="0"/>
      <w:sz w:val="20"/>
      <w:szCs w:val="21"/>
      <w:lang w:eastAsia="en-US"/>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 w:type="paragraph" w:styleId="9">
    <w:name w:val="annotation subject"/>
    <w:basedOn w:val="4"/>
    <w:next w:val="4"/>
    <w:link w:val="18"/>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annotation reference"/>
    <w:basedOn w:val="12"/>
    <w:qFormat/>
    <w:uiPriority w:val="0"/>
    <w:rPr>
      <w:sz w:val="21"/>
      <w:szCs w:val="21"/>
    </w:rPr>
  </w:style>
  <w:style w:type="paragraph" w:customStyle="1" w:styleId="16">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7">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18">
    <w:name w:val="批注主题 字符"/>
    <w:basedOn w:val="17"/>
    <w:link w:val="9"/>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image" Target="media/image1.png"/><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60" b="1" i="0" u="none" strike="noStrike" kern="1200" baseline="0">
                <a:solidFill>
                  <a:schemeClr val="tx1">
                    <a:lumMod val="75000"/>
                    <a:lumOff val="25000"/>
                  </a:schemeClr>
                </a:solidFill>
                <a:latin typeface="+mn-lt"/>
                <a:ea typeface="+mn-ea"/>
                <a:cs typeface="+mn-cs"/>
              </a:defRPr>
            </a:pPr>
            <a:r>
              <a:rPr sz="1260"/>
              <a:t>课后迁移行为对比</a:t>
            </a:r>
            <a:endParaRPr sz="1260"/>
          </a:p>
        </c:rich>
      </c:tx>
      <c:layout/>
      <c:overlay val="0"/>
      <c:spPr>
        <a:noFill/>
        <a:ln>
          <a:noFill/>
        </a:ln>
        <a:effectLst/>
      </c:spPr>
    </c:title>
    <c:autoTitleDeleted val="0"/>
    <c:plotArea>
      <c:layout>
        <c:manualLayout>
          <c:layoutTarget val="inner"/>
          <c:xMode val="edge"/>
          <c:yMode val="edge"/>
          <c:x val="0.0583715873399372"/>
          <c:y val="0.156183595410115"/>
          <c:w val="0.912394298139647"/>
          <c:h val="0.619804504887378"/>
        </c:manualLayout>
      </c:layout>
      <c:barChart>
        <c:barDir val="col"/>
        <c:grouping val="clustered"/>
        <c:varyColors val="0"/>
        <c:ser>
          <c:idx val="0"/>
          <c:order val="0"/>
          <c:tx>
            <c:strRef>
              <c:f>Sheet1!$B$1</c:f>
              <c:strCache>
                <c:ptCount val="1"/>
                <c:pt idx="0">
                  <c:v>实验班</c:v>
                </c:pt>
              </c:strCache>
            </c:strRef>
          </c:tx>
          <c:spPr>
            <a:solidFill>
              <a:schemeClr val="accent1"/>
            </a:solidFill>
            <a:ln>
              <a:noFill/>
            </a:ln>
            <a:effectLst/>
          </c:spPr>
          <c:invertIfNegative val="0"/>
          <c:dLbls>
            <c:delete val="1"/>
          </c:dLbls>
          <c:cat>
            <c:strRef>
              <c:f>Sheet1!$A$2:$A$5</c:f>
              <c:strCache>
                <c:ptCount val="4"/>
                <c:pt idx="0">
                  <c:v>关注身体感受</c:v>
                </c:pt>
                <c:pt idx="1">
                  <c:v>主动调整强度</c:v>
                </c:pt>
                <c:pt idx="2">
                  <c:v>解释体能知识</c:v>
                </c:pt>
                <c:pt idx="3">
                  <c:v>印象最深环节</c:v>
                </c:pt>
              </c:strCache>
            </c:strRef>
          </c:cat>
          <c:val>
            <c:numRef>
              <c:f>Sheet1!$B$2:$B$5</c:f>
              <c:numCache>
                <c:formatCode>General</c:formatCode>
                <c:ptCount val="4"/>
                <c:pt idx="0">
                  <c:v>82.5</c:v>
                </c:pt>
                <c:pt idx="1">
                  <c:v>67.5</c:v>
                </c:pt>
                <c:pt idx="2">
                  <c:v>47.5</c:v>
                </c:pt>
                <c:pt idx="3">
                  <c:v>82.5</c:v>
                </c:pt>
              </c:numCache>
            </c:numRef>
          </c:val>
        </c:ser>
        <c:ser>
          <c:idx val="1"/>
          <c:order val="1"/>
          <c:tx>
            <c:strRef>
              <c:f>Sheet1!$C$1</c:f>
              <c:strCache>
                <c:ptCount val="1"/>
                <c:pt idx="0">
                  <c:v>对照班</c:v>
                </c:pt>
              </c:strCache>
            </c:strRef>
          </c:tx>
          <c:spPr>
            <a:solidFill>
              <a:schemeClr val="accent2"/>
            </a:solidFill>
            <a:ln>
              <a:noFill/>
            </a:ln>
            <a:effectLst/>
          </c:spPr>
          <c:invertIfNegative val="0"/>
          <c:dLbls>
            <c:delete val="1"/>
          </c:dLbls>
          <c:cat>
            <c:strRef>
              <c:f>Sheet1!$A$2:$A$5</c:f>
              <c:strCache>
                <c:ptCount val="4"/>
                <c:pt idx="0">
                  <c:v>关注身体感受</c:v>
                </c:pt>
                <c:pt idx="1">
                  <c:v>主动调整强度</c:v>
                </c:pt>
                <c:pt idx="2">
                  <c:v>解释体能知识</c:v>
                </c:pt>
                <c:pt idx="3">
                  <c:v>印象最深环节</c:v>
                </c:pt>
              </c:strCache>
            </c:strRef>
          </c:cat>
          <c:val>
            <c:numRef>
              <c:f>Sheet1!$C$2:$C$5</c:f>
              <c:numCache>
                <c:formatCode>General</c:formatCode>
                <c:ptCount val="4"/>
                <c:pt idx="0">
                  <c:v>62.5</c:v>
                </c:pt>
                <c:pt idx="1">
                  <c:v>55</c:v>
                </c:pt>
                <c:pt idx="2">
                  <c:v>52.5</c:v>
                </c:pt>
                <c:pt idx="3">
                  <c:v>42.5</c:v>
                </c:pt>
              </c:numCache>
            </c:numRef>
          </c:val>
        </c:ser>
        <c:dLbls>
          <c:showLegendKey val="0"/>
          <c:showVal val="0"/>
          <c:showCatName val="0"/>
          <c:showSerName val="0"/>
          <c:showPercent val="0"/>
          <c:showBubbleSize val="0"/>
        </c:dLbls>
        <c:gapWidth val="246"/>
        <c:overlap val="-28"/>
        <c:axId val="63908946"/>
        <c:axId val="103584470"/>
      </c:barChart>
      <c:catAx>
        <c:axId val="6390894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crossAx val="103584470"/>
        <c:crosses val="autoZero"/>
        <c:auto val="1"/>
        <c:lblAlgn val="ctr"/>
        <c:lblOffset val="100"/>
        <c:noMultiLvlLbl val="0"/>
      </c:catAx>
      <c:valAx>
        <c:axId val="10358447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crossAx val="6390894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1050"/>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60" b="1" i="0" u="none" strike="noStrike" kern="1200" baseline="0">
                <a:solidFill>
                  <a:schemeClr val="tx1">
                    <a:lumMod val="75000"/>
                    <a:lumOff val="25000"/>
                  </a:schemeClr>
                </a:solidFill>
                <a:latin typeface="+mn-lt"/>
                <a:ea typeface="+mn-ea"/>
                <a:cs typeface="+mn-cs"/>
              </a:defRPr>
            </a:pPr>
            <a:r>
              <a:rPr sz="1260"/>
              <a:t>学习体验问卷维度对比</a:t>
            </a:r>
            <a:endParaRPr sz="126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实验班</c:v>
                </c:pt>
              </c:strCache>
            </c:strRef>
          </c:tx>
          <c:spPr>
            <a:solidFill>
              <a:schemeClr val="accent1"/>
            </a:solidFill>
            <a:ln>
              <a:noFill/>
            </a:ln>
            <a:effectLst/>
          </c:spPr>
          <c:invertIfNegative val="0"/>
          <c:dLbls>
            <c:delete val="1"/>
          </c:dLbls>
          <c:cat>
            <c:strRef>
              <c:f>Sheet1!$A$2:$A$6</c:f>
              <c:strCache>
                <c:ptCount val="5"/>
                <c:pt idx="0">
                  <c:v>课前兴趣与认知</c:v>
                </c:pt>
                <c:pt idx="1">
                  <c:v>数智赋能/课堂活动体验</c:v>
                </c:pt>
                <c:pt idx="2">
                  <c:v>体能认知与策略</c:v>
                </c:pt>
                <c:pt idx="3">
                  <c:v>整体感受</c:v>
                </c:pt>
                <c:pt idx="4">
                  <c:v>总分</c:v>
                </c:pt>
              </c:strCache>
            </c:strRef>
          </c:cat>
          <c:val>
            <c:numRef>
              <c:f>Sheet1!$B$2:$B$6</c:f>
              <c:numCache>
                <c:formatCode>General</c:formatCode>
                <c:ptCount val="5"/>
                <c:pt idx="0">
                  <c:v>16.88</c:v>
                </c:pt>
                <c:pt idx="1">
                  <c:v>17.26</c:v>
                </c:pt>
                <c:pt idx="2">
                  <c:v>16.25</c:v>
                </c:pt>
                <c:pt idx="3">
                  <c:v>4.55</c:v>
                </c:pt>
                <c:pt idx="4">
                  <c:v>54.92</c:v>
                </c:pt>
              </c:numCache>
            </c:numRef>
          </c:val>
        </c:ser>
        <c:ser>
          <c:idx val="1"/>
          <c:order val="1"/>
          <c:tx>
            <c:strRef>
              <c:f>Sheet1!$C$1</c:f>
              <c:strCache>
                <c:ptCount val="1"/>
                <c:pt idx="0">
                  <c:v>对照班</c:v>
                </c:pt>
              </c:strCache>
            </c:strRef>
          </c:tx>
          <c:spPr>
            <a:solidFill>
              <a:schemeClr val="accent2"/>
            </a:solidFill>
            <a:ln>
              <a:noFill/>
            </a:ln>
            <a:effectLst/>
          </c:spPr>
          <c:invertIfNegative val="0"/>
          <c:dLbls>
            <c:delete val="1"/>
          </c:dLbls>
          <c:cat>
            <c:strRef>
              <c:f>Sheet1!$A$2:$A$6</c:f>
              <c:strCache>
                <c:ptCount val="5"/>
                <c:pt idx="0">
                  <c:v>课前兴趣与认知</c:v>
                </c:pt>
                <c:pt idx="1">
                  <c:v>数智赋能/课堂活动体验</c:v>
                </c:pt>
                <c:pt idx="2">
                  <c:v>体能认知与策略</c:v>
                </c:pt>
                <c:pt idx="3">
                  <c:v>整体感受</c:v>
                </c:pt>
                <c:pt idx="4">
                  <c:v>总分</c:v>
                </c:pt>
              </c:strCache>
            </c:strRef>
          </c:cat>
          <c:val>
            <c:numRef>
              <c:f>Sheet1!$C$2:$C$6</c:f>
              <c:numCache>
                <c:formatCode>General</c:formatCode>
                <c:ptCount val="5"/>
                <c:pt idx="0">
                  <c:v>17.63</c:v>
                </c:pt>
                <c:pt idx="1">
                  <c:v>11.83</c:v>
                </c:pt>
                <c:pt idx="2">
                  <c:v>14.69</c:v>
                </c:pt>
                <c:pt idx="3">
                  <c:v>4.08</c:v>
                </c:pt>
                <c:pt idx="4">
                  <c:v>48.23</c:v>
                </c:pt>
              </c:numCache>
            </c:numRef>
          </c:val>
        </c:ser>
        <c:dLbls>
          <c:showLegendKey val="0"/>
          <c:showVal val="0"/>
          <c:showCatName val="0"/>
          <c:showSerName val="0"/>
          <c:showPercent val="0"/>
          <c:showBubbleSize val="0"/>
        </c:dLbls>
        <c:gapWidth val="246"/>
        <c:overlap val="-28"/>
        <c:axId val="267901286"/>
        <c:axId val="194434883"/>
      </c:barChart>
      <c:catAx>
        <c:axId val="26790128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94434883"/>
        <c:crosses val="autoZero"/>
        <c:auto val="1"/>
        <c:lblAlgn val="ctr"/>
        <c:lblOffset val="100"/>
        <c:noMultiLvlLbl val="0"/>
      </c:catAx>
      <c:valAx>
        <c:axId val="19443488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crossAx val="26790128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1050"/>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体能测试前后对比</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实验班前测</c:v>
                </c:pt>
              </c:strCache>
            </c:strRef>
          </c:tx>
          <c:spPr>
            <a:solidFill>
              <a:schemeClr val="accent1"/>
            </a:solidFill>
            <a:ln>
              <a:noFill/>
            </a:ln>
            <a:effectLst/>
          </c:spPr>
          <c:invertIfNegative val="0"/>
          <c:dLbls>
            <c:delete val="1"/>
          </c:dLbls>
          <c:cat>
            <c:strRef>
              <c:f>Sheet1!$A$2:$A$6</c:f>
              <c:strCache>
                <c:ptCount val="5"/>
                <c:pt idx="0">
                  <c:v>3分钟跳绳（次）</c:v>
                </c:pt>
                <c:pt idx="1">
                  <c:v>10×4往返跑（秒）</c:v>
                </c:pt>
                <c:pt idx="2">
                  <c:v>立定跳远（cm）</c:v>
                </c:pt>
                <c:pt idx="3">
                  <c:v>坐位体前屈（cm）</c:v>
                </c:pt>
                <c:pt idx="4">
                  <c:v>静息心率（次/分）</c:v>
                </c:pt>
              </c:strCache>
            </c:strRef>
          </c:cat>
          <c:val>
            <c:numRef>
              <c:f>Sheet1!$B$2:$B$6</c:f>
              <c:numCache>
                <c:formatCode>General</c:formatCode>
                <c:ptCount val="5"/>
                <c:pt idx="0">
                  <c:v>125</c:v>
                </c:pt>
                <c:pt idx="1">
                  <c:v>13.4</c:v>
                </c:pt>
                <c:pt idx="2">
                  <c:v>147</c:v>
                </c:pt>
                <c:pt idx="3">
                  <c:v>8.4</c:v>
                </c:pt>
                <c:pt idx="4">
                  <c:v>85</c:v>
                </c:pt>
              </c:numCache>
            </c:numRef>
          </c:val>
        </c:ser>
        <c:ser>
          <c:idx val="1"/>
          <c:order val="1"/>
          <c:tx>
            <c:strRef>
              <c:f>Sheet1!$C$1</c:f>
              <c:strCache>
                <c:ptCount val="1"/>
                <c:pt idx="0">
                  <c:v>实验班后测</c:v>
                </c:pt>
              </c:strCache>
            </c:strRef>
          </c:tx>
          <c:spPr>
            <a:solidFill>
              <a:schemeClr val="accent2"/>
            </a:solidFill>
            <a:ln>
              <a:noFill/>
            </a:ln>
            <a:effectLst/>
          </c:spPr>
          <c:invertIfNegative val="0"/>
          <c:dLbls>
            <c:delete val="1"/>
          </c:dLbls>
          <c:cat>
            <c:strRef>
              <c:f>Sheet1!$A$2:$A$6</c:f>
              <c:strCache>
                <c:ptCount val="5"/>
                <c:pt idx="0">
                  <c:v>3分钟跳绳（次）</c:v>
                </c:pt>
                <c:pt idx="1">
                  <c:v>10×4往返跑（秒）</c:v>
                </c:pt>
                <c:pt idx="2">
                  <c:v>立定跳远（cm）</c:v>
                </c:pt>
                <c:pt idx="3">
                  <c:v>坐位体前屈（cm）</c:v>
                </c:pt>
                <c:pt idx="4">
                  <c:v>静息心率（次/分）</c:v>
                </c:pt>
              </c:strCache>
            </c:strRef>
          </c:cat>
          <c:val>
            <c:numRef>
              <c:f>Sheet1!$C$2:$C$6</c:f>
              <c:numCache>
                <c:formatCode>General</c:formatCode>
                <c:ptCount val="5"/>
                <c:pt idx="0">
                  <c:v>150</c:v>
                </c:pt>
                <c:pt idx="1">
                  <c:v>12.4</c:v>
                </c:pt>
                <c:pt idx="2">
                  <c:v>162</c:v>
                </c:pt>
                <c:pt idx="3">
                  <c:v>10.5</c:v>
                </c:pt>
                <c:pt idx="4">
                  <c:v>79</c:v>
                </c:pt>
              </c:numCache>
            </c:numRef>
          </c:val>
        </c:ser>
        <c:ser>
          <c:idx val="2"/>
          <c:order val="2"/>
          <c:tx>
            <c:strRef>
              <c:f>Sheet1!$D$1</c:f>
              <c:strCache>
                <c:ptCount val="1"/>
                <c:pt idx="0">
                  <c:v>对照班前测</c:v>
                </c:pt>
              </c:strCache>
            </c:strRef>
          </c:tx>
          <c:spPr>
            <a:solidFill>
              <a:schemeClr val="accent3"/>
            </a:solidFill>
            <a:ln>
              <a:noFill/>
            </a:ln>
            <a:effectLst/>
          </c:spPr>
          <c:invertIfNegative val="0"/>
          <c:dLbls>
            <c:delete val="1"/>
          </c:dLbls>
          <c:cat>
            <c:strRef>
              <c:f>Sheet1!$A$2:$A$6</c:f>
              <c:strCache>
                <c:ptCount val="5"/>
                <c:pt idx="0">
                  <c:v>3分钟跳绳（次）</c:v>
                </c:pt>
                <c:pt idx="1">
                  <c:v>10×4往返跑（秒）</c:v>
                </c:pt>
                <c:pt idx="2">
                  <c:v>立定跳远（cm）</c:v>
                </c:pt>
                <c:pt idx="3">
                  <c:v>坐位体前屈（cm）</c:v>
                </c:pt>
                <c:pt idx="4">
                  <c:v>静息心率（次/分）</c:v>
                </c:pt>
              </c:strCache>
            </c:strRef>
          </c:cat>
          <c:val>
            <c:numRef>
              <c:f>Sheet1!$D$2:$D$6</c:f>
              <c:numCache>
                <c:formatCode>General</c:formatCode>
                <c:ptCount val="5"/>
                <c:pt idx="0">
                  <c:v>118</c:v>
                </c:pt>
                <c:pt idx="1">
                  <c:v>14.1</c:v>
                </c:pt>
                <c:pt idx="2">
                  <c:v>144</c:v>
                </c:pt>
                <c:pt idx="3">
                  <c:v>9.8</c:v>
                </c:pt>
                <c:pt idx="4">
                  <c:v>84</c:v>
                </c:pt>
              </c:numCache>
            </c:numRef>
          </c:val>
        </c:ser>
        <c:ser>
          <c:idx val="3"/>
          <c:order val="3"/>
          <c:tx>
            <c:strRef>
              <c:f>Sheet1!$E$1</c:f>
              <c:strCache>
                <c:ptCount val="1"/>
                <c:pt idx="0">
                  <c:v>对照班后测</c:v>
                </c:pt>
              </c:strCache>
            </c:strRef>
          </c:tx>
          <c:spPr>
            <a:solidFill>
              <a:schemeClr val="accent4"/>
            </a:solidFill>
            <a:ln>
              <a:noFill/>
            </a:ln>
            <a:effectLst/>
          </c:spPr>
          <c:invertIfNegative val="0"/>
          <c:dLbls>
            <c:delete val="1"/>
          </c:dLbls>
          <c:cat>
            <c:strRef>
              <c:f>Sheet1!$A$2:$A$6</c:f>
              <c:strCache>
                <c:ptCount val="5"/>
                <c:pt idx="0">
                  <c:v>3分钟跳绳（次）</c:v>
                </c:pt>
                <c:pt idx="1">
                  <c:v>10×4往返跑（秒）</c:v>
                </c:pt>
                <c:pt idx="2">
                  <c:v>立定跳远（cm）</c:v>
                </c:pt>
                <c:pt idx="3">
                  <c:v>坐位体前屈（cm）</c:v>
                </c:pt>
                <c:pt idx="4">
                  <c:v>静息心率（次/分）</c:v>
                </c:pt>
              </c:strCache>
            </c:strRef>
          </c:cat>
          <c:val>
            <c:numRef>
              <c:f>Sheet1!$E$2:$E$6</c:f>
              <c:numCache>
                <c:formatCode>General</c:formatCode>
                <c:ptCount val="5"/>
                <c:pt idx="0">
                  <c:v>127</c:v>
                </c:pt>
                <c:pt idx="1">
                  <c:v>13.6</c:v>
                </c:pt>
                <c:pt idx="2">
                  <c:v>150</c:v>
                </c:pt>
                <c:pt idx="3">
                  <c:v>10.8</c:v>
                </c:pt>
                <c:pt idx="4">
                  <c:v>82</c:v>
                </c:pt>
              </c:numCache>
            </c:numRef>
          </c:val>
        </c:ser>
        <c:dLbls>
          <c:showLegendKey val="0"/>
          <c:showVal val="0"/>
          <c:showCatName val="0"/>
          <c:showSerName val="0"/>
          <c:showPercent val="0"/>
          <c:showBubbleSize val="0"/>
        </c:dLbls>
        <c:gapWidth val="246"/>
        <c:overlap val="-28"/>
        <c:axId val="562492401"/>
        <c:axId val="535093011"/>
      </c:barChart>
      <c:catAx>
        <c:axId val="5624924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5093011"/>
        <c:crosses val="autoZero"/>
        <c:auto val="1"/>
        <c:lblAlgn val="ctr"/>
        <c:lblOffset val="100"/>
        <c:noMultiLvlLbl val="0"/>
      </c:catAx>
      <c:valAx>
        <c:axId val="53509301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24924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12211</Words>
  <Characters>12574</Characters>
  <Lines>53</Lines>
  <Paragraphs>15</Paragraphs>
  <TotalTime>0</TotalTime>
  <ScaleCrop>false</ScaleCrop>
  <LinksUpToDate>false</LinksUpToDate>
  <CharactersWithSpaces>12606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2025-12-25T02:50:00Z</dcterms:created>
  <dc:creator>HSXX</dc:creator>
  <cp:lastModifiedBy>陈善军</cp:lastModifiedBy>
  <dcterms:modified xsi:type="dcterms:W3CDTF">2026-06-26T00:36:43Z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KSOTemplateDocerSaveRecord">
    <vt:lpwstr>eyJoZGlkIjoiNWEzZWExNTM4NzM2NjZkYzg5NGY0MDI5ODFmNzdlY2EiLCJ1c2VySWQiOiI1MzY1MDUzNjUifQ==</vt:lpwstr>
  </property>
  <property fmtid="{D5CDD505-2E9C-101B-9397-08002B2CF9AE}" pid="4" name="ICV">
    <vt:lpwstr>83D55705932C49FD91B0907E95B13654_13</vt:lpwstr>
  </property>
</Properties>
</file>