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A9E40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淡语藏厚 平中见深</w:t>
      </w:r>
    </w:p>
    <w:p w14:paraId="2A92198A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——《昆明的雨》的文本细读与意蕴阐释</w:t>
      </w:r>
    </w:p>
    <w:p w14:paraId="16B8C331"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上海市民办华育中学 宣琰</w:t>
      </w:r>
    </w:p>
    <w:p w14:paraId="3882D37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摘要：《昆明的雨》是汪曾祺晚年追忆西南联大岁月的经典写景抒情散文。现有文本解读多停留于“情景交融”的泛化赏析，较少深入挖掘文字背后的言语匠心与复杂意蕴。本文以精细化文本细读为路径，从审美意蕴与言语策略、客观呈现与主观移情、多重意象与主题多义三个维度解读文本，剖析汪曾祺如何以白描笔法描摹风物、以主观移情重构记忆图景，借意象体系承载多层情志，呈现“状景如在目前，寄意全在言外”的艺术特质，发掘作品平淡文字之下丰厚的审美价值与人文内涵。</w:t>
      </w:r>
    </w:p>
    <w:p w14:paraId="774EF66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关键词：汪曾祺；《昆明的雨》；文本细读；言语艺术；意象意蕴</w:t>
      </w:r>
    </w:p>
    <w:p w14:paraId="5072947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一、引言：《昆明的雨》的解读现状与研究视角</w:t>
      </w:r>
    </w:p>
    <w:p w14:paraId="35C8E0AE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写景抒情散文以自然风光、人文景观为核心书写载体，通过景物的审美化呈现完成主体情志的寄寓与抒发，最终实现景、情、理三者的有机统一。在文本建构形态上，该文体呈现出鲜明的散点叙事特征：外在行文结构自由舒展，所有碎片化的风物、琐事与见闻，均由文本内部潜隐的情感意脉完成统摄，形成“形散而神聚”的典型文体特质。这种多感官的交织与情理的互渗，造就了其独特审美价值，也容易让解读落入浅层化、概念化的困境。</w:t>
      </w:r>
    </w:p>
    <w:p w14:paraId="0E2D029E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《昆明的雨》写于1984年，是汪曾祺晚年追忆昆明生活的散文名篇。在浅层次浏览阶段即可快速捕捉到文本首尾反复出现的显性抒情句“我想念昆明的雨”，因而对这篇作品的解读大多停留在“怀念昆明雨季风物”，但“想念”二字背后“淡语藏厚”的多层意蕴，始终处于可感知却难以精准阐释的言外空间。本文以文本细读为核心，从言语审美、主客移情、意象体系三个层面逐层剖析，探寻汪曾祺如何在平淡的日常叙事之中，藏纳岁月沉淀的生命感悟。</w:t>
      </w:r>
    </w:p>
    <w:p w14:paraId="1BFCD947">
      <w:pPr>
        <w:numPr>
          <w:ilvl w:val="0"/>
          <w:numId w:val="1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精工细笔：审美意蕴与言语策略</w:t>
      </w:r>
    </w:p>
    <w:p w14:paraId="4028CCA8"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章以应友之邀所作之画起笔，由画入文，题画之语自然引出昆明的雨季。此后作者并未正面摹写雨势，而是以雨季中的草木、菌子、果子、花木及一段陈年往事为叙写对象，末了复以“我想念昆明的雨”收束全篇，与开篇遥相呼应，构成首尾闭合的环形叙事结构。</w:t>
      </w:r>
    </w:p>
    <w:p w14:paraId="3AF16293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（一）昆明雨季中的风物人情</w:t>
      </w:r>
    </w:p>
    <w:p w14:paraId="32369F13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文本入题之后，依次写及仙人掌、各类菌子、火炭梅、缅桂花及宁坤索画、与德熙小酌等往事，由无人之景而至有人之景，再至个人经历，循抒情线索逐层展开，将昆明雨季的美层层铺展、递进呈现。</w:t>
      </w:r>
    </w:p>
    <w:p w14:paraId="39341951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家笔下的草木浓绿、旺盛，仙人掌生命力极强，菌子各有姿容、各有滋味，杨梅赤红肥大，缅桂花繁密芬芳，这些景物因雨而生，因雨而盛。作者综合运用视觉、触觉、味觉、嗅觉等多种感官加以描摹，达成“状景如在目前”的效果，使读者体察到作者对昆明的深爱眷恋。</w:t>
      </w:r>
    </w:p>
    <w:p w14:paraId="293E9BE5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与景物美表里相生的，是文中醇厚的人情美。与景物美相表里者，是文中醇厚的人情美。一为苗族女孩的悠闲娇柔，以声音补足了纯景物描写中缺少的听觉维度；二为房东与养女的善良大方，邻里温情比缅桂花更芬芳；三为友人交往的风雅温厚，与知己在雨声与花香中的对酌相伴。</w:t>
      </w:r>
    </w:p>
    <w:p w14:paraId="1289CE0D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作者以日常书写传达深挚情怀， 借助生机勃勃的自然物象与安闲善良的世俗人情，构筑了昆明雨季独特的美。</w:t>
      </w:r>
    </w:p>
    <w:p w14:paraId="1B4FBDA7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（二）平实言语中的情感抒发 </w:t>
      </w:r>
    </w:p>
    <w:p w14:paraId="2E0BF6F2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风物人情之美是《昆明的雨》的主要内容构成，而作者传达这种美的言语方式，更具细读与品味的价值，集中体现为汪曾祺推崇的“节制之美”。文章多用白描，字面平实简省，却细腻深情。其情感节奏大致呈现“收敛—舒展—再收敛”的曲线形态，首尾呼应，余味悠长。</w:t>
      </w:r>
    </w:p>
    <w:p w14:paraId="79AD5148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作者的抒情主要借助两条途径。其一为直接抒情，仅出现于文章首尾，起到情感定调与收束全篇的作用，占比极小而分量极重。特别是结尾处兼用“度尾”和“煞尾”两种手法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footnoteReference w:id="0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，抒情克制，余韵悠长。其二为间接抒情，情感不直陈，而是自然渗透于景物与人事之中。如写青头菌，“炒熟了也还是浅绿色的，格调比牛肝菌高”，“格调” 一词本用于品评人物风度或文艺作品的风格品位，此处移用于菌子，属词语的大词小用，读来俏皮风趣；又将其嵌于“炒熟了也还是浅绿色的”这般家常白话之中，雅俗相映，妙趣横生，实现了评价话语由实用层向审美层的转换。</w:t>
      </w:r>
    </w:p>
    <w:p w14:paraId="5CB93EC2"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两种抒情方式的交织运用，使文章情感敛而不涩、舒而不溢，醇厚而有余味。这正是汪曾祺语言“淡而有味”的奥秘所在：在看似平淡的叙述中蕴藏丰厚的情感容量，以节制的言语形式传达深挚的情感意蕴。</w:t>
      </w:r>
    </w:p>
    <w:p w14:paraId="6A165773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主客相融：写实表象下的主观移情与审美重构</w:t>
      </w:r>
    </w:p>
    <w:p w14:paraId="1FE01ACD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把握表层语言特色之后，进一步细读可见：《昆明的雨》虽以客观写实为表层形态，实则内蕴作者独特的审美取向与主观情感投射。</w:t>
      </w:r>
    </w:p>
    <w:p w14:paraId="3AA23DA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（一）诗意书写与现实环境的错位</w:t>
      </w:r>
    </w:p>
    <w:p w14:paraId="588BB173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《昆明的雨》虽以“雨”入题，但正面写雨的文字在全文中所占比重甚小，主要集中于第三、四自然段。细读这两段即可发现，汪曾祺笔下的昆明的雨并非对雨季的客观再现，而是处处浸润着作者的主观偏爱，呈现出鲜明的“有我之境”特征。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111"/>
        <w:gridCol w:w="3736"/>
      </w:tblGrid>
      <w:tr w14:paraId="4756AF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29FB366A">
            <w:pPr>
              <w:jc w:val="left"/>
              <w:rPr>
                <w:rFonts w:ascii="仿宋" w:hAnsi="仿宋" w:eastAsia="仿宋" w:cs="黑体"/>
              </w:rPr>
            </w:pPr>
          </w:p>
        </w:tc>
        <w:tc>
          <w:tcPr>
            <w:tcW w:w="4111" w:type="dxa"/>
            <w:vAlign w:val="center"/>
          </w:tcPr>
          <w:p w14:paraId="30BAFD62">
            <w:pPr>
              <w:jc w:val="center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雨的客观特点</w:t>
            </w:r>
          </w:p>
        </w:tc>
        <w:tc>
          <w:tcPr>
            <w:tcW w:w="3736" w:type="dxa"/>
          </w:tcPr>
          <w:p w14:paraId="2203E729">
            <w:pPr>
              <w:jc w:val="center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作者的主观感受</w:t>
            </w:r>
          </w:p>
        </w:tc>
      </w:tr>
      <w:tr w14:paraId="0D4843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 w14:paraId="46553A01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内容</w:t>
            </w:r>
          </w:p>
        </w:tc>
        <w:tc>
          <w:tcPr>
            <w:tcW w:w="4111" w:type="dxa"/>
            <w:vAlign w:val="center"/>
          </w:tcPr>
          <w:p w14:paraId="2D256900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  <w:b/>
                <w:bCs/>
                <w:bdr w:val="single" w:color="auto" w:sz="4" w:space="0"/>
              </w:rPr>
              <w:t>好像</w:t>
            </w:r>
            <w:r>
              <w:rPr>
                <w:rFonts w:hint="eastAsia" w:ascii="仿宋" w:hAnsi="仿宋" w:eastAsia="仿宋" w:cs="黑体"/>
              </w:rPr>
              <w:t>是相当长的。</w:t>
            </w:r>
          </w:p>
        </w:tc>
        <w:tc>
          <w:tcPr>
            <w:tcW w:w="3736" w:type="dxa"/>
          </w:tcPr>
          <w:p w14:paraId="6F9D5390">
            <w:pPr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但是并不使</w:t>
            </w:r>
            <w:r>
              <w:rPr>
                <w:rFonts w:hint="eastAsia" w:ascii="仿宋" w:hAnsi="仿宋" w:eastAsia="仿宋" w:cs="黑体"/>
                <w:b/>
                <w:bCs/>
                <w:bdr w:val="single" w:color="auto" w:sz="4" w:space="0"/>
              </w:rPr>
              <w:t>人</w:t>
            </w:r>
            <w:r>
              <w:rPr>
                <w:rFonts w:hint="eastAsia" w:ascii="仿宋" w:hAnsi="仿宋" w:eastAsia="仿宋" w:cs="黑体"/>
              </w:rPr>
              <w:t>厌烦。</w:t>
            </w:r>
          </w:p>
        </w:tc>
      </w:tr>
      <w:tr w14:paraId="4E49A7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vAlign w:val="center"/>
          </w:tcPr>
          <w:p w14:paraId="2E6A0667">
            <w:pPr>
              <w:jc w:val="left"/>
              <w:rPr>
                <w:rFonts w:ascii="仿宋" w:hAnsi="仿宋" w:eastAsia="仿宋" w:cs="黑体"/>
              </w:rPr>
            </w:pPr>
          </w:p>
        </w:tc>
        <w:tc>
          <w:tcPr>
            <w:tcW w:w="4111" w:type="dxa"/>
            <w:vAlign w:val="center"/>
          </w:tcPr>
          <w:p w14:paraId="2669ABFE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因为是下下停停、停停下下，</w:t>
            </w:r>
          </w:p>
        </w:tc>
        <w:tc>
          <w:tcPr>
            <w:tcW w:w="3736" w:type="dxa"/>
          </w:tcPr>
          <w:p w14:paraId="33829EF3">
            <w:pPr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而且并不使</w:t>
            </w:r>
            <w:r>
              <w:rPr>
                <w:rFonts w:hint="eastAsia" w:ascii="仿宋" w:hAnsi="仿宋" w:eastAsia="仿宋" w:cs="黑体"/>
                <w:b/>
                <w:bCs/>
                <w:bdr w:val="single" w:color="auto" w:sz="4" w:space="0"/>
              </w:rPr>
              <w:t>人</w:t>
            </w:r>
            <w:r>
              <w:rPr>
                <w:rFonts w:hint="eastAsia" w:ascii="仿宋" w:hAnsi="仿宋" w:eastAsia="仿宋" w:cs="黑体"/>
              </w:rPr>
              <w:t>气闷。</w:t>
            </w:r>
          </w:p>
          <w:p w14:paraId="6A2E1B5F">
            <w:pPr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  <w:b/>
                <w:bCs/>
                <w:bdr w:val="single" w:color="auto" w:sz="4" w:space="0"/>
              </w:rPr>
              <w:t>我</w:t>
            </w:r>
            <w:r>
              <w:rPr>
                <w:rFonts w:hint="eastAsia" w:ascii="仿宋" w:hAnsi="仿宋" w:eastAsia="仿宋" w:cs="黑体"/>
              </w:rPr>
              <w:t>觉得昆明雨季气压不低，人很舒服。</w:t>
            </w:r>
          </w:p>
        </w:tc>
      </w:tr>
      <w:tr w14:paraId="0EC224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vAlign w:val="center"/>
          </w:tcPr>
          <w:p w14:paraId="1113841F">
            <w:pPr>
              <w:jc w:val="left"/>
              <w:rPr>
                <w:rFonts w:ascii="仿宋" w:hAnsi="仿宋" w:eastAsia="仿宋" w:cs="黑体"/>
              </w:rPr>
            </w:pPr>
          </w:p>
        </w:tc>
        <w:tc>
          <w:tcPr>
            <w:tcW w:w="4111" w:type="dxa"/>
            <w:vAlign w:val="center"/>
          </w:tcPr>
          <w:p w14:paraId="3F8A1F47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昆明的雨季是明亮的、丰满的，（是浓绿的）</w:t>
            </w:r>
          </w:p>
        </w:tc>
        <w:tc>
          <w:tcPr>
            <w:tcW w:w="3736" w:type="dxa"/>
          </w:tcPr>
          <w:p w14:paraId="6D3EECE2">
            <w:pPr>
              <w:rPr>
                <w:rFonts w:hint="eastAsia" w:ascii="仿宋" w:hAnsi="仿宋" w:eastAsia="仿宋" w:cs="黑体"/>
                <w:lang w:eastAsia="zh-CN"/>
              </w:rPr>
            </w:pPr>
            <w:r>
              <w:rPr>
                <w:rFonts w:hint="eastAsia" w:ascii="仿宋" w:hAnsi="仿宋" w:eastAsia="仿宋" w:cs="黑体"/>
              </w:rPr>
              <w:t>使</w:t>
            </w:r>
            <w:r>
              <w:rPr>
                <w:rFonts w:hint="eastAsia" w:ascii="仿宋" w:hAnsi="仿宋" w:eastAsia="仿宋" w:cs="黑体"/>
                <w:b/>
                <w:bCs/>
                <w:bdr w:val="single" w:color="auto" w:sz="4" w:space="0"/>
              </w:rPr>
              <w:t>人</w:t>
            </w:r>
            <w:r>
              <w:rPr>
                <w:rFonts w:hint="eastAsia" w:ascii="仿宋" w:hAnsi="仿宋" w:eastAsia="仿宋" w:cs="黑体"/>
              </w:rPr>
              <w:t>动情的</w:t>
            </w:r>
            <w:r>
              <w:rPr>
                <w:rFonts w:hint="eastAsia" w:ascii="仿宋" w:hAnsi="仿宋" w:eastAsia="仿宋" w:cs="黑体"/>
                <w:lang w:eastAsia="zh-CN"/>
              </w:rPr>
              <w:t>。</w:t>
            </w:r>
          </w:p>
        </w:tc>
      </w:tr>
      <w:tr w14:paraId="288459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7F1F7AC5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小结</w:t>
            </w:r>
          </w:p>
        </w:tc>
        <w:tc>
          <w:tcPr>
            <w:tcW w:w="4111" w:type="dxa"/>
            <w:vAlign w:val="center"/>
          </w:tcPr>
          <w:p w14:paraId="2139C869">
            <w:pPr>
              <w:jc w:val="left"/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（1）长（2）断断续续（3）明亮丰满</w:t>
            </w:r>
          </w:p>
        </w:tc>
        <w:tc>
          <w:tcPr>
            <w:tcW w:w="3736" w:type="dxa"/>
          </w:tcPr>
          <w:p w14:paraId="5F952F38">
            <w:pPr>
              <w:rPr>
                <w:rFonts w:ascii="仿宋" w:hAnsi="仿宋" w:eastAsia="仿宋" w:cs="黑体"/>
              </w:rPr>
            </w:pPr>
            <w:r>
              <w:rPr>
                <w:rFonts w:hint="eastAsia" w:ascii="仿宋" w:hAnsi="仿宋" w:eastAsia="仿宋" w:cs="黑体"/>
              </w:rPr>
              <w:t>对昆明的雨的</w:t>
            </w:r>
            <w:r>
              <w:rPr>
                <w:rFonts w:hint="eastAsia" w:ascii="仿宋" w:hAnsi="仿宋" w:eastAsia="仿宋" w:cs="黑体"/>
                <w:b/>
                <w:bCs/>
              </w:rPr>
              <w:t>偏爱</w:t>
            </w:r>
          </w:p>
        </w:tc>
      </w:tr>
    </w:tbl>
    <w:p w14:paraId="5F2F5408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汪曾祺先以“相当长的”“下下停停、停停下下”状写昆明雨季绵长、断续的特征。又随即以“但是”“而且”等转折连词逆转读者的预期，继而又以草木“明亮的、丰满的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“浓绿的”“过分的、近于夸张的旺盛”等语加以烘托，突显出作者身处其间的“舒服”之感。阴郁冷湿的昆明雨季落于笔下却明丽鲜活，这并非客观景物的如实复现，而是作者主观情感投射的结果 —— 不是“雨明”，而是“心明”。</w:t>
      </w:r>
    </w:p>
    <w:p w14:paraId="3EBB70F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这种带有主观取舍的写法，在后文延续。“雨季的花是缅桂花”“雨季的果子，是杨梅”，昆明雨季物产丰富，作者却没有面面俱到罗列花果，而是用近乎排他的判断句式，明确指出雨季的花和果是唯一且确定的。这样的句式推动文本叙事重心从泛化的雨季景物，自然转向有个体经验的叙事层面。</w:t>
      </w:r>
    </w:p>
    <w:p w14:paraId="5B740B7D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（二）闲适表象与生存境遇的反差</w:t>
      </w:r>
    </w:p>
    <w:p w14:paraId="772E315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《昆明的雨》所呈现的昆明生活明丽温润、闲适自在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然而细究文本，亦可见出不同寻常之处：作者偶写乡愁，也只是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一点淡淡的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，克制之极；叙述自我的冷静与节制本身，便暗示着这份闲适并非全然的无忧无虑。</w:t>
      </w:r>
    </w:p>
    <w:p w14:paraId="061F7AD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从文本细节中，可隐约窥见当时生活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真实情况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家家饭馆卖牛肝菌，连西南联大食堂的桌子上都可以有一碗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”中可知联大师生的清苦；“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浊酒一杯天过午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 中的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浊酒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”亦可知作者与同窗的简朴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。顺着这一思路细究，文中两处用典尤具深意。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城春草木深，孟夏草木长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分别出自杜甫《春望》与陶渊明《读〈山海经〉》。杜甫《春望》饱含国都沦陷、盛世不再的兴衰之叹，与战事难平、家人音讯断绝的凄苦哀思；陶渊明《读〈山海经〉》则表达了良辰好景之中耕余读书的自得之乐。一悲一乐、一沉一逸，两典并置，恰恰映照出作者的真实境遇：于烽火连天中潜心读书，于乱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动荡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中保持淡定从容。</w:t>
      </w:r>
    </w:p>
    <w:p w14:paraId="4EF2413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进一步细读文本，更能见出写景叙事中潜藏于文字深处的深意与深情。仙人掌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“倒挂着还能开花”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，虽经倒悬之苦、穿身之痛，仍能绽放金黄的花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这顽强的生命力，又何尝不是联大人与昆明人在战乱中的精神写照。汪曾祺笔下的昆明人饱受战乱之苦，却仍保有赶火车时捡菌子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并把这经历当成笑话来讲的淡定与幽默；苗族女孩声音娇娇的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吆喝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，恰是动荡岁月中最动听的声响；五十多岁寡居的房东，仍有惜花、赏花、送花的雅趣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这些平凡生命在苦难中保有的温厚与从容，正是昆明留给汪曾祺最温情的记忆。因而，他的心是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“软软的”，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不是怀人，不是思乡，而是为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不平凡岁月中最珍贵的平凡人间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73CF649E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因而，这篇文章中表面所呈现出的岁月静好，是叙述自我过滤掉战乱的苦难与困顿，保留、美化了青年时期所见的雨季的鲜活与热烈。也正因如此，文本的情感层次变得复杂厚重。</w:t>
      </w:r>
    </w:p>
    <w:p w14:paraId="75093BFE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意象赋能：多重意象建构下的文本主题多义性</w:t>
      </w:r>
    </w:p>
    <w:p w14:paraId="416E39AB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把握了作者写景时的主观移情，便可见出，文本中的写作对象不仅作为景物本身存在，更可视为附着了个人情感与特定时代气息的意象。昆明雨季孕育了自然界无穷的生命力，也使人在苦难岁月中如草木般坚韧生长。景物、人事共同构筑恬淡悠远的意境，蕴含平实、豁达的生命哲思。</w:t>
      </w:r>
    </w:p>
    <w:p w14:paraId="6A66F50A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在全文意象体系中，“雨”不只是故事发生的环境背景，同时承担叙事线索、审美中介、叙事枢纽三重功能，是理解汪曾祺忆旧散文的关键。</w:t>
      </w:r>
    </w:p>
    <w:p w14:paraId="0A5183C8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其一，“雨”是串联昆明地域风物与日常人情的隐性结构线索。文章把看似散漫无绪的忆旧片段始终统摄于统一的雨意氛围之中，最终铺展为一幅兼具烟火质感与地域辨识度的昆明雨季生活图景，达成了散文 "形散而神不散" 的艺术效果。</w:t>
      </w:r>
    </w:p>
    <w:p w14:paraId="324BADD2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其二，“雨” 构成了抗战现实世界与主体审美世界的关键中介。青年汪曾祺所处的外部现实始终裹挟着流亡漂泊中的乡思之苦、亲友离散的离愁之痛与国土沦丧的国难之艰。汪曾祺有言“我想把生活中真实的东西、美的东西、人的美、人的诗意告诉人们，使人们的心灵得到滋润，增强对生活的信念、信心。”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footnoteReference w:id="1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雨的温润质感天然就构成一道审美缓冲带，作者以雨为审美滤镜，在遍地烽烟之中捕捉、品味日常风物的鲜活诗意，发掘市井生活的美好与存在的意义，以绵密的雨意柔化了苦难叙事的尖锐感，实现了从现实苦难到日常审美的自然衔接。</w:t>
      </w:r>
    </w:p>
    <w:p w14:paraId="22BCA45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三，“雨”是连接“经验自我”与“叙述自我”的核心叙事枢纽。文中存在双重叙述视角：一为“昔日之我”，即当时亲历昆明生活的经验自我；一为“今日之我”，即四十年后追忆往事的叙述自我。而全文的回忆性叙述始终由“今日之我”主导。在保留青春记忆的同时，也有当下更为平和淡然的审美取向。这与宗璞散文《丁香结》的写作意趣正相契合：宗璞一反古人将丁香与微雨相连以写愁思的传统，于丁香结中翻出别样的豁达意趣。生命与生活中纵有层层关山，亦须踏关而行；山路纵然难行，其中亦有俯拾即是的美——对美的观察、感受与思考，本身就是穿越苦难的方式。这份审美坚守，也是西南联大学子在艰苦环境下弦歌不辍精神的共同写照。</w:t>
      </w:r>
    </w:p>
    <w:p w14:paraId="11AC1C38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结语</w:t>
      </w:r>
    </w:p>
    <w:p w14:paraId="5C2C3750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篇写雨、写草木、写记忆片段的短文，之所以能在平淡的表层之下长久地打动读者，是源于言语、情志与意象三者的深层共振。汪曾祺以白描笔法构筑的昆明雨景，句句如口语般自然，却处处可见用字的斟酌与句式的经营；作者从不直抒胸臆，而是将四十年的想念、对青春岁月的珍重、对平凡生命温厚从容的礼赞、对“苦难中守护审美” 的生命态度，悉数藏于风物人事的字里行间。当客观呈现与主观移情在文字中相互叠合，雨便不只是气候现象，而成为承载青春、乡愁与生命体悟的意象系统，作品的意蕴也随之从单一的情景交融走向多重主题的敞开。淡语藏厚，平中见深，正是这三重机制共同作用的结果。</w:t>
      </w:r>
    </w:p>
    <w:p w14:paraId="4A462794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解读文本时如若仅仅停留于“情景交融”的总体印象，容易遮蔽汪曾祺在语言层面的匠心。只有把目光沉入字句之间，追踪叙述者如何炼字、如何构句、如何调度视角，如何把控节奏，才能看见平淡文字背后丰厚的意蕴，抵达“景—情—言—意”四者交融的散文审美深处，也才能解释作品何以产生淡语藏厚、平中见深的艺术效果。这样的“淡”绝非寡淡，“平”亦非平庸，而是以克制的言语包裹深挚的情感，以平凡的风物托起丰厚的意蕴。这或许正是《昆明的雨》跨越时代仍能打动读者的根本原因——它不仅是一篇写景抒情的散文，更是一种中国文人式生命态度的文学表达。</w:t>
      </w:r>
    </w:p>
    <w:p w14:paraId="1A703A9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参考文献：</w:t>
      </w:r>
    </w:p>
    <w:p w14:paraId="1CA27380">
      <w:pPr>
        <w:numPr>
          <w:ilvl w:val="0"/>
          <w:numId w:val="2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张心科.《昆明的雨》：作为画家和小说家的散文[J].福建基础教育研究,2021,(1):28-32.</w:t>
      </w:r>
    </w:p>
    <w:p w14:paraId="47A7BC41">
      <w:pPr>
        <w:numPr>
          <w:ilvl w:val="0"/>
          <w:numId w:val="2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汪曾祺.汪曾祺散文全编[M].北京：人民文学出版社，2019：676.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5F6794C6">
      <w:pPr>
        <w:pStyle w:val="2"/>
        <w:snapToGrid w:val="0"/>
      </w:pPr>
      <w:r>
        <w:rPr>
          <w:rStyle w:val="6"/>
        </w:rPr>
        <w:footnoteRef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4"/>
          <w:szCs w:val="14"/>
          <w:shd w:val="clear" w:fill="FFFFFF"/>
          <w:lang w:val="en-US" w:eastAsia="zh-CN"/>
        </w:rPr>
        <w:t xml:space="preserve"> </w:t>
      </w: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4"/>
          <w:szCs w:val="14"/>
          <w:shd w:val="clear" w:fill="FFFFFF"/>
        </w:rPr>
        <w:t>张心科.《昆明的雨》：作为画家和小说家的散文[J].福建基础教育研究,2021,(1):28-32.</w:t>
      </w:r>
    </w:p>
  </w:footnote>
  <w:footnote w:id="1">
    <w:p w14:paraId="38DF3EFC">
      <w:pPr>
        <w:pStyle w:val="2"/>
        <w:snapToGrid w:val="0"/>
        <w:rPr>
          <w:rFonts w:hint="eastAsia" w:eastAsia="宋体"/>
          <w:lang w:val="en-US" w:eastAsia="zh-CN"/>
        </w:rPr>
      </w:pPr>
      <w:r>
        <w:rPr>
          <w:rStyle w:val="6"/>
        </w:rPr>
        <w:footnoteRef/>
      </w:r>
      <w:r>
        <w:t xml:space="preserve"> </w:t>
      </w: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4"/>
          <w:szCs w:val="14"/>
          <w:shd w:val="clear" w:fill="FFFFFF"/>
        </w:rPr>
        <w:t>汪曾祺.汪曾祺散文全编[M].北京：人民文学出版社，2019：676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4"/>
          <w:szCs w:val="14"/>
          <w:shd w:val="clear" w:fill="FFFFFF"/>
          <w:lang w:val="en-US" w:eastAsia="zh-C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3D0278"/>
    <w:multiLevelType w:val="singleLevel"/>
    <w:tmpl w:val="443D027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ED0FD71"/>
    <w:multiLevelType w:val="singleLevel"/>
    <w:tmpl w:val="7ED0FD71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1AB5"/>
    <w:rsid w:val="02FC1DD7"/>
    <w:rsid w:val="051357F8"/>
    <w:rsid w:val="08564759"/>
    <w:rsid w:val="124473D0"/>
    <w:rsid w:val="23AB3E3D"/>
    <w:rsid w:val="29451F54"/>
    <w:rsid w:val="373B4954"/>
    <w:rsid w:val="3A4B20C9"/>
    <w:rsid w:val="3BAC19BF"/>
    <w:rsid w:val="49AE0403"/>
    <w:rsid w:val="4AC26B09"/>
    <w:rsid w:val="527E0EE4"/>
    <w:rsid w:val="5BE85F34"/>
    <w:rsid w:val="63C46176"/>
    <w:rsid w:val="6E7B2F70"/>
    <w:rsid w:val="6E9F2B3A"/>
    <w:rsid w:val="7A41363F"/>
    <w:rsid w:val="7E22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6">
    <w:name w:val="footnote reference"/>
    <w:basedOn w:val="5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4491</Words>
  <Characters>4521</Characters>
  <Lines>0</Lines>
  <Paragraphs>0</Paragraphs>
  <TotalTime>25</TotalTime>
  <ScaleCrop>false</ScaleCrop>
  <LinksUpToDate>false</LinksUpToDate>
  <CharactersWithSpaces>4551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2026-08-31T02:48:00Z</dcterms:created>
  <dc:creator>lythrum</dc:creator>
  <cp:lastModifiedBy>Seven</cp:lastModifiedBy>
  <dcterms:modified xsi:type="dcterms:W3CDTF">2026-09-16T13:22:55Z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eyJoZGlkIjoiYmZhNmU1YjE2NjY4NDQ2ZDYwNGQ5NmRmZGMyOWI1YmIiLCJ1c2VySWQiOiI4MzY3NjYxMzQifQ==</vt:lpwstr>
  </property>
  <property fmtid="{D5CDD505-2E9C-101B-9397-08002B2CF9AE}" pid="4" name="ICV">
    <vt:lpwstr>2A74921084A84C7EBD31D6F2763009DB_12</vt:lpwstr>
  </property>
</Properties>
</file>