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A81D" w14:textId="77777777" w:rsidR="004348D1" w:rsidRPr="00A51981" w:rsidRDefault="004348D1" w:rsidP="00A51981">
      <w:pPr>
        <w:spacing w:after="0" w:line="240" w:lineRule="auto"/>
        <w:ind w:firstLineChars="800" w:firstLine="2240"/>
        <w:jc w:val="both"/>
        <w:rPr>
          <w:rFonts w:ascii="楷体" w:eastAsia="楷体" w:hAnsi="楷体" w:hint="eastAsia"/>
          <w:sz w:val="28"/>
          <w:szCs w:val="28"/>
        </w:rPr>
      </w:pPr>
      <w:r w:rsidRPr="00A51981">
        <w:rPr>
          <w:rFonts w:ascii="楷体" w:eastAsia="楷体" w:hAnsi="楷体" w:hint="eastAsia"/>
          <w:sz w:val="28"/>
          <w:szCs w:val="28"/>
        </w:rPr>
        <w:t>高中语文古诗词之语言教学策略初探</w:t>
      </w:r>
    </w:p>
    <w:p w14:paraId="63254FC8" w14:textId="2AF4F075" w:rsidR="004348D1" w:rsidRPr="00A51981" w:rsidRDefault="004348D1" w:rsidP="00A51981">
      <w:pPr>
        <w:spacing w:after="0" w:line="240" w:lineRule="auto"/>
        <w:ind w:firstLineChars="500" w:firstLine="1400"/>
        <w:jc w:val="both"/>
        <w:rPr>
          <w:rFonts w:ascii="楷体" w:eastAsia="楷体" w:hAnsi="楷体" w:hint="eastAsia"/>
          <w:sz w:val="28"/>
          <w:szCs w:val="28"/>
        </w:rPr>
      </w:pPr>
      <w:r w:rsidRPr="00A51981">
        <w:rPr>
          <w:rFonts w:ascii="楷体" w:eastAsia="楷体" w:hAnsi="楷体" w:hint="eastAsia"/>
          <w:sz w:val="28"/>
          <w:szCs w:val="28"/>
        </w:rPr>
        <w:t>——以高中语文必修上册诗词炼字艺术赏析为例</w:t>
      </w:r>
    </w:p>
    <w:p w14:paraId="4A41073B" w14:textId="1E4092EA" w:rsidR="00A51981" w:rsidRPr="004348D1" w:rsidRDefault="00A51981" w:rsidP="00A51981">
      <w:pPr>
        <w:spacing w:after="0"/>
        <w:ind w:firstLineChars="1800" w:firstLine="3960"/>
        <w:jc w:val="both"/>
        <w:rPr>
          <w:rFonts w:ascii="楷体" w:eastAsia="楷体" w:hAnsi="楷体" w:hint="eastAsia"/>
        </w:rPr>
      </w:pPr>
      <w:r>
        <w:rPr>
          <w:rFonts w:ascii="楷体" w:eastAsia="楷体" w:hAnsi="楷体" w:hint="eastAsia"/>
        </w:rPr>
        <w:t>上海市第二中学    薛炜星</w:t>
      </w:r>
    </w:p>
    <w:p w14:paraId="63F57751" w14:textId="34DA693D" w:rsidR="00D96F40" w:rsidRPr="00A51981" w:rsidRDefault="00D96F40" w:rsidP="004805F7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古诗词语言教学是高中语文教学的核心环节，也是落实“语言建构与运用”核心素养的重要载体。当前高中古诗词语言教学仍存在重言轻文、碎片化解析和评价脱节等</w:t>
      </w:r>
      <w:r w:rsidR="00FC2102" w:rsidRPr="00A51981">
        <w:rPr>
          <w:rFonts w:ascii="楷体" w:eastAsia="楷体" w:hAnsi="楷体" w:hint="eastAsia"/>
          <w:sz w:val="24"/>
        </w:rPr>
        <w:t>一些</w:t>
      </w:r>
      <w:r w:rsidRPr="00A51981">
        <w:rPr>
          <w:rFonts w:ascii="楷体" w:eastAsia="楷体" w:hAnsi="楷体" w:hint="eastAsia"/>
          <w:sz w:val="24"/>
        </w:rPr>
        <w:t>问题。</w:t>
      </w:r>
      <w:r w:rsidR="00FC2102" w:rsidRPr="00A51981">
        <w:rPr>
          <w:rFonts w:ascii="楷体" w:eastAsia="楷体" w:hAnsi="楷体" w:hint="eastAsia"/>
          <w:sz w:val="24"/>
        </w:rPr>
        <w:t>在此</w:t>
      </w:r>
      <w:r w:rsidRPr="00A51981">
        <w:rPr>
          <w:rFonts w:ascii="楷体" w:eastAsia="楷体" w:hAnsi="楷体" w:hint="eastAsia"/>
          <w:sz w:val="24"/>
        </w:rPr>
        <w:t>基于普通高中语文课程标准中“语言建构与运用”素养要求，从语言建构与语言运用两个维度出发，提出诵读品韵、细读炼字、比较鉴赏、任务驱动等教学策略，并从“教—学—评”一体化的视角探讨评价工具的设计，以期为高中古诗词语言教学提供可操作的实践参考。</w:t>
      </w:r>
    </w:p>
    <w:p w14:paraId="50FC8D23" w14:textId="419FC184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古诗词是中华优秀传统文化的重要载体，也是高中语文课程的重要内容。统编版高</w:t>
      </w:r>
      <w:r w:rsidR="00FC2102" w:rsidRPr="00A51981">
        <w:rPr>
          <w:rFonts w:ascii="楷体" w:eastAsia="楷体" w:hAnsi="楷体" w:hint="eastAsia"/>
          <w:sz w:val="24"/>
        </w:rPr>
        <w:t>中语文必修上</w:t>
      </w:r>
      <w:r w:rsidRPr="00A51981">
        <w:rPr>
          <w:rFonts w:ascii="楷体" w:eastAsia="楷体" w:hAnsi="楷体" w:hint="eastAsia"/>
          <w:sz w:val="24"/>
        </w:rPr>
        <w:t>选入</w:t>
      </w:r>
      <w:r w:rsidR="00FC2102" w:rsidRPr="00A51981">
        <w:rPr>
          <w:rFonts w:ascii="楷体" w:eastAsia="楷体" w:hAnsi="楷体" w:hint="eastAsia"/>
          <w:sz w:val="24"/>
        </w:rPr>
        <w:t>13</w:t>
      </w:r>
      <w:r w:rsidRPr="00A51981">
        <w:rPr>
          <w:rFonts w:ascii="楷体" w:eastAsia="楷体" w:hAnsi="楷体"/>
          <w:sz w:val="24"/>
        </w:rPr>
        <w:t>首</w:t>
      </w:r>
      <w:r w:rsidR="00FC2102" w:rsidRPr="00A51981">
        <w:rPr>
          <w:rFonts w:ascii="楷体" w:eastAsia="楷体" w:hAnsi="楷体" w:hint="eastAsia"/>
          <w:sz w:val="24"/>
        </w:rPr>
        <w:t>古今经典</w:t>
      </w:r>
      <w:r w:rsidRPr="00A51981">
        <w:rPr>
          <w:rFonts w:ascii="楷体" w:eastAsia="楷体" w:hAnsi="楷体"/>
          <w:sz w:val="24"/>
        </w:rPr>
        <w:t>诗词，涵盖了从先秦到</w:t>
      </w:r>
      <w:r w:rsidR="00FC2102" w:rsidRPr="00A51981">
        <w:rPr>
          <w:rFonts w:ascii="楷体" w:eastAsia="楷体" w:hAnsi="楷体" w:hint="eastAsia"/>
          <w:sz w:val="24"/>
        </w:rPr>
        <w:t>近现代</w:t>
      </w:r>
      <w:r w:rsidRPr="00A51981">
        <w:rPr>
          <w:rFonts w:ascii="楷体" w:eastAsia="楷体" w:hAnsi="楷体"/>
          <w:sz w:val="24"/>
        </w:rPr>
        <w:t>的典范作品，是落实学科核心素养的主要载体。在语文核心素养的四个维度中，“语言建构与运用”具有核心和基础作用，它对思维发展与提升、审美鉴赏与创造、文化传承与理解三个方面都具有引导与促进作用。古诗词教学若要真正实现从“知识本位”到“素养导向”的转型，就必须将语言教学置于核心位置，引导学生在品味语言的过程中实现语言能力的建构与提升。</w:t>
      </w:r>
      <w:r w:rsidRPr="00A51981">
        <w:rPr>
          <w:rFonts w:ascii="Courier New" w:eastAsia="楷体" w:hAnsi="Courier New" w:cs="Courier New"/>
          <w:sz w:val="24"/>
        </w:rPr>
        <w:t>‌</w:t>
      </w:r>
      <w:r w:rsidRPr="00A51981">
        <w:rPr>
          <w:rFonts w:ascii="楷体" w:eastAsia="楷体" w:hAnsi="楷体" w:hint="eastAsia"/>
          <w:sz w:val="24"/>
        </w:rPr>
        <w:t>然而，当前高中古诗词语言教学在实践中仍面临诸多困境。“重言轻文”的问题一直困扰着高中古诗文教学，只重字词翻译、机械背诵的做法掩盖了文本的审美意义。与此同时，古诗词教学评价存在评价意识薄弱、过度依赖纸笔测验、评价主体单一、评价标准模糊等问题，在一定程度上制约了教学质量的提升和学生核心素养的发展。如何突破这些困境，建构以语言素养培育为核心的古诗词教学策略体系，是本文关注的核心问题。</w:t>
      </w:r>
    </w:p>
    <w:p w14:paraId="135E2F7F" w14:textId="3B7D258B" w:rsidR="00D96F40" w:rsidRPr="00A51981" w:rsidRDefault="00D96F40" w:rsidP="00FC2102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一</w:t>
      </w:r>
      <w:r w:rsidR="003A087B" w:rsidRPr="00A51981">
        <w:rPr>
          <w:rFonts w:ascii="楷体" w:eastAsia="楷体" w:hAnsi="楷体" w:hint="eastAsia"/>
          <w:sz w:val="24"/>
        </w:rPr>
        <w:t>、</w:t>
      </w:r>
      <w:r w:rsidRPr="00A51981">
        <w:rPr>
          <w:rFonts w:ascii="楷体" w:eastAsia="楷体" w:hAnsi="楷体" w:hint="eastAsia"/>
          <w:sz w:val="24"/>
        </w:rPr>
        <w:t>核心素养视域下的语言教学定位</w:t>
      </w:r>
    </w:p>
    <w:p w14:paraId="648DD6BC" w14:textId="77777777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普通高中语文课程标准</w:t>
      </w:r>
      <w:r w:rsidRPr="00A51981">
        <w:rPr>
          <w:rFonts w:ascii="楷体" w:eastAsia="楷体" w:hAnsi="楷体"/>
          <w:sz w:val="24"/>
        </w:rPr>
        <w:t>将语文学科核心素养明确为“语言的建构与运用”“思维的发展与提升”“审美鉴赏与创造”“文化传承与理解”四个方面，并指出这四个方面是有机统一的整体。其中，语言建构与运用是指通过建构知识体系，掌握一定的言语技巧，形成一定的语感，并将所积累的言语材料建立起有机的联系，在具体的语言环境中加以运用。在古诗词教学中，这一素养的培育具有特殊的意义：古诗词语言的凝练性、含蓄性和音乐性，为学生提供了不同于现代文的语言学习经验，能够在有限的篇幅内实现语言能力的深度建构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247CBB66" w14:textId="662EDD52" w:rsidR="00D96F40" w:rsidRPr="00A51981" w:rsidRDefault="00D96F40" w:rsidP="00FC2102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二</w:t>
      </w:r>
      <w:r w:rsidR="003A087B" w:rsidRPr="00A51981">
        <w:rPr>
          <w:rFonts w:ascii="楷体" w:eastAsia="楷体" w:hAnsi="楷体" w:hint="eastAsia"/>
          <w:sz w:val="24"/>
        </w:rPr>
        <w:t>、</w:t>
      </w:r>
      <w:r w:rsidRPr="00A51981">
        <w:rPr>
          <w:rFonts w:ascii="楷体" w:eastAsia="楷体" w:hAnsi="楷体" w:hint="eastAsia"/>
          <w:sz w:val="24"/>
        </w:rPr>
        <w:t>古诗词语言的特殊性</w:t>
      </w:r>
    </w:p>
    <w:p w14:paraId="369382AA" w14:textId="2EED8D13" w:rsidR="00B23B77" w:rsidRPr="00A51981" w:rsidRDefault="00FC2102" w:rsidP="003A087B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古人历来就有锤炼语言的传统，卢延让“吟安一个字，捻断数茎须”，贾岛“两句三年得，一吟双泪流”，还有杜甫的“为人性癖耽佳句，语不惊人死不休”都是非常经典的例子。朱光潜在《咬文嚼字》中指出，“咬文嚼字，在表面上像只是斟酌文字的分量，在实际上就是调整思想和情感。”诗歌语言往往“一字之差，相去千里”。 古诗词的语言准确、生动、凝练、精辟，往往一字千钧，一字</w:t>
      </w:r>
      <w:r w:rsidRPr="00A51981">
        <w:rPr>
          <w:rFonts w:ascii="楷体" w:eastAsia="楷体" w:hAnsi="楷体" w:hint="eastAsia"/>
          <w:sz w:val="24"/>
        </w:rPr>
        <w:lastRenderedPageBreak/>
        <w:t>震人心灵。 它言简意丰</w:t>
      </w:r>
      <w:r w:rsidR="003A087B" w:rsidRPr="00A51981">
        <w:rPr>
          <w:rFonts w:ascii="楷体" w:eastAsia="楷体" w:hAnsi="楷体" w:hint="eastAsia"/>
          <w:sz w:val="24"/>
        </w:rPr>
        <w:t>、</w:t>
      </w:r>
      <w:r w:rsidRPr="00A51981">
        <w:rPr>
          <w:rFonts w:ascii="楷体" w:eastAsia="楷体" w:hAnsi="楷体" w:hint="eastAsia"/>
          <w:sz w:val="24"/>
        </w:rPr>
        <w:t>言简意赅</w:t>
      </w:r>
      <w:r w:rsidR="003A087B" w:rsidRPr="00A51981">
        <w:rPr>
          <w:rFonts w:ascii="楷体" w:eastAsia="楷体" w:hAnsi="楷体" w:hint="eastAsia"/>
          <w:sz w:val="24"/>
        </w:rPr>
        <w:t>、</w:t>
      </w:r>
      <w:r w:rsidRPr="00A51981">
        <w:rPr>
          <w:rFonts w:ascii="楷体" w:eastAsia="楷体" w:hAnsi="楷体" w:hint="eastAsia"/>
          <w:sz w:val="24"/>
        </w:rPr>
        <w:t>言简意深。</w:t>
      </w:r>
      <w:r w:rsidR="00D96F40" w:rsidRPr="00A51981">
        <w:rPr>
          <w:rFonts w:ascii="楷体" w:eastAsia="楷体" w:hAnsi="楷体" w:hint="eastAsia"/>
          <w:sz w:val="24"/>
        </w:rPr>
        <w:t>古诗词语言具有三个显著特征，直接影响教学策略的选择。第一，凝练性。古诗词以极简的语言承载极丰富的情感内涵，炼字传统使每一个字都承担着多重功能。第二，音乐性。诗与词都有自身的格律，讲究声律和音律，教学中应注重引导学生从节奏与韵律的角度进行语言建构。第三，含蓄性。古诗词善于通过意象、典故和空白来传达言外之意，需要读者调动想象和联想来完成意义的生成。这些特殊性决定了古诗词语言教学不能等同于一般文本的语言教学，</w:t>
      </w:r>
      <w:r w:rsidRPr="00A51981">
        <w:rPr>
          <w:rFonts w:ascii="楷体" w:eastAsia="楷体" w:hAnsi="楷体" w:hint="eastAsia"/>
          <w:sz w:val="24"/>
        </w:rPr>
        <w:t>因此，在古诗词教学中教师应该注重对关键字句的反复赏读、探究、体味，</w:t>
      </w:r>
      <w:r w:rsidR="00D96F40" w:rsidRPr="00A51981">
        <w:rPr>
          <w:rFonts w:ascii="楷体" w:eastAsia="楷体" w:hAnsi="楷体" w:hint="eastAsia"/>
          <w:sz w:val="24"/>
        </w:rPr>
        <w:t>必须探索适合其文体特征的教学策略</w:t>
      </w:r>
      <w:r w:rsidRPr="00A51981">
        <w:rPr>
          <w:rFonts w:ascii="楷体" w:eastAsia="楷体" w:hAnsi="楷体" w:hint="eastAsia"/>
          <w:sz w:val="24"/>
        </w:rPr>
        <w:t>，</w:t>
      </w:r>
      <w:r w:rsidR="00D96F40" w:rsidRPr="00A51981">
        <w:rPr>
          <w:rFonts w:ascii="楷体" w:eastAsia="楷体" w:hAnsi="楷体" w:hint="eastAsia"/>
          <w:sz w:val="24"/>
        </w:rPr>
        <w:t>。</w:t>
      </w:r>
    </w:p>
    <w:p w14:paraId="7F2F24E6" w14:textId="191E32E7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三、高中古诗词语言教学的核心策略</w:t>
      </w:r>
    </w:p>
    <w:p w14:paraId="0C086A78" w14:textId="540876D1" w:rsidR="00D96F40" w:rsidRPr="00A51981" w:rsidRDefault="00D96F40" w:rsidP="003A087B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（一）诵读品韵：以声韵感知建构语言基础</w:t>
      </w:r>
    </w:p>
    <w:p w14:paraId="59B5A99E" w14:textId="299598A9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诵读是古诗词语言教学的基础环节。在高中语文古诗词教学中，基于培育“语言建构与运用”素养的目的，教师应通过强化诵读来把握古诗词的语言特点。诵读不仅是声音的再现，更是对诗歌语言韵律之美的直接感知。学生需通过经典文本的诵读感知语言韵律之美，从平仄节奏中感知音乐性，从意象组合中体悟意境，进而通过声情并茂的诵读传递审美体验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29390437" w14:textId="77777777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以李清照《声声慢》的教学为例，教师可以从平仄声调的角度切入，引导学生体会词情。开篇“寻寻觅觅，冷冷清清，凄凄惨惨戚戚”十四个叠字全部使用舌齿音，发音时舌尖抵齿、气息受阻，天然带有幽咽难言的音质效果，与词人哽咽吞声的情感状态高度契合。学生在反复诵读中，能够从语音层面直接体验到这种音义结合的独特效果，这种体验是任何理性分析都无法替代的。</w:t>
      </w:r>
    </w:p>
    <w:p w14:paraId="04766EC9" w14:textId="1F68E1D6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教学实践中，诵读策略的实施应当注重三个层次：一是读准字音节奏，扫除语音障碍，把握基本的节奏划分；二是读出情感层次，根据诗歌情感的变化调整语调、语速和轻重音；三是读出个性理解，在准确理解诗意的基础上融入个人的感受和体验。这种递进式的诵读训练，能够帮助学生在声韵体验中完成语言感知力的培养。</w:t>
      </w:r>
    </w:p>
    <w:p w14:paraId="5606ED94" w14:textId="1A174176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（二）细读炼字：以语言分析深化文本理解</w:t>
      </w:r>
    </w:p>
    <w:p w14:paraId="23F4DBA2" w14:textId="137A625D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炼字赏析是古诗词语言教学的核心环节。通过细读来关注古诗词中特殊的语言现象和核心意象，深挖语言意蕴，是培养学生语言敏感度的重要途径。在高中古诗词教学中，教师应</w:t>
      </w:r>
      <w:r w:rsidR="003A087B" w:rsidRPr="00A51981">
        <w:rPr>
          <w:rFonts w:ascii="楷体" w:eastAsia="楷体" w:hAnsi="楷体" w:hint="eastAsia"/>
          <w:sz w:val="24"/>
        </w:rPr>
        <w:t>以</w:t>
      </w:r>
      <w:r w:rsidRPr="00A51981">
        <w:rPr>
          <w:rFonts w:ascii="楷体" w:eastAsia="楷体" w:hAnsi="楷体" w:hint="eastAsia"/>
          <w:sz w:val="24"/>
        </w:rPr>
        <w:t>品析炼字</w:t>
      </w:r>
      <w:r w:rsidR="003A087B" w:rsidRPr="00A51981">
        <w:rPr>
          <w:rFonts w:ascii="楷体" w:eastAsia="楷体" w:hAnsi="楷体" w:hint="eastAsia"/>
          <w:sz w:val="24"/>
        </w:rPr>
        <w:t>为抓手</w:t>
      </w:r>
      <w:r w:rsidRPr="00A51981">
        <w:rPr>
          <w:rFonts w:ascii="楷体" w:eastAsia="楷体" w:hAnsi="楷体" w:hint="eastAsia"/>
          <w:sz w:val="24"/>
        </w:rPr>
        <w:t>，优化古诗词教学模式。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05864621" w14:textId="118DFFC4" w:rsidR="004348D1" w:rsidRPr="00A51981" w:rsidRDefault="004348D1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学习苏轼《念奴娇·赤壁怀古》时，学生们能直观感觉到其中“乱石穿空，惊涛拍岸，卷起千堆雪”三句写景之美，但学生的赏析大多比较笼统，只能用壮丽、宏伟、动词有力度等来表述。此时即宜从作者精妙的动词为抓手，加以细腻的赏析：“穿”字写乱石之陡峭尖锐，着一“穿”字便化静为动，使静止的崖壁获得了向上刺破苍穹的张力；“拍”字写惊涛与岸壁的猛烈撞击，一个“拍”字既传递了力量感，又让读者身临其境地感受到其猛烈的声响；“卷”字则写浪花翻卷的形态，它将水花的飞溅与堆积同时呈现于读者眼前，视觉形象与听觉形象</w:t>
      </w:r>
      <w:r w:rsidRPr="00A51981">
        <w:rPr>
          <w:rFonts w:ascii="楷体" w:eastAsia="楷体" w:hAnsi="楷体" w:hint="eastAsia"/>
          <w:sz w:val="24"/>
        </w:rPr>
        <w:lastRenderedPageBreak/>
        <w:t>同时显现。值得注意的是，这三个动词并非简单的动态记录，而是构成了一个由纵向到横向、由冲击到堆积的立体空间结构：“穿”是向上的突破，“拍”是水平的撞击，“卷”是向内的回旋。三个动词各司其职又彼此呼应，共同营造出赤壁古战场雄奇壮阔的视觉画卷。而东坡炼字之妙正在于“让人看不出他费了多少劲”而有震撼人心的魅力。</w:t>
      </w:r>
    </w:p>
    <w:p w14:paraId="0B3D036F" w14:textId="13671B65" w:rsidR="004348D1" w:rsidRPr="00A51981" w:rsidRDefault="003A087B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在教学实践中，循着这样的赏析思路，有</w:t>
      </w:r>
      <w:r w:rsidR="004348D1" w:rsidRPr="00A51981">
        <w:rPr>
          <w:rFonts w:ascii="楷体" w:eastAsia="楷体" w:hAnsi="楷体" w:hint="eastAsia"/>
          <w:sz w:val="24"/>
        </w:rPr>
        <w:t>学生认为《沁园春·长沙》的一个注释存在瑕疵；教材中将“鹰击长空，鱼翔浅底”的句意解释为“鹰在广阔的天上飞，鱼在清澈的水里游”，在语意上当然没问题，但显然没有把“击”“翔”这两个词的魅力呈现出来，淡然无味，诗意逊色不少。词中“击”写出了鹰的矫健有力，“翔”写出了鱼的灵动轻快，所以句子应该翻译为“鹰在广阔的天上矫健有力地搏击，鱼在清澈的水里自由轻快地游动”，诗人借这两个动词，展现把大自然的壮丽空阔和生机勃勃的画卷，进而引发诗人的思考：祖国的河山如此壮美，该由谁来主宰其兴衰沉浮呢？</w:t>
      </w:r>
    </w:p>
    <w:p w14:paraId="22DD8989" w14:textId="38AE0ECF" w:rsidR="004348D1" w:rsidRPr="00A51981" w:rsidRDefault="004348D1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由此我们感受到，</w:t>
      </w:r>
      <w:r w:rsidR="003A087B" w:rsidRPr="00A51981">
        <w:rPr>
          <w:rFonts w:ascii="楷体" w:eastAsia="楷体" w:hAnsi="楷体" w:hint="eastAsia"/>
          <w:sz w:val="24"/>
        </w:rPr>
        <w:t>即以动词为样本，作为</w:t>
      </w:r>
      <w:r w:rsidRPr="00A51981">
        <w:rPr>
          <w:rFonts w:ascii="楷体" w:eastAsia="楷体" w:hAnsi="楷体" w:hint="eastAsia"/>
          <w:sz w:val="24"/>
        </w:rPr>
        <w:t>诗歌语言的骨骼，</w:t>
      </w:r>
      <w:r w:rsidR="003A087B" w:rsidRPr="00A51981">
        <w:rPr>
          <w:rFonts w:ascii="楷体" w:eastAsia="楷体" w:hAnsi="楷体" w:hint="eastAsia"/>
          <w:sz w:val="24"/>
        </w:rPr>
        <w:t>它</w:t>
      </w:r>
      <w:r w:rsidRPr="00A51981">
        <w:rPr>
          <w:rFonts w:ascii="楷体" w:eastAsia="楷体" w:hAnsi="楷体" w:hint="eastAsia"/>
          <w:sz w:val="24"/>
        </w:rPr>
        <w:t>承担着推动意象运行、激活画面生机的关键功能。巴尔扎克曾言，动词能够“以最小的面积，表达最大的思想”，其极强的概括性能够赋予鉴赏者广阔的想象空间。</w:t>
      </w:r>
    </w:p>
    <w:p w14:paraId="07BDF16D" w14:textId="6A142BB4" w:rsidR="00D96F40" w:rsidRPr="00A51981" w:rsidRDefault="00D96F40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值得注意的是，炼字教学应当避免碎片化的字词解析。研究指出，当前炼字教学存在交际断裂现象，教师需要推动炼字教学从碎片化解析向交际功能构建转变。具体而言，就是要将炼字赏析置于全诗的语境中，让学生在理解诗歌整体情感走向的基础上，体会特定字词的选择如何服务于诗意表达。例如，陶渊明《归园田居（其一）》中“守拙归园田”的“守”字，只有放在全诗“少无适俗韵—误落尘网中—羁鸟恋旧林—开荒南野际”的叙事脉络中，才能理解其作为诗眼的结构功能和情感价值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6092F36C" w14:textId="7977E5F5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（三）比较鉴赏：以多元参照拓展审美视野</w:t>
      </w:r>
    </w:p>
    <w:p w14:paraId="60277C42" w14:textId="352C5B76" w:rsidR="004348D1" w:rsidRPr="00A51981" w:rsidRDefault="00D96F40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比较鉴赏是深化语言理解的有效策略。将单元内的炼字现象置于比较阅读的视野中，可以帮助学生发现更为丰富的艺术规律。</w:t>
      </w:r>
      <w:r w:rsidR="00D410D4">
        <w:rPr>
          <w:rFonts w:ascii="楷体" w:eastAsia="楷体" w:hAnsi="楷体" w:hint="eastAsia"/>
          <w:sz w:val="24"/>
        </w:rPr>
        <w:t>在</w:t>
      </w:r>
      <w:r w:rsidR="00961421">
        <w:rPr>
          <w:rFonts w:ascii="楷体" w:eastAsia="楷体" w:hAnsi="楷体" w:hint="eastAsia"/>
          <w:sz w:val="24"/>
        </w:rPr>
        <w:t>讲</w:t>
      </w:r>
      <w:r w:rsidR="00D410D4">
        <w:rPr>
          <w:rFonts w:ascii="楷体" w:eastAsia="楷体" w:hAnsi="楷体" w:hint="eastAsia"/>
          <w:sz w:val="24"/>
        </w:rPr>
        <w:t>授</w:t>
      </w:r>
      <w:r w:rsidR="004348D1" w:rsidRPr="00A51981">
        <w:rPr>
          <w:rFonts w:ascii="楷体" w:eastAsia="楷体" w:hAnsi="楷体" w:hint="eastAsia"/>
          <w:sz w:val="24"/>
        </w:rPr>
        <w:t>杜甫《登高》</w:t>
      </w:r>
      <w:r w:rsidR="00D410D4">
        <w:rPr>
          <w:rFonts w:ascii="楷体" w:eastAsia="楷体" w:hAnsi="楷体" w:hint="eastAsia"/>
          <w:sz w:val="24"/>
        </w:rPr>
        <w:t>时，受林庚先生《说“木叶”》的启示，让学生思考</w:t>
      </w:r>
      <w:r w:rsidR="004348D1" w:rsidRPr="00A51981">
        <w:rPr>
          <w:rFonts w:ascii="楷体" w:eastAsia="楷体" w:hAnsi="楷体" w:hint="eastAsia"/>
          <w:sz w:val="24"/>
        </w:rPr>
        <w:t>“无边落木萧萧下，不尽长江滚滚来”一联</w:t>
      </w:r>
      <w:r w:rsidR="00D410D4">
        <w:rPr>
          <w:rFonts w:ascii="楷体" w:eastAsia="楷体" w:hAnsi="楷体" w:hint="eastAsia"/>
          <w:sz w:val="24"/>
        </w:rPr>
        <w:t>中，</w:t>
      </w:r>
      <w:r w:rsidR="004348D1" w:rsidRPr="00A51981">
        <w:rPr>
          <w:rFonts w:ascii="楷体" w:eastAsia="楷体" w:hAnsi="楷体" w:hint="eastAsia"/>
          <w:sz w:val="24"/>
        </w:rPr>
        <w:t>杜甫为何不用</w:t>
      </w:r>
      <w:r w:rsidR="00D410D4">
        <w:rPr>
          <w:rFonts w:ascii="楷体" w:eastAsia="楷体" w:hAnsi="楷体" w:hint="eastAsia"/>
          <w:sz w:val="24"/>
        </w:rPr>
        <w:t xml:space="preserve"> “落树”</w:t>
      </w:r>
      <w:r w:rsidR="004348D1" w:rsidRPr="00A51981">
        <w:rPr>
          <w:rFonts w:ascii="楷体" w:eastAsia="楷体" w:hAnsi="楷体" w:hint="eastAsia"/>
          <w:sz w:val="24"/>
        </w:rPr>
        <w:t>而偏用“落木”？</w:t>
      </w:r>
      <w:r w:rsidR="00D410D4">
        <w:rPr>
          <w:rFonts w:ascii="楷体" w:eastAsia="楷体" w:hAnsi="楷体" w:hint="eastAsia"/>
          <w:sz w:val="24"/>
        </w:rPr>
        <w:t>学生通过比较，也大多能联想到，</w:t>
      </w:r>
      <w:r w:rsidR="004348D1" w:rsidRPr="00A51981">
        <w:rPr>
          <w:rFonts w:ascii="楷体" w:eastAsia="楷体" w:hAnsi="楷体" w:hint="eastAsia"/>
          <w:sz w:val="24"/>
        </w:rPr>
        <w:t>“树”给人枝繁叶茂、绿荫如盖的</w:t>
      </w:r>
      <w:r w:rsidR="00D410D4">
        <w:rPr>
          <w:rFonts w:ascii="楷体" w:eastAsia="楷体" w:hAnsi="楷体" w:hint="eastAsia"/>
          <w:sz w:val="24"/>
        </w:rPr>
        <w:t>感觉</w:t>
      </w:r>
      <w:r w:rsidR="004348D1" w:rsidRPr="00A51981">
        <w:rPr>
          <w:rFonts w:ascii="楷体" w:eastAsia="楷体" w:hAnsi="楷体" w:hint="eastAsia"/>
          <w:sz w:val="24"/>
        </w:rPr>
        <w:t>，而“木”则</w:t>
      </w:r>
      <w:r w:rsidR="00AF36E1">
        <w:rPr>
          <w:rFonts w:ascii="楷体" w:eastAsia="楷体" w:hAnsi="楷体" w:hint="eastAsia"/>
          <w:sz w:val="24"/>
        </w:rPr>
        <w:t>有</w:t>
      </w:r>
      <w:r w:rsidR="004348D1" w:rsidRPr="00A51981">
        <w:rPr>
          <w:rFonts w:ascii="楷体" w:eastAsia="楷体" w:hAnsi="楷体" w:hint="eastAsia"/>
          <w:sz w:val="24"/>
        </w:rPr>
        <w:t>光秃</w:t>
      </w:r>
      <w:r w:rsidR="00D410D4">
        <w:rPr>
          <w:rFonts w:ascii="楷体" w:eastAsia="楷体" w:hAnsi="楷体" w:hint="eastAsia"/>
          <w:sz w:val="24"/>
        </w:rPr>
        <w:t>、</w:t>
      </w:r>
      <w:r w:rsidR="004348D1" w:rsidRPr="00A51981">
        <w:rPr>
          <w:rFonts w:ascii="楷体" w:eastAsia="楷体" w:hAnsi="楷体" w:hint="eastAsia"/>
          <w:sz w:val="24"/>
        </w:rPr>
        <w:t>干</w:t>
      </w:r>
      <w:r w:rsidR="00AF36E1">
        <w:rPr>
          <w:rFonts w:ascii="楷体" w:eastAsia="楷体" w:hAnsi="楷体" w:hint="eastAsia"/>
          <w:sz w:val="24"/>
        </w:rPr>
        <w:t>枯</w:t>
      </w:r>
      <w:r w:rsidR="004348D1" w:rsidRPr="00A51981">
        <w:rPr>
          <w:rFonts w:ascii="楷体" w:eastAsia="楷体" w:hAnsi="楷体" w:hint="eastAsia"/>
          <w:sz w:val="24"/>
        </w:rPr>
        <w:t>的</w:t>
      </w:r>
      <w:r w:rsidR="00D410D4" w:rsidRPr="00A51981">
        <w:rPr>
          <w:rFonts w:ascii="楷体" w:eastAsia="楷体" w:hAnsi="楷体" w:hint="eastAsia"/>
          <w:sz w:val="24"/>
        </w:rPr>
        <w:t>暗示</w:t>
      </w:r>
      <w:r w:rsidR="004348D1" w:rsidRPr="00A51981">
        <w:rPr>
          <w:rFonts w:ascii="楷体" w:eastAsia="楷体" w:hAnsi="楷体" w:hint="eastAsia"/>
          <w:sz w:val="24"/>
        </w:rPr>
        <w:t>。</w:t>
      </w:r>
      <w:r w:rsidR="00D410D4">
        <w:rPr>
          <w:rFonts w:ascii="楷体" w:eastAsia="楷体" w:hAnsi="楷体" w:hint="eastAsia"/>
          <w:sz w:val="24"/>
        </w:rPr>
        <w:t>且“落木”与</w:t>
      </w:r>
      <w:r w:rsidR="004348D1" w:rsidRPr="00A51981">
        <w:rPr>
          <w:rFonts w:ascii="楷体" w:eastAsia="楷体" w:hAnsi="楷体" w:hint="eastAsia"/>
          <w:sz w:val="24"/>
        </w:rPr>
        <w:t>“萧萧”之哀飒</w:t>
      </w:r>
      <w:r w:rsidR="00D410D4">
        <w:rPr>
          <w:rFonts w:ascii="楷体" w:eastAsia="楷体" w:hAnsi="楷体" w:hint="eastAsia"/>
          <w:sz w:val="24"/>
        </w:rPr>
        <w:t>气象更吻合</w:t>
      </w:r>
      <w:r w:rsidR="004348D1" w:rsidRPr="00A51981">
        <w:rPr>
          <w:rFonts w:ascii="楷体" w:eastAsia="楷体" w:hAnsi="楷体" w:hint="eastAsia"/>
          <w:sz w:val="24"/>
        </w:rPr>
        <w:t>，</w:t>
      </w:r>
      <w:r w:rsidR="00D410D4">
        <w:rPr>
          <w:rFonts w:ascii="楷体" w:eastAsia="楷体" w:hAnsi="楷体" w:hint="eastAsia"/>
          <w:sz w:val="24"/>
        </w:rPr>
        <w:t>从而</w:t>
      </w:r>
      <w:r w:rsidR="004348D1" w:rsidRPr="00A51981">
        <w:rPr>
          <w:rFonts w:ascii="楷体" w:eastAsia="楷体" w:hAnsi="楷体" w:hint="eastAsia"/>
          <w:sz w:val="24"/>
        </w:rPr>
        <w:t>将个人的身世之感</w:t>
      </w:r>
      <w:r w:rsidR="00AF36E1">
        <w:rPr>
          <w:rFonts w:ascii="楷体" w:eastAsia="楷体" w:hAnsi="楷体" w:hint="eastAsia"/>
          <w:sz w:val="24"/>
        </w:rPr>
        <w:t>置于一个更广远肃杀的氛围中，让读者感受到杜甫诗歌“沉郁顿挫”的魅力</w:t>
      </w:r>
      <w:r w:rsidR="004348D1" w:rsidRPr="00A51981">
        <w:rPr>
          <w:rFonts w:ascii="楷体" w:eastAsia="楷体" w:hAnsi="楷体" w:hint="eastAsia"/>
          <w:sz w:val="24"/>
        </w:rPr>
        <w:t>。</w:t>
      </w:r>
    </w:p>
    <w:p w14:paraId="6690A2D5" w14:textId="54286A3F" w:rsidR="00D96F40" w:rsidRPr="00A51981" w:rsidRDefault="004348D1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教学中还可以进行</w:t>
      </w:r>
      <w:r w:rsidR="00AF36E1">
        <w:rPr>
          <w:rFonts w:ascii="楷体" w:eastAsia="楷体" w:hAnsi="楷体" w:hint="eastAsia"/>
          <w:sz w:val="24"/>
        </w:rPr>
        <w:t>不同文本的</w:t>
      </w:r>
      <w:r w:rsidRPr="00A51981">
        <w:rPr>
          <w:rFonts w:ascii="楷体" w:eastAsia="楷体" w:hAnsi="楷体" w:hint="eastAsia"/>
          <w:sz w:val="24"/>
        </w:rPr>
        <w:t>比较阅读</w:t>
      </w:r>
      <w:r w:rsidR="00D96F40" w:rsidRPr="00A51981">
        <w:rPr>
          <w:rFonts w:ascii="楷体" w:eastAsia="楷体" w:hAnsi="楷体" w:hint="eastAsia"/>
          <w:sz w:val="24"/>
        </w:rPr>
        <w:t>，杜甫</w:t>
      </w:r>
      <w:r w:rsidRPr="00A51981">
        <w:rPr>
          <w:rFonts w:ascii="楷体" w:eastAsia="楷体" w:hAnsi="楷体" w:hint="eastAsia"/>
          <w:sz w:val="24"/>
        </w:rPr>
        <w:t>的</w:t>
      </w:r>
      <w:r w:rsidR="00D96F40" w:rsidRPr="00A51981">
        <w:rPr>
          <w:rFonts w:ascii="楷体" w:eastAsia="楷体" w:hAnsi="楷体" w:hint="eastAsia"/>
          <w:sz w:val="24"/>
        </w:rPr>
        <w:t>《登高》中</w:t>
      </w:r>
      <w:r w:rsidRPr="00A51981">
        <w:rPr>
          <w:rFonts w:ascii="楷体" w:eastAsia="楷体" w:hAnsi="楷体" w:hint="eastAsia"/>
          <w:sz w:val="24"/>
        </w:rPr>
        <w:t xml:space="preserve">有 </w:t>
      </w:r>
      <w:r w:rsidR="00D96F40" w:rsidRPr="00A51981">
        <w:rPr>
          <w:rFonts w:ascii="楷体" w:eastAsia="楷体" w:hAnsi="楷体" w:hint="eastAsia"/>
          <w:sz w:val="24"/>
        </w:rPr>
        <w:t>“浊酒”</w:t>
      </w:r>
      <w:r w:rsidRPr="00A51981">
        <w:rPr>
          <w:rFonts w:ascii="楷体" w:eastAsia="楷体" w:hAnsi="楷体" w:hint="eastAsia"/>
          <w:sz w:val="24"/>
        </w:rPr>
        <w:t>，</w:t>
      </w:r>
      <w:r w:rsidR="00D96F40" w:rsidRPr="00A51981">
        <w:rPr>
          <w:rFonts w:ascii="楷体" w:eastAsia="楷体" w:hAnsi="楷体" w:hint="eastAsia"/>
          <w:sz w:val="24"/>
        </w:rPr>
        <w:t>李清照《声声慢》中的</w:t>
      </w:r>
      <w:r w:rsidRPr="00A51981">
        <w:rPr>
          <w:rFonts w:ascii="楷体" w:eastAsia="楷体" w:hAnsi="楷体" w:hint="eastAsia"/>
          <w:sz w:val="24"/>
        </w:rPr>
        <w:t>有</w:t>
      </w:r>
      <w:r w:rsidR="00D96F40" w:rsidRPr="00A51981">
        <w:rPr>
          <w:rFonts w:ascii="楷体" w:eastAsia="楷体" w:hAnsi="楷体" w:hint="eastAsia"/>
          <w:sz w:val="24"/>
        </w:rPr>
        <w:t>“淡酒”：“浊酒”的厚重浑浊对应杜甫沉郁悲壮的诗风，“淡酒”的清薄寡淡对应李清照凄清婉约的词风，二者的情感色调有着刚柔之别。同样，将杜甫笔下的“回鸟”与李清照词中的“过雁”进行对调则不可行——“回鸟”是孤独盘旋于天地之间的生命象征，暗合诗人漂泊无依的身世感；“过雁”</w:t>
      </w:r>
      <w:r w:rsidR="00D96F40" w:rsidRPr="00A51981">
        <w:rPr>
          <w:rFonts w:ascii="楷体" w:eastAsia="楷体" w:hAnsi="楷体" w:hint="eastAsia"/>
          <w:sz w:val="24"/>
        </w:rPr>
        <w:lastRenderedPageBreak/>
        <w:t>则是“旧时相识”却传书无凭的绝望符号，承载着国破家亡后的文化乡愁。</w:t>
      </w:r>
    </w:p>
    <w:p w14:paraId="50B6B6D4" w14:textId="79E0ED4B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从群文阅读的视角看，教师可以在群文阅读视域下，按甄选议题、组合文本、对比赏析、课外拓展四个步骤，积极探索古诗词群文教学的基本策略。</w:t>
      </w:r>
      <w:r w:rsidR="004348D1" w:rsidRPr="00A51981">
        <w:rPr>
          <w:rFonts w:ascii="楷体" w:eastAsia="楷体" w:hAnsi="楷体" w:hint="eastAsia"/>
          <w:sz w:val="24"/>
        </w:rPr>
        <w:t>再以古典诗词中常用的</w:t>
      </w:r>
      <w:r w:rsidRPr="00A51981">
        <w:rPr>
          <w:rFonts w:ascii="楷体" w:eastAsia="楷体" w:hAnsi="楷体" w:hint="eastAsia"/>
          <w:sz w:val="24"/>
        </w:rPr>
        <w:t>“酒”意象为切入点，将《短歌行》中的“何以解忧？唯有杜康”、《登高》中的“潦倒新停浊酒杯”、《声声慢》中的“三杯两盏淡酒”和《念奴娇·赤壁怀古》中的“一尊还酹江月”组合在一起进行群文阅读，引导学生通过语言的建构与运用，探究同一意象在不同诗人笔下所承载的不同情感内涵。这种比较不仅可以帮助学生理解“同象异情”的艺术原理，更可以引导他们认识到语言选择与诗人生命体验、审美取向之间的深层关联。</w:t>
      </w:r>
    </w:p>
    <w:p w14:paraId="26DAF88B" w14:textId="4D579E3B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（四）任务驱动：以情境实践促进语言运用</w:t>
      </w:r>
    </w:p>
    <w:p w14:paraId="27967548" w14:textId="789548BB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从语言运用的维度看，教师应积极创建情境，推动读写融合。依据课程标准提出的“学习任务群”教学理念，可以构建“情境驱动—体验深化—迁移运用”的教学模式：先基于单元学习目标创设真实学习情境激活学生的探究欲望，再利用多元支架深度体验文本促进理解内化，最后创设实践迁移表达活动提升核心素养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6522CE7C" w14:textId="2CCD345C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具体操作中，可以设计以下任务类型。第一，改写与创写任务。让学生将古诗词中的经典名句改写为现代散文，在改写过程中体会原诗语言的凝练之美。第二，文学短评写作。以统编教材必修上册第三单元为例，可以要求学生从“炼字艺术”“意象选择”“语言风格”等角度选择一首诗词进行评论。第三，情境演绎任务。设计真实或模拟的情境，让学生在具体场景中运用古诗词的语言表达方式。例如，可以让学生以“假如我是某位诗人”的身份，在特定情境中“创作”一首诗，通过模仿古人的语言表达方式来加深对古典诗词语言特征的理解。</w:t>
      </w:r>
    </w:p>
    <w:p w14:paraId="702E9DE8" w14:textId="575E65EB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 xml:space="preserve"> 四、教学评价的设计与实施</w:t>
      </w:r>
    </w:p>
    <w:p w14:paraId="2FC41175" w14:textId="1E2E9B4E" w:rsidR="00D96F40" w:rsidRPr="00A51981" w:rsidRDefault="00D96F40" w:rsidP="004348D1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古诗词语言教学的有效实施，离不开与之匹配的评价体系。课程标准强调语文教学须贯彻“教—学—评”一体化理念，要求教师将评价机制融入整个教学过程，通过动态评估提升教学实效。</w:t>
      </w:r>
    </w:p>
    <w:p w14:paraId="64D83B0C" w14:textId="278DFD3C" w:rsidR="00D96F40" w:rsidRPr="00A51981" w:rsidRDefault="00D96F40" w:rsidP="00B23B77">
      <w:pPr>
        <w:spacing w:after="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（一）过程性评价：诵读评价量表的运用</w:t>
      </w:r>
    </w:p>
    <w:p w14:paraId="7781BC18" w14:textId="43FC14AA" w:rsidR="00D96F40" w:rsidRPr="00A51981" w:rsidRDefault="00D96F40" w:rsidP="00B23B77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在诵读教学环节，可以设计诵读评价量表，从“字音准确”“节奏得当”“情感充沛”“个性表达”四个维度对学生进行评价。评价主体可以包括教师评价、同伴互评和学生自评，形成多元化的评价视角。</w:t>
      </w:r>
    </w:p>
    <w:p w14:paraId="46D7AA69" w14:textId="77777777" w:rsidR="00D96F40" w:rsidRPr="00A51981" w:rsidRDefault="00D96F40" w:rsidP="00B23B77">
      <w:pPr>
        <w:spacing w:after="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（二）表现性评价：文学短评量规的设计</w:t>
      </w:r>
    </w:p>
    <w:p w14:paraId="60CB4D3E" w14:textId="77777777" w:rsidR="00D96F40" w:rsidRPr="00A51981" w:rsidRDefault="00D96F40" w:rsidP="00D96F40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在读写融合环节，可以设计文学短评量规，从“文本理解”“语言分析”“论证逻辑”“表达流畅”四个维度评价学生的短评写作。评价应关注学生是否能够从具体的诗句或意象入手进行分析，是否体现了个人独到的阅读感受。</w:t>
      </w:r>
    </w:p>
    <w:p w14:paraId="48F0082F" w14:textId="77777777" w:rsidR="00D96F40" w:rsidRPr="00A51981" w:rsidRDefault="00D96F40" w:rsidP="00B23B77">
      <w:pPr>
        <w:spacing w:after="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（三）形成性评价：教学循环系统的建构</w:t>
      </w:r>
    </w:p>
    <w:p w14:paraId="618477D6" w14:textId="63C31F91" w:rsidR="004348D1" w:rsidRPr="00A51981" w:rsidRDefault="00D96F40" w:rsidP="00B23B77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通过将“语言建构”“审美鉴赏”“文化传承”等素养目标转化为可操作的教</w:t>
      </w:r>
      <w:r w:rsidRPr="00A51981">
        <w:rPr>
          <w:rFonts w:ascii="楷体" w:eastAsia="楷体" w:hAnsi="楷体" w:hint="eastAsia"/>
          <w:sz w:val="24"/>
        </w:rPr>
        <w:lastRenderedPageBreak/>
        <w:t>学活动，形成“目标引领—任务驱动—动态反馈”的教学循环系统，使评价贯穿教学全过程，实现评价与教学的有机融合。</w:t>
      </w:r>
      <w:r w:rsidRPr="00A51981">
        <w:rPr>
          <w:rFonts w:ascii="Courier New" w:eastAsia="楷体" w:hAnsi="Courier New" w:cs="Courier New"/>
          <w:sz w:val="24"/>
        </w:rPr>
        <w:t>‌</w:t>
      </w:r>
    </w:p>
    <w:p w14:paraId="51C5071B" w14:textId="77777777" w:rsidR="00B23B77" w:rsidRPr="00A51981" w:rsidRDefault="00B23B77" w:rsidP="00B23B77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</w:p>
    <w:p w14:paraId="24ED8C91" w14:textId="0D38A956" w:rsidR="00D96F40" w:rsidRPr="00A51981" w:rsidRDefault="00D96F40" w:rsidP="00B23B77">
      <w:pPr>
        <w:spacing w:after="0"/>
        <w:ind w:firstLineChars="200" w:firstLine="480"/>
        <w:jc w:val="both"/>
        <w:rPr>
          <w:rFonts w:ascii="楷体" w:eastAsia="楷体" w:hAnsi="楷体" w:hint="eastAsia"/>
          <w:sz w:val="24"/>
        </w:rPr>
      </w:pPr>
      <w:r w:rsidRPr="00A51981">
        <w:rPr>
          <w:rFonts w:ascii="楷体" w:eastAsia="楷体" w:hAnsi="楷体" w:hint="eastAsia"/>
          <w:sz w:val="24"/>
        </w:rPr>
        <w:t>古诗词语言教学是落实语文核心素养的重要途径。面对“重言轻文”和碎片化解析的教学困境，教师需要从语言建构与语言运用两个维度出发，综合运用诵读品韵、细读炼字、比较鉴赏和任务驱动等教学策略，建构以学生为主体的语言鉴赏课堂。同时，贯彻“教—学—评”一体化理念，设计多元化的评价工具，使评价真正成为促进学生语言素养发展的有效手段。唯有如此，古诗词语言教学才能在传承中华优秀传统文化的同时，切实提升学生的语言建构与运用能力，实现从“知识本位”到“素养导向”的教学转型。</w:t>
      </w:r>
    </w:p>
    <w:p w14:paraId="483654A4" w14:textId="2F239CB1" w:rsidR="00D96F40" w:rsidRPr="00D96F40" w:rsidRDefault="00D96F40" w:rsidP="00A51981">
      <w:pPr>
        <w:spacing w:after="0"/>
        <w:jc w:val="both"/>
        <w:rPr>
          <w:rFonts w:ascii="楷体" w:eastAsia="楷体" w:hAnsi="楷体" w:hint="eastAsia"/>
        </w:rPr>
      </w:pPr>
    </w:p>
    <w:p w14:paraId="01CE7931" w14:textId="1E1FADA5" w:rsidR="00D96F40" w:rsidRPr="00D96F40" w:rsidRDefault="00D96F40" w:rsidP="00AB334F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 w:hint="eastAsia"/>
        </w:rPr>
        <w:t>参考文献：</w:t>
      </w:r>
    </w:p>
    <w:p w14:paraId="690C02BF" w14:textId="2EFB905F" w:rsidR="00D96F40" w:rsidRPr="00D96F40" w:rsidRDefault="00D96F40" w:rsidP="00AB334F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/>
        </w:rPr>
        <w:t>[1]</w:t>
      </w:r>
      <w:r w:rsidR="00E81408">
        <w:rPr>
          <w:rFonts w:ascii="楷体" w:eastAsia="楷体" w:hAnsi="楷体" w:hint="eastAsia"/>
        </w:rPr>
        <w:t>郑阳</w:t>
      </w:r>
      <w:r w:rsidR="00961421">
        <w:rPr>
          <w:rFonts w:ascii="楷体" w:eastAsia="楷体" w:hAnsi="楷体" w:hint="eastAsia"/>
        </w:rPr>
        <w:t>《</w:t>
      </w:r>
      <w:r w:rsidR="00961421" w:rsidRPr="00D96F40">
        <w:rPr>
          <w:rFonts w:ascii="楷体" w:eastAsia="楷体" w:hAnsi="楷体"/>
        </w:rPr>
        <w:t>循“诗”联与合 缘“象”学而思——</w:t>
      </w:r>
      <w:r w:rsidR="00961421">
        <w:rPr>
          <w:rFonts w:ascii="楷体" w:eastAsia="楷体" w:hAnsi="楷体" w:hint="eastAsia"/>
        </w:rPr>
        <w:t>&lt;</w:t>
      </w:r>
      <w:r w:rsidR="00961421" w:rsidRPr="00D96F40">
        <w:rPr>
          <w:rFonts w:ascii="楷体" w:eastAsia="楷体" w:hAnsi="楷体"/>
        </w:rPr>
        <w:t>普通高中教科书语文</w:t>
      </w:r>
      <w:r w:rsidR="00961421">
        <w:rPr>
          <w:rFonts w:ascii="楷体" w:eastAsia="楷体" w:hAnsi="楷体" w:hint="eastAsia"/>
        </w:rPr>
        <w:t>&gt;</w:t>
      </w:r>
      <w:r w:rsidR="00961421" w:rsidRPr="00D96F40">
        <w:rPr>
          <w:rFonts w:ascii="楷体" w:eastAsia="楷体" w:hAnsi="楷体"/>
        </w:rPr>
        <w:t>（必修上册）第三单元古诗词群文阅读的教学实践</w:t>
      </w:r>
      <w:r w:rsidR="00961421">
        <w:rPr>
          <w:rFonts w:ascii="楷体" w:eastAsia="楷体" w:hAnsi="楷体" w:hint="eastAsia"/>
        </w:rPr>
        <w:t>》--《</w:t>
      </w:r>
      <w:r w:rsidR="00961421" w:rsidRPr="00D96F40">
        <w:rPr>
          <w:rFonts w:ascii="楷体" w:eastAsia="楷体" w:hAnsi="楷体"/>
        </w:rPr>
        <w:t>语文新读写</w:t>
      </w:r>
      <w:r w:rsidR="00961421">
        <w:rPr>
          <w:rFonts w:ascii="楷体" w:eastAsia="楷体" w:hAnsi="楷体" w:hint="eastAsia"/>
        </w:rPr>
        <w:t>》</w:t>
      </w:r>
      <w:r w:rsidR="00961421" w:rsidRPr="00D96F40">
        <w:rPr>
          <w:rFonts w:ascii="楷体" w:eastAsia="楷体" w:hAnsi="楷体"/>
        </w:rPr>
        <w:t>2023(15)</w:t>
      </w:r>
      <w:r w:rsidR="00961421">
        <w:rPr>
          <w:rFonts w:ascii="楷体" w:eastAsia="楷体" w:hAnsi="楷体" w:hint="eastAsia"/>
        </w:rPr>
        <w:t>。</w:t>
      </w:r>
    </w:p>
    <w:p w14:paraId="7B81ED03" w14:textId="031D406B" w:rsidR="00D96F40" w:rsidRPr="00D96F40" w:rsidRDefault="00D96F40" w:rsidP="00E81408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/>
        </w:rPr>
        <w:t>[2]</w:t>
      </w:r>
      <w:r w:rsidR="00E81408" w:rsidRPr="00E81408">
        <w:rPr>
          <w:rFonts w:ascii="楷体" w:eastAsia="楷体" w:hAnsi="楷体" w:hint="eastAsia"/>
        </w:rPr>
        <w:t>耿婷</w:t>
      </w:r>
      <w:r w:rsidR="00961421">
        <w:rPr>
          <w:rFonts w:ascii="楷体" w:eastAsia="楷体" w:hAnsi="楷体" w:hint="eastAsia"/>
        </w:rPr>
        <w:t>《</w:t>
      </w:r>
      <w:r w:rsidR="00961421" w:rsidRPr="00D96F40">
        <w:rPr>
          <w:rFonts w:ascii="楷体" w:eastAsia="楷体" w:hAnsi="楷体"/>
        </w:rPr>
        <w:t>把握语言特点 深挖语言意蕴——基于“语言建构与运用”素养的高中古诗词教学策略</w:t>
      </w:r>
      <w:r w:rsidR="00961421">
        <w:rPr>
          <w:rFonts w:ascii="楷体" w:eastAsia="楷体" w:hAnsi="楷体" w:hint="eastAsia"/>
        </w:rPr>
        <w:t>》——《</w:t>
      </w:r>
      <w:r w:rsidR="00961421" w:rsidRPr="00D96F40">
        <w:rPr>
          <w:rFonts w:ascii="楷体" w:eastAsia="楷体" w:hAnsi="楷体"/>
        </w:rPr>
        <w:t>语文教学通讯·D刊(学术刊)</w:t>
      </w:r>
      <w:r w:rsidR="00961421" w:rsidRPr="00961421">
        <w:rPr>
          <w:rFonts w:ascii="楷体" w:eastAsia="楷体" w:hAnsi="楷体" w:hint="eastAsia"/>
        </w:rPr>
        <w:t xml:space="preserve"> </w:t>
      </w:r>
      <w:r w:rsidR="00961421">
        <w:rPr>
          <w:rFonts w:ascii="楷体" w:eastAsia="楷体" w:hAnsi="楷体" w:hint="eastAsia"/>
        </w:rPr>
        <w:t>》</w:t>
      </w:r>
      <w:r w:rsidR="00961421" w:rsidRPr="00D96F40">
        <w:rPr>
          <w:rFonts w:ascii="楷体" w:eastAsia="楷体" w:hAnsi="楷体"/>
        </w:rPr>
        <w:t>2024(11)</w:t>
      </w:r>
      <w:r w:rsidR="00961421">
        <w:rPr>
          <w:rFonts w:ascii="楷体" w:eastAsia="楷体" w:hAnsi="楷体" w:hint="eastAsia"/>
        </w:rPr>
        <w:t>。.</w:t>
      </w:r>
    </w:p>
    <w:p w14:paraId="24C9D946" w14:textId="7EFC61DB" w:rsidR="00D96F40" w:rsidRPr="00D96F40" w:rsidRDefault="00D96F40" w:rsidP="00AB334F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/>
        </w:rPr>
        <w:t>[3] 张泽政</w:t>
      </w:r>
      <w:r w:rsidR="00961421">
        <w:rPr>
          <w:rFonts w:ascii="楷体" w:eastAsia="楷体" w:hAnsi="楷体" w:hint="eastAsia"/>
        </w:rPr>
        <w:t>《</w:t>
      </w:r>
      <w:r w:rsidRPr="00D96F40">
        <w:rPr>
          <w:rFonts w:ascii="楷体" w:eastAsia="楷体" w:hAnsi="楷体"/>
        </w:rPr>
        <w:t>语用学视域下中学古诗词炼字教学实践路径</w:t>
      </w:r>
      <w:r w:rsidR="00961421">
        <w:rPr>
          <w:rFonts w:ascii="楷体" w:eastAsia="楷体" w:hAnsi="楷体" w:hint="eastAsia"/>
        </w:rPr>
        <w:t>》——《</w:t>
      </w:r>
      <w:r w:rsidRPr="00D96F40">
        <w:rPr>
          <w:rFonts w:ascii="楷体" w:eastAsia="楷体" w:hAnsi="楷体"/>
        </w:rPr>
        <w:t>福建基础教育研究</w:t>
      </w:r>
      <w:r w:rsidR="00961421">
        <w:rPr>
          <w:rFonts w:ascii="楷体" w:eastAsia="楷体" w:hAnsi="楷体" w:hint="eastAsia"/>
        </w:rPr>
        <w:t>》</w:t>
      </w:r>
      <w:r w:rsidRPr="00D96F40">
        <w:rPr>
          <w:rFonts w:ascii="楷体" w:eastAsia="楷体" w:hAnsi="楷体"/>
        </w:rPr>
        <w:t>2025(7):51-53</w:t>
      </w:r>
      <w:r w:rsidR="00961421">
        <w:rPr>
          <w:rFonts w:ascii="楷体" w:eastAsia="楷体" w:hAnsi="楷体" w:hint="eastAsia"/>
        </w:rPr>
        <w:t>。</w:t>
      </w:r>
    </w:p>
    <w:p w14:paraId="37AACA8F" w14:textId="25FDE3D0" w:rsidR="00D96F40" w:rsidRPr="00D96F40" w:rsidRDefault="00D96F40" w:rsidP="00AB334F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/>
        </w:rPr>
        <w:t>[4]</w:t>
      </w:r>
      <w:r w:rsidR="00961421" w:rsidRPr="00961421">
        <w:rPr>
          <w:rFonts w:ascii="楷体" w:eastAsia="楷体" w:hAnsi="楷体"/>
        </w:rPr>
        <w:t xml:space="preserve"> </w:t>
      </w:r>
      <w:r w:rsidR="00961421" w:rsidRPr="00D96F40">
        <w:rPr>
          <w:rFonts w:ascii="楷体" w:eastAsia="楷体" w:hAnsi="楷体"/>
        </w:rPr>
        <w:t>刘立军</w:t>
      </w:r>
      <w:r w:rsidR="00961421">
        <w:rPr>
          <w:rFonts w:ascii="楷体" w:eastAsia="楷体" w:hAnsi="楷体" w:hint="eastAsia"/>
        </w:rPr>
        <w:t>《</w:t>
      </w:r>
      <w:r w:rsidR="00961421" w:rsidRPr="00D96F40">
        <w:rPr>
          <w:rFonts w:ascii="楷体" w:eastAsia="楷体" w:hAnsi="楷体"/>
        </w:rPr>
        <w:t>涵泳咀华 化繁为简——谈高中古诗文教学中语言美感的唤醒与深耕</w:t>
      </w:r>
      <w:r w:rsidR="00961421">
        <w:rPr>
          <w:rFonts w:ascii="楷体" w:eastAsia="楷体" w:hAnsi="楷体" w:hint="eastAsia"/>
        </w:rPr>
        <w:t>》——《</w:t>
      </w:r>
      <w:r w:rsidR="00961421" w:rsidRPr="00D96F40">
        <w:rPr>
          <w:rFonts w:ascii="楷体" w:eastAsia="楷体" w:hAnsi="楷体"/>
        </w:rPr>
        <w:t>特区教育</w:t>
      </w:r>
      <w:r w:rsidR="00961421">
        <w:rPr>
          <w:rFonts w:ascii="楷体" w:eastAsia="楷体" w:hAnsi="楷体" w:hint="eastAsia"/>
        </w:rPr>
        <w:t>》</w:t>
      </w:r>
      <w:r w:rsidR="00961421" w:rsidRPr="00D96F40">
        <w:rPr>
          <w:rFonts w:ascii="楷体" w:eastAsia="楷体" w:hAnsi="楷体"/>
        </w:rPr>
        <w:t>2026(9):37-39</w:t>
      </w:r>
      <w:r w:rsidR="00961421">
        <w:rPr>
          <w:rFonts w:ascii="楷体" w:eastAsia="楷体" w:hAnsi="楷体" w:hint="eastAsia"/>
        </w:rPr>
        <w:t>。</w:t>
      </w:r>
    </w:p>
    <w:p w14:paraId="0A4D2A4D" w14:textId="181413ED" w:rsidR="00D96F40" w:rsidRPr="00D96F40" w:rsidRDefault="00D96F40" w:rsidP="00AB334F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  <w:r w:rsidRPr="00D96F40">
        <w:rPr>
          <w:rFonts w:ascii="楷体" w:eastAsia="楷体" w:hAnsi="楷体"/>
        </w:rPr>
        <w:t xml:space="preserve">[6] </w:t>
      </w:r>
      <w:r w:rsidR="00961421" w:rsidRPr="00D96F40">
        <w:rPr>
          <w:rFonts w:ascii="楷体" w:eastAsia="楷体" w:hAnsi="楷体" w:hint="eastAsia"/>
        </w:rPr>
        <w:t>贺琳</w:t>
      </w:r>
      <w:r w:rsidR="00961421">
        <w:rPr>
          <w:rFonts w:ascii="楷体" w:eastAsia="楷体" w:hAnsi="楷体" w:hint="eastAsia"/>
        </w:rPr>
        <w:t>《</w:t>
      </w:r>
      <w:r w:rsidR="00961421" w:rsidRPr="00D96F40">
        <w:rPr>
          <w:rFonts w:ascii="楷体" w:eastAsia="楷体" w:hAnsi="楷体" w:hint="eastAsia"/>
        </w:rPr>
        <w:t>高中古诗词教学的育人路径</w:t>
      </w:r>
      <w:r w:rsidR="00961421">
        <w:rPr>
          <w:rFonts w:ascii="楷体" w:eastAsia="楷体" w:hAnsi="楷体" w:hint="eastAsia"/>
        </w:rPr>
        <w:t>》，</w:t>
      </w:r>
      <w:r w:rsidR="00961421" w:rsidRPr="00D96F40">
        <w:rPr>
          <w:rFonts w:ascii="楷体" w:eastAsia="楷体" w:hAnsi="楷体" w:hint="eastAsia"/>
        </w:rPr>
        <w:t>微信公众号</w:t>
      </w:r>
      <w:r w:rsidR="00961421">
        <w:rPr>
          <w:rFonts w:ascii="楷体" w:eastAsia="楷体" w:hAnsi="楷体" w:hint="eastAsia"/>
        </w:rPr>
        <w:t>。</w:t>
      </w:r>
    </w:p>
    <w:p w14:paraId="70DD73C5" w14:textId="73B2DE81" w:rsidR="00DA4F08" w:rsidRPr="00961421" w:rsidRDefault="00DA4F08" w:rsidP="0014483D">
      <w:pPr>
        <w:spacing w:after="0"/>
        <w:ind w:firstLineChars="200" w:firstLine="440"/>
        <w:jc w:val="both"/>
        <w:rPr>
          <w:rFonts w:ascii="楷体" w:eastAsia="楷体" w:hAnsi="楷体" w:hint="eastAsia"/>
        </w:rPr>
      </w:pPr>
    </w:p>
    <w:sectPr w:rsidR="00DA4F08" w:rsidRPr="0096142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18B6" w14:textId="77777777" w:rsidR="00F81012" w:rsidRDefault="00F8101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457DB9B" w14:textId="77777777" w:rsidR="00F81012" w:rsidRDefault="00F8101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9295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F9E361A" w14:textId="77777777" w:rsidR="007E0FAF" w:rsidRDefault="007E0FAF">
        <w:pPr>
          <w:pStyle w:val="af"/>
          <w:jc w:val="center"/>
          <w:rPr>
            <w:rFonts w:hint="eastAsia"/>
          </w:rPr>
        </w:pPr>
      </w:p>
      <w:p w14:paraId="4AA34312" w14:textId="1ABD6A28" w:rsidR="006D5297" w:rsidRDefault="00227891">
        <w:pPr>
          <w:pStyle w:val="af"/>
          <w:jc w:val="center"/>
          <w:rPr>
            <w:rFonts w:ascii="Times New Roman" w:hAnsi="Times New Roman" w:cs="Times New Roman"/>
          </w:rPr>
        </w:pPr>
        <w:r>
          <w:rPr>
            <w:rFonts w:ascii="宋体" w:eastAsia="宋体" w:hAnsi="宋体" w:hint="eastAsia"/>
          </w:rPr>
          <w:t>第</w: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宋体" w:eastAsia="宋体" w:hAnsi="宋体" w:cs="Times New Roman" w:hint="eastAsia"/>
          </w:rPr>
          <w:t>页</w:t>
        </w:r>
      </w:p>
    </w:sdtContent>
  </w:sdt>
  <w:p w14:paraId="7450F5E2" w14:textId="77777777" w:rsidR="006D5297" w:rsidRDefault="006D5297">
    <w:pPr>
      <w:pStyle w:val="af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79D93" w14:textId="77777777" w:rsidR="00F81012" w:rsidRDefault="00F8101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31CC4B" w14:textId="77777777" w:rsidR="00F81012" w:rsidRDefault="00F8101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3C"/>
    <w:rsid w:val="000245E5"/>
    <w:rsid w:val="000A12E9"/>
    <w:rsid w:val="000A2CA2"/>
    <w:rsid w:val="000C713C"/>
    <w:rsid w:val="000C7FE4"/>
    <w:rsid w:val="000D5FCA"/>
    <w:rsid w:val="00114D84"/>
    <w:rsid w:val="00115758"/>
    <w:rsid w:val="00126ACC"/>
    <w:rsid w:val="001351EC"/>
    <w:rsid w:val="00144788"/>
    <w:rsid w:val="0014483D"/>
    <w:rsid w:val="00166C97"/>
    <w:rsid w:val="001A001F"/>
    <w:rsid w:val="001D3A33"/>
    <w:rsid w:val="001D78B7"/>
    <w:rsid w:val="00224784"/>
    <w:rsid w:val="00227891"/>
    <w:rsid w:val="002458B9"/>
    <w:rsid w:val="00255AAD"/>
    <w:rsid w:val="0026325F"/>
    <w:rsid w:val="002A5C36"/>
    <w:rsid w:val="002C3864"/>
    <w:rsid w:val="00326574"/>
    <w:rsid w:val="003838B4"/>
    <w:rsid w:val="003A087B"/>
    <w:rsid w:val="003A4C25"/>
    <w:rsid w:val="004348D1"/>
    <w:rsid w:val="00466D15"/>
    <w:rsid w:val="004805F7"/>
    <w:rsid w:val="004A06A2"/>
    <w:rsid w:val="004B75AF"/>
    <w:rsid w:val="004D7DEE"/>
    <w:rsid w:val="004E4F14"/>
    <w:rsid w:val="00500665"/>
    <w:rsid w:val="0053191D"/>
    <w:rsid w:val="00577F51"/>
    <w:rsid w:val="00584140"/>
    <w:rsid w:val="005E348D"/>
    <w:rsid w:val="005F6FDF"/>
    <w:rsid w:val="00602B12"/>
    <w:rsid w:val="00637131"/>
    <w:rsid w:val="00647216"/>
    <w:rsid w:val="00673D66"/>
    <w:rsid w:val="00684150"/>
    <w:rsid w:val="006948EC"/>
    <w:rsid w:val="006A66E4"/>
    <w:rsid w:val="006D5297"/>
    <w:rsid w:val="006D6E0A"/>
    <w:rsid w:val="007035A5"/>
    <w:rsid w:val="007537C0"/>
    <w:rsid w:val="00780A94"/>
    <w:rsid w:val="007B5673"/>
    <w:rsid w:val="007D0052"/>
    <w:rsid w:val="007E0FAF"/>
    <w:rsid w:val="007F2060"/>
    <w:rsid w:val="008039C9"/>
    <w:rsid w:val="008266E1"/>
    <w:rsid w:val="00870FD6"/>
    <w:rsid w:val="00881676"/>
    <w:rsid w:val="00884800"/>
    <w:rsid w:val="00892675"/>
    <w:rsid w:val="008A005A"/>
    <w:rsid w:val="008A63E4"/>
    <w:rsid w:val="008C5DE5"/>
    <w:rsid w:val="008D41E6"/>
    <w:rsid w:val="009271C1"/>
    <w:rsid w:val="00960D11"/>
    <w:rsid w:val="00961421"/>
    <w:rsid w:val="009A10FA"/>
    <w:rsid w:val="009E6D4C"/>
    <w:rsid w:val="00A27930"/>
    <w:rsid w:val="00A51981"/>
    <w:rsid w:val="00A55002"/>
    <w:rsid w:val="00A9545F"/>
    <w:rsid w:val="00A9725A"/>
    <w:rsid w:val="00AB334F"/>
    <w:rsid w:val="00AB4FF0"/>
    <w:rsid w:val="00AF36E1"/>
    <w:rsid w:val="00B23B77"/>
    <w:rsid w:val="00B54097"/>
    <w:rsid w:val="00B81785"/>
    <w:rsid w:val="00B827C5"/>
    <w:rsid w:val="00BC3916"/>
    <w:rsid w:val="00BD37DE"/>
    <w:rsid w:val="00C066E1"/>
    <w:rsid w:val="00C526C4"/>
    <w:rsid w:val="00C5542A"/>
    <w:rsid w:val="00C62899"/>
    <w:rsid w:val="00C97A31"/>
    <w:rsid w:val="00D05AE3"/>
    <w:rsid w:val="00D410D4"/>
    <w:rsid w:val="00D96F40"/>
    <w:rsid w:val="00DA4F08"/>
    <w:rsid w:val="00DF21A2"/>
    <w:rsid w:val="00DF6334"/>
    <w:rsid w:val="00E41794"/>
    <w:rsid w:val="00E81408"/>
    <w:rsid w:val="00F22B68"/>
    <w:rsid w:val="00F72FC7"/>
    <w:rsid w:val="00F77B2E"/>
    <w:rsid w:val="00F81012"/>
    <w:rsid w:val="00FC2102"/>
    <w:rsid w:val="00FE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02DEC"/>
  <w15:docId w15:val="{4135E653-7477-46B8-BB05-29F46FE4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71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71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713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713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713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713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713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713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0C713C"/>
    <w:rPr>
      <w:i/>
      <w:iCs/>
      <w:color w:val="0F4761" w:themeColor="accent1" w:themeShade="BF"/>
    </w:rPr>
  </w:style>
  <w:style w:type="character" w:customStyle="1" w:styleId="10">
    <w:name w:val="标题 1 字符"/>
    <w:basedOn w:val="a0"/>
    <w:link w:val="1"/>
    <w:uiPriority w:val="9"/>
    <w:rsid w:val="000C71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a4">
    <w:name w:val="明显引用 字符"/>
    <w:basedOn w:val="a0"/>
    <w:link w:val="a5"/>
    <w:uiPriority w:val="30"/>
    <w:rsid w:val="000C713C"/>
    <w:rPr>
      <w:i/>
      <w:iCs/>
      <w:color w:val="0F4761" w:themeColor="accent1" w:themeShade="BF"/>
    </w:rPr>
  </w:style>
  <w:style w:type="character" w:styleId="a6">
    <w:name w:val="Intense Reference"/>
    <w:basedOn w:val="a0"/>
    <w:uiPriority w:val="32"/>
    <w:qFormat/>
    <w:rsid w:val="000C713C"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8"/>
    <w:uiPriority w:val="99"/>
    <w:rsid w:val="00780A94"/>
    <w:rPr>
      <w:sz w:val="18"/>
      <w:szCs w:val="18"/>
    </w:rPr>
  </w:style>
  <w:style w:type="paragraph" w:styleId="a5">
    <w:name w:val="Intense Quote"/>
    <w:basedOn w:val="a"/>
    <w:next w:val="a"/>
    <w:link w:val="a4"/>
    <w:uiPriority w:val="30"/>
    <w:qFormat/>
    <w:rsid w:val="000C7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0C713C"/>
    <w:rPr>
      <w:rFonts w:cstheme="majorBidi"/>
      <w:color w:val="0F4761" w:themeColor="accent1" w:themeShade="BF"/>
      <w:sz w:val="24"/>
    </w:rPr>
  </w:style>
  <w:style w:type="paragraph" w:styleId="a9">
    <w:name w:val="Title"/>
    <w:basedOn w:val="a"/>
    <w:next w:val="a"/>
    <w:link w:val="aa"/>
    <w:uiPriority w:val="10"/>
    <w:qFormat/>
    <w:rsid w:val="000C713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标题 4 字符"/>
    <w:basedOn w:val="a0"/>
    <w:link w:val="4"/>
    <w:uiPriority w:val="9"/>
    <w:semiHidden/>
    <w:rsid w:val="000C713C"/>
    <w:rPr>
      <w:rFonts w:cstheme="majorBidi"/>
      <w:color w:val="0F4761" w:themeColor="accent1" w:themeShade="BF"/>
      <w:sz w:val="28"/>
      <w:szCs w:val="28"/>
    </w:rPr>
  </w:style>
  <w:style w:type="character" w:customStyle="1" w:styleId="70">
    <w:name w:val="标题 7 字符"/>
    <w:basedOn w:val="a0"/>
    <w:link w:val="7"/>
    <w:uiPriority w:val="9"/>
    <w:semiHidden/>
    <w:rsid w:val="000C713C"/>
    <w:rPr>
      <w:rFonts w:cstheme="majorBidi"/>
      <w:b/>
      <w:bCs/>
      <w:color w:val="595959" w:themeColor="text1" w:themeTint="A6"/>
    </w:rPr>
  </w:style>
  <w:style w:type="character" w:customStyle="1" w:styleId="20">
    <w:name w:val="标题 2 字符"/>
    <w:basedOn w:val="a0"/>
    <w:link w:val="2"/>
    <w:uiPriority w:val="9"/>
    <w:semiHidden/>
    <w:rsid w:val="000C7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b">
    <w:name w:val="Quote"/>
    <w:basedOn w:val="a"/>
    <w:next w:val="a"/>
    <w:link w:val="ac"/>
    <w:uiPriority w:val="29"/>
    <w:qFormat/>
    <w:rsid w:val="000C7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0C713C"/>
    <w:rPr>
      <w:i/>
      <w:iCs/>
      <w:color w:val="404040" w:themeColor="text1" w:themeTint="BF"/>
    </w:rPr>
  </w:style>
  <w:style w:type="character" w:customStyle="1" w:styleId="90">
    <w:name w:val="标题 9 字符"/>
    <w:basedOn w:val="a0"/>
    <w:link w:val="9"/>
    <w:uiPriority w:val="9"/>
    <w:semiHidden/>
    <w:rsid w:val="000C713C"/>
    <w:rPr>
      <w:rFonts w:eastAsiaTheme="majorEastAsia" w:cstheme="majorBidi"/>
      <w:color w:val="595959" w:themeColor="text1" w:themeTint="A6"/>
    </w:rPr>
  </w:style>
  <w:style w:type="character" w:customStyle="1" w:styleId="ad">
    <w:name w:val="副标题 字符"/>
    <w:basedOn w:val="a0"/>
    <w:link w:val="ae"/>
    <w:uiPriority w:val="11"/>
    <w:rsid w:val="000C71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780A9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标题 字符"/>
    <w:basedOn w:val="a0"/>
    <w:link w:val="a9"/>
    <w:uiPriority w:val="10"/>
    <w:rsid w:val="000C7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标题 3 字符"/>
    <w:basedOn w:val="a0"/>
    <w:link w:val="3"/>
    <w:uiPriority w:val="9"/>
    <w:semiHidden/>
    <w:rsid w:val="000C7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8">
    <w:name w:val="header"/>
    <w:basedOn w:val="a"/>
    <w:link w:val="a7"/>
    <w:uiPriority w:val="99"/>
    <w:unhideWhenUsed/>
    <w:rsid w:val="00780A9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0">
    <w:name w:val="标题 6 字符"/>
    <w:basedOn w:val="a0"/>
    <w:link w:val="6"/>
    <w:uiPriority w:val="9"/>
    <w:semiHidden/>
    <w:rsid w:val="000C713C"/>
    <w:rPr>
      <w:rFonts w:cstheme="majorBidi"/>
      <w:b/>
      <w:bCs/>
      <w:color w:val="0F4761" w:themeColor="accent1" w:themeShade="BF"/>
    </w:rPr>
  </w:style>
  <w:style w:type="paragraph" w:styleId="ae">
    <w:name w:val="Subtitle"/>
    <w:basedOn w:val="a"/>
    <w:next w:val="a"/>
    <w:link w:val="ad"/>
    <w:uiPriority w:val="11"/>
    <w:qFormat/>
    <w:rsid w:val="000C713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80">
    <w:name w:val="标题 8 字符"/>
    <w:basedOn w:val="a0"/>
    <w:link w:val="8"/>
    <w:uiPriority w:val="9"/>
    <w:semiHidden/>
    <w:rsid w:val="000C713C"/>
    <w:rPr>
      <w:rFonts w:cstheme="majorBidi"/>
      <w:color w:val="595959" w:themeColor="text1" w:themeTint="A6"/>
    </w:rPr>
  </w:style>
  <w:style w:type="paragraph" w:styleId="af1">
    <w:name w:val="List Paragraph"/>
    <w:basedOn w:val="a"/>
    <w:uiPriority w:val="34"/>
    <w:qFormat/>
    <w:rsid w:val="000C713C"/>
    <w:pPr>
      <w:ind w:left="720"/>
      <w:contextualSpacing/>
    </w:pPr>
  </w:style>
  <w:style w:type="character" w:customStyle="1" w:styleId="af0">
    <w:name w:val="页脚 字符"/>
    <w:basedOn w:val="a0"/>
    <w:link w:val="af"/>
    <w:uiPriority w:val="99"/>
    <w:rsid w:val="00780A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5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</cp:revision>
  <dcterms:created xsi:type="dcterms:W3CDTF">2026-06-18T09:48:00Z</dcterms:created>
  <dcterms:modified xsi:type="dcterms:W3CDTF">2026-10-20T00:40:00Z</dcterms:modified>
</cp:coreProperties>
</file>